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Calibri" w:hAnsi="Calibri" w:eastAsia="Calibri" w:cs="Calibri"/>
          <w:b/>
          <w:sz w:val="22"/>
        </w:rPr>
        <w:t>ТЕХНИЧЕСКОЕ ЗАДАНИЕ</w:t>
      </w:r>
    </w:p>
    <w:p>
      <w:pPr>
        <w:spacing w:before="240" w:after="120"/>
      </w:pPr>
      <w:r>
        <w:rPr>
          <w:rFonts w:ascii="Calibri" w:hAnsi="Calibri" w:eastAsia="Calibri" w:cs="Calibri"/>
          <w:b/>
          <w:sz w:val="22"/>
        </w:rPr>
        <w:t>РАЗДЕЛ 1. НАИМЕНОВАНИЕ ЛИЦЕНЗИИ</w:t>
      </w:r>
    </w:p>
    <w:tbl>
      <w:tblPr>
        <w:tblW w:type="dxa" w:w="9638"/>
        <w:jc w:val="center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tcBorders>
              <w:top w:val="single" w:sz="4" w:color="000000" w:space="0"/>
              <w:bottom w:val="single" w:sz="4" w:color="000000" w:space="0"/>
              <w:start w:val="single" w:sz="4" w:color="000000" w:space="0"/>
              <w:end w:val="single" w:sz="4" w:color="000000" w:space="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 w:val="0"/>
                <w:sz w:val="22"/>
              </w:rPr>
              <w:t>Предоставление неисключительной лицензии на использование программы для ЭВМ, для мероприятия «Образовательная платформа Высшей школы гостеприимного развития (ВШГР)» в рамках проекта «Туристическая онлайн-академия Росатома» в срок с даты заключения договора по 20.12.2026 г.</w:t>
            </w:r>
          </w:p>
        </w:tc>
      </w:tr>
    </w:tbl>
    <w:tbl>
      <w:tblPr>
        <w:tblW w:type="dxa" w:w="9638"/>
        <w:jc w:val="center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tcBorders>
              <w:top w:val="single" w:sz="4" w:color="000000" w:space="0"/>
              <w:bottom w:val="single" w:sz="4" w:color="000000" w:space="0"/>
              <w:start w:val="single" w:sz="4" w:color="000000" w:space="0"/>
              <w:end w:val="single" w:sz="4" w:color="000000" w:space="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/>
                <w:sz w:val="22"/>
              </w:rPr>
              <w:t>Подраздел 2.1 Состав (перечень) лицензии. Общие требования</w:t>
            </w:r>
          </w:p>
        </w:tc>
      </w:tr>
      <w:tr>
        <w:tc>
          <w:tcPr>
            <w:tcW w:type="dxa" w:w="10256"/>
            <w:tcBorders>
              <w:top w:val="single" w:sz="4" w:color="000000" w:space="0"/>
              <w:bottom w:val="single" w:sz="4" w:color="000000" w:space="0"/>
              <w:start w:val="single" w:sz="4" w:color="000000" w:space="0"/>
              <w:end w:val="single" w:sz="4" w:color="000000" w:space="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 w:val="0"/>
                <w:sz w:val="22"/>
              </w:rPr>
              <w:t>Предоставление неисключительной лицензии на использование программы для ЭВМ, для мероприятия «Образовательная платформа Высшей школы гостеприимного развития (ВШГР)» в рамках проекта «Туристическая онлайн-академия Росатома» (далее – Система).</w:t>
              <w:br/>
              <w:t>Конфигурирование программы для ЭВМ, для АНО «Энергия развития» (далее – Заказчик) в соответствии с требованиями, указанными в подразделах настоящего Технического задания.</w:t>
              <w:br/>
              <w:br/>
              <w:t>Клиентская часть должна включать:</w:t>
              <w:br/>
              <w:t>- платформу для доступа с персонального компьютера (далее – ПК) и мобильных устройств;</w:t>
              <w:br/>
              <w:t>- платформа должна поддерживать работу в наиболее популярных браузерах (работа на ПК):</w:t>
              <w:br/>
              <w:t>- Yandex Browser версии 22 и выше;</w:t>
              <w:br/>
              <w:t>- Google Chrome версии 118 и выше;</w:t>
              <w:br/>
              <w:t>- Mozilla Firefox версии 118 и выше;</w:t>
              <w:br/>
              <w:t>- Opera версии 104 и выше;</w:t>
              <w:br/>
              <w:t>- Apple Safari версии 16 и выше;</w:t>
              <w:br/>
              <w:t>- Microsoft Edge версии 118 и выше.</w:t>
              <w:br/>
              <w:br/>
              <w:t>Клиентская часть должна обладать интуитивно понятным интерфейсом.</w:t>
              <w:br/>
              <w:br/>
              <w:t>Требования к пользователям Системы:</w:t>
              <w:br/>
              <w:t>Для пользования платформой от сотрудников организации атомной отрасли не должно требоваться специальных технических навыков, знания технологий или программных продуктов, за исключением общих навыков работы с ПК и смартфоном и/или планшетом.</w:t>
              <w:br/>
              <w:br/>
              <w:t>Требования к сохранности информации:</w:t>
              <w:br/>
              <w:t>В Системе должен быть предусмотрен механизм резервного копирования структуры и содержимого базы данных. Процедура резервного копирования производится автоматически, раз в 24 часа.</w:t>
              <w:br/>
              <w:br/>
              <w:t>Требования к разграничению доступа:</w:t>
              <w:br/>
              <w:t>Для любого раздела, размещенного в Системе, должна быть реализована возможность настройки доступа к разделу для определенной группы (групп) пользователей. Количество групп пользователей и количество пользователей в группе не ограничено. Администраторы Системы могут формировать произвольные группы пользователей по необходимым им критериям. Перечень сотрудников, имеющих права администратора, предоставляются Заказчиком Исполнителю в рабочем порядке, но не позднее 3 (трех) рабочих дней с даты подписания договора. Группы пользователей, ограничения и запреты на доступ к контенту определяются и добавляются из панели администрирования. Помимо групп пользователей, доступ и возможности всех пользователей в Системе должны определяться их категорией доступа. Должно быть доступно как минимум 3 (три) категории доступа:</w:t>
              <w:br/>
              <w:t>- обычные пользователи (участники);</w:t>
              <w:br/>
              <w:t>- организаторы;</w:t>
              <w:br/>
              <w:t>- администраторы.</w:t>
              <w:br/>
              <w:t>Каждому из пользователей присваивается одна из категорий доступа. Обычные пользователи имеют доступ только к той части контента, которая доступна для тех групп пользователей, к которым относится данный пользователь. Организаторы имеют доступ к той части контента, которая доступна для их групп пользователей, а также им должен предоставляться отдельный интерфейс для отправки уведомлений, а также особые права по модерированию сообщений. Администраторы имеют доступ к административной части. Администраторы должны иметь возможность:</w:t>
              <w:br/>
              <w:t>- добавлять пользователей с указанием их категории доступа;</w:t>
              <w:br/>
              <w:t>- добавлять и удалять разделы в платформе;</w:t>
              <w:br/>
              <w:t>- настраивать доступность разделов для различных категорий участников;</w:t>
              <w:br/>
              <w:t>- администрировать материалы события;</w:t>
              <w:br/>
              <w:t>- управлять контентом события для всех категорий участников;</w:t>
              <w:br/>
              <w:t>- формировать отчетность.</w:t>
              <w:br/>
              <w:t>Пользователь Системы может относиться одновременно к двум категориям доступа и входить в несколько групп пользователей.</w:t>
              <w:br/>
              <w:br/>
              <w:t>Требования к функциям и задачам, выполняемым Системой.</w:t>
              <w:br/>
              <w:t>Структура платформы и внешний вид.</w:t>
              <w:br/>
              <w:t>Главное меню клиентской части Системы должно быть представлено в виде набора разделов, навигация между которыми осуществляется через панель ячеек с внутренними страницами, раскрывающими подробности по конкретному разделу. Система должна позволять администраторам заводить в рамках одной платформы несколько событий с индивидуальными настройками, используемым функционалом, контентом и списком пользователей в каждом событии. Система должна позволять администраторам гибко настраивать набор модулей и доступных разделов события под решаемую задачу:</w:t>
              <w:br/>
              <w:t>- гибко настраивать главное меню: добавлять новые разделы, редактировать и скрывать разделы;</w:t>
              <w:br/>
              <w:t>- менять названия разделов, выбирать иконки разделов из доступного набора, настраивать порядок следования разделов;</w:t>
              <w:br/>
              <w:t>- настраивать доступ к разделам по группам пользователей (категориям участников).</w:t>
              <w:br/>
              <w:t>Система должна позволять настраивать внешний вид платформы в соответствии с брендбуком Заказчика, а именно:</w:t>
              <w:br/>
              <w:t>- использование фирменных цветов;</w:t>
              <w:br/>
              <w:t>- использование логотипа;</w:t>
              <w:br/>
              <w:t>- возможность создания «white label» интерфейса Системы.</w:t>
              <w:br/>
              <w:br/>
              <w:t>Навигация</w:t>
              <w:br/>
              <w:t>Пользовательский интерфейс платформы должен обеспечивать наглядное, интуитивно понятное представление структуры, размещенной информации, быстрый и логичный переход к разделам и страницам. Навигационные элементы должны обеспечивать однозначное понимание пользователем их смысла: ссылки на страницы должны быть снабжены заголовками, условные обозначения соответствовать общепринятым.</w:t>
              <w:br/>
              <w:t>Система должна обеспечивать навигацию по всем ресурсам, доступным пользователю, и отображать соответствующую информацию.</w:t>
              <w:br/>
              <w:br/>
              <w:br/>
              <w:br/>
              <w:t>Техническое сопровождение Системы на период проведения мероприятия (01.04.2026 г. по 16.12.2026 г.) в рабочее время. Удаление данных и завершение доступа в срок не позднее 20.12.2026 г..</w:t>
            </w:r>
          </w:p>
        </w:tc>
      </w:tr>
    </w:tbl>
    <w:tbl>
      <w:tblPr>
        <w:tblW w:type="dxa" w:w="9638"/>
        <w:jc w:val="center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tcBorders>
              <w:top w:val="single" w:sz="4" w:color="000000" w:space="0"/>
              <w:bottom w:val="single" w:sz="4" w:color="000000" w:space="0"/>
              <w:start w:val="single" w:sz="4" w:color="000000" w:space="0"/>
              <w:end w:val="single" w:sz="4" w:color="000000" w:space="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/>
                <w:sz w:val="22"/>
              </w:rPr>
              <w:t>Подраздел 2.2 Описание требований к функциям и задачам, выполняемым Системой</w:t>
            </w:r>
          </w:p>
        </w:tc>
      </w:tr>
      <w:tr>
        <w:tc>
          <w:tcPr>
            <w:tcW w:type="dxa" w:w="10256"/>
            <w:tcBorders>
              <w:top w:val="single" w:sz="4" w:color="000000" w:space="0"/>
              <w:bottom w:val="single" w:sz="4" w:color="000000" w:space="0"/>
              <w:start w:val="single" w:sz="4" w:color="000000" w:space="0"/>
              <w:end w:val="single" w:sz="4" w:color="000000" w:space="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 w:val="0"/>
                <w:sz w:val="22"/>
              </w:rPr>
              <w:t>Авторизация</w:t>
              <w:br/>
              <w:t>Модуль для авторизации пользователя в своем профиле. Для каждого события должен быть предусмотрен свой набор профилей пользователей. Возможности авторизации должны включать:</w:t>
              <w:br/>
              <w:t>- авторизацию через логин-пароль, где в качестве логина может выступать номер телефона, email или автологин;</w:t>
              <w:br/>
              <w:t>- возможность настроить SSO авторизацию через сторонний сервис, поддерживающий протоколы OAuth 2.0, OpenID Connect;</w:t>
              <w:br/>
              <w:t>- используемый способ авторизации должен выбираться в панели администрирования данного события.</w:t>
              <w:br/>
              <w:br/>
              <w:t>Курсы</w:t>
              <w:br/>
              <w:t>Модуль для размещения в системе обучающих курсов. Каждый курс должен состоять из отдельных этапов, которые нужно пройти для завершения курса. Контент и требования для выполнения каждого этапа должны настраиваться индивидуально. В том числе, модуль должен включать:</w:t>
              <w:br/>
              <w:t>● возможность произвольного и последовательного прохождения этапов;</w:t>
              <w:br/>
              <w:t>● возможность ограничить доступ к некоторым этапам;</w:t>
              <w:br/>
              <w:t>● возможность использовать электронные курсы формата SCORM (SCORM v1.2, SCORM v2004).</w:t>
              <w:br/>
              <w:br/>
              <w:t>База знаний</w:t>
              <w:br/>
              <w:t>Модуль для размещения в системе контента различного типа — текста, видео, ссылок, изображений, аттачментов (PDF, презентации PowerPoint (PPTX) и др.). Модуль должен поддерживать разделение доступа к контенту для разных групп пользователей, а также создание иерархии разделов с помощью системы вложенности. Функционал должен предоставлять следующие возможности:</w:t>
              <w:br/>
              <w:t>● возможность создания неограниченного количества разделов;</w:t>
              <w:br/>
              <w:t>● сегментация по группам обучающихся, отделам, подразделениям;</w:t>
              <w:br/>
              <w:t>● совмещение в одном разделе базы данных материалов разного формата: лонгриды, видео, аттачменты и т.д.;</w:t>
              <w:br/>
              <w:t>● выведение в главное меню отдельных разделов.</w:t>
              <w:br/>
              <w:br/>
              <w:t>Кабинет руководителя</w:t>
              <w:br/>
              <w:t>Модуль для работы кураторов и руководителей обучения. Должен предоставлять кураторам и руководителям обучения возможность следить за активностью обучающихся и результатами их обучения. Функционал должен предоставлять следующие возможности:</w:t>
              <w:br/>
              <w:t>● возможность отслеживать показатели активности как по нескольким группам обучения, так и по всем группам;</w:t>
              <w:br/>
              <w:t>● отображение списков обучающихся и кураторов для каждой группы;</w:t>
              <w:br/>
              <w:t>● возможность отследить прогресс обучения как по каждому обучающемуся, так и по каждому курсу;</w:t>
              <w:br/>
              <w:t>● возможность отправить отчет по обучению на электронную почту куратора обучения или руководителя.</w:t>
              <w:br/>
              <w:br/>
              <w:t>Кабинет участника</w:t>
              <w:br/>
              <w:t>Модуль для работы обучающегося в системе. Должен предоставлять участнику удобный доступ к назначенным курсам, траекториям обучения, заданиям и тестам. Функционал должен предоставлять следующие возможности:</w:t>
              <w:br/>
              <w:t>● отображение назначенных курсов и траекторий с индикацией прогресса;</w:t>
              <w:br/>
              <w:t>● доступ к заданиям и тестам с отображением статуса выполнения;</w:t>
              <w:br/>
              <w:t>● отображение баллов и позиции в рейтинге;</w:t>
              <w:br/>
              <w:t>● управление профилем и персональными данными.</w:t>
              <w:br/>
              <w:br/>
              <w:t>Геймификация</w:t>
              <w:br/>
              <w:t>Модуль для размещения в платформе системы наград и личного рейтинга пользователей. В рамках этого модуля должно реализовываться начисление баллов за выполнение активностей в системе, а также формирование рейтинга пользователей. Функционал должен предоставлять следующие возможности:</w:t>
              <w:br/>
              <w:t>● возможность ручного начисления баллов пользователям с указанием причины начисления;</w:t>
              <w:br/>
              <w:t>● ряд автоматических начислений за действия в системе. Для каждого автоматического начисления должно быть можно настроить название начисления, количество начисляемых баллов, сколько раз баллы могут быть начислены по этому виду начисления;</w:t>
              <w:br/>
              <w:t>● помимо личного рейтинга, должна быть возможность формирования рейтинга по выбранным группам пользователей.</w:t>
              <w:br/>
              <w:br/>
              <w:t>Тесты</w:t>
              <w:br/>
              <w:t>Модуль для размещения в системе тестов для проверки знаний пользователей. Должно быть предусмотрено как самостоятельное использование тестов, так и в рамках обучающих мероприятий (курсов, траекторий обучения). Кроме того, функционал должен предоставлять следующие возможности:</w:t>
              <w:br/>
              <w:t>● настройку индикации правильных/неправильных ответов пользователей;</w:t>
              <w:br/>
              <w:t>● возможность добавления тестов в главное меню;</w:t>
              <w:br/>
              <w:t>● «защиту от списывания» (перемешивание вопросов и вариантов ответов на вопрос).</w:t>
              <w:br/>
              <w:br/>
              <w:t>Траектории обучения</w:t>
              <w:br/>
              <w:t>Модуль для размещения в системе комплексных обучающих программ. Траектории обучения должны позволять объединять в единую систему несколько курсов. Контент и доступ к каждому курсу должны настраиваться индивидуально. Функционал должен предоставлять следующие возможности:</w:t>
              <w:br/>
              <w:t>● автоматическую отправку уведомлений при назначении траектории обучения;</w:t>
              <w:br/>
              <w:t>● открытие шагов по расписанию;</w:t>
              <w:br/>
              <w:t>● отображение прогресса прохождения траектории обучения;</w:t>
              <w:br/>
              <w:t>● возможность ограничить доступ к курсам в рамках траектории обучения.</w:t>
              <w:br/>
              <w:br/>
              <w:t>Видео</w:t>
              <w:br/>
              <w:t>Модуль для размещения в системе обучающих вебинаров и семинаров. Настройки каждой трансляции должны задаваться раздельно. Функционал должен предоставлять следующие возможности:</w:t>
              <w:br/>
              <w:t>● возможность размещения как онлайн трансляций, так и записей трансляций;</w:t>
              <w:br/>
              <w:t>● возможность ограничения доступа к каждой трансляции для определенных категорий пользователей;</w:t>
              <w:br/>
              <w:t>● возможность проигрывания видеопотоков из сервисов Youtube, Rutube, VK.</w:t>
              <w:br/>
              <w:br/>
              <w:t>Задания</w:t>
              <w:br/>
              <w:t>Модуль для размещения в системе контента в формате заданий. Каждое задание должно состоять из набора полей, которые необходимо заполнить до отправки задания на проверку. Проверка ответов пользователей должна осуществляться в панели администрирования. Функционал должен предоставлять следующие возможности:</w:t>
              <w:br/>
              <w:t>● возможность добавлять в поля текст, ссылки (с валидацией корректности указанных ссылок) и файлы;</w:t>
              <w:br/>
              <w:t>● возможность прикреплять файлы к описанию задания (например, шаблон проекта);</w:t>
              <w:br/>
              <w:t>● возможность возврата задания на доработку произвольное количество раз;</w:t>
              <w:br/>
              <w:t>● возможность прикрепления файлов к комментариям проверяющего задание преподавателя;</w:t>
              <w:br/>
              <w:t>● возможность настройки условий прохождения задания — сразу после отправки или только после проверки преподавателем.</w:t>
              <w:br/>
              <w:br/>
              <w:t>Материалы и презентации</w:t>
              <w:br/>
              <w:t>Модуль для размещения в системе информационных разделов произвольного содержания. Каждый такой раздел должен настраиваться отдельно. Функционал должен предоставлять следующие возможности:</w:t>
              <w:br/>
              <w:t>● возможность добавления любого количества информационных разделов и выведение их в главное меню;</w:t>
              <w:br/>
              <w:t>● возможность использования в тексте ссылок, изображений и табуляции;</w:t>
              <w:br/>
              <w:t>● возможность управления доступом к каждому разделу.</w:t>
              <w:br/>
              <w:br/>
              <w:t>Участники и кураторы</w:t>
              <w:br/>
              <w:t>Отображение профилей участников программы обучения.</w:t>
              <w:br/>
              <w:t>Профиль будет включать в себя:</w:t>
              <w:br/>
              <w:t>● ФИО;</w:t>
              <w:br/>
              <w:t>● Аватарку пользователя (если у пользователя не загружена аватарка, будет показываться плейсхолдер);</w:t>
              <w:br/>
              <w:t>● Должность (если указана);</w:t>
              <w:br/>
              <w:t>● Телефон;</w:t>
              <w:br/>
              <w:t>● Почта.</w:t>
            </w:r>
          </w:p>
        </w:tc>
      </w:tr>
    </w:tbl>
    <w:p>
      <w:pPr>
        <w:spacing w:before="240" w:after="120"/>
      </w:pPr>
      <w:r>
        <w:rPr>
          <w:rFonts w:ascii="Calibri" w:hAnsi="Calibri" w:eastAsia="Calibri" w:cs="Calibri"/>
          <w:b/>
          <w:sz w:val="22"/>
        </w:rPr>
        <w:t>РАЗДЕЛ 3. ТРЕБОВАНИЯ К ЛИЦЕНЗИИ</w:t>
      </w:r>
    </w:p>
    <w:tbl>
      <w:tblPr>
        <w:tblW w:type="dxa" w:w="9638"/>
        <w:jc w:val="center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tcBorders>
              <w:top w:val="single" w:sz="4" w:color="000000" w:space="0"/>
              <w:bottom w:val="single" w:sz="4" w:color="000000" w:space="0"/>
              <w:start w:val="single" w:sz="4" w:color="000000" w:space="0"/>
              <w:end w:val="single" w:sz="4" w:color="000000" w:space="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/>
                <w:sz w:val="22"/>
              </w:rPr>
              <w:t>Подраздел 3.1 Общие требования</w:t>
            </w:r>
          </w:p>
        </w:tc>
      </w:tr>
      <w:tr>
        <w:tc>
          <w:tcPr>
            <w:tcW w:type="dxa" w:w="10256"/>
            <w:tcBorders>
              <w:top w:val="single" w:sz="4" w:color="000000" w:space="0"/>
              <w:bottom w:val="single" w:sz="4" w:color="000000" w:space="0"/>
              <w:start w:val="single" w:sz="4" w:color="000000" w:space="0"/>
              <w:end w:val="single" w:sz="4" w:color="000000" w:space="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 w:val="0"/>
                <w:sz w:val="22"/>
              </w:rPr>
              <w:t>1. Платформа должна поддерживать работу в наиболее популярных браузерах (работа на ПК):</w:t>
              <w:br/>
              <w:t>- Yandex Browser версии 22 и выше;</w:t>
              <w:br/>
              <w:t>- Google Chrome версии 118 и выше;</w:t>
              <w:br/>
              <w:t>- Mozilla Firefox версии 118 и выше;</w:t>
              <w:br/>
              <w:t>- Opera версии 104 и выше;</w:t>
              <w:br/>
              <w:t>- Apple Safari версии 16 и выше;</w:t>
              <w:br/>
              <w:t>- Microsoft Edge версии 118 и выше.</w:t>
              <w:br/>
              <w:t>2. Обеспечить работу для 300 участников.</w:t>
              <w:br/>
              <w:t>3. Платформа должна включать в себя функционал, указанный в подразделе 2.2</w:t>
            </w:r>
          </w:p>
        </w:tc>
      </w:tr>
      <w:tr>
        <w:tc>
          <w:tcPr>
            <w:tcW w:type="dxa" w:w="10256"/>
            <w:tcBorders>
              <w:top w:val="single" w:sz="4" w:color="000000" w:space="0"/>
              <w:bottom w:val="single" w:sz="4" w:color="000000" w:space="0"/>
              <w:start w:val="single" w:sz="4" w:color="000000" w:space="0"/>
              <w:end w:val="single" w:sz="4" w:color="000000" w:space="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/>
                <w:sz w:val="22"/>
              </w:rPr>
              <w:t>Подраздел 3.2 Требования к лицензии и базовая техническая поддержка</w:t>
            </w:r>
          </w:p>
        </w:tc>
      </w:tr>
      <w:tr>
        <w:tc>
          <w:tcPr>
            <w:tcW w:type="dxa" w:w="10256"/>
            <w:tcBorders>
              <w:top w:val="single" w:sz="4" w:color="000000" w:space="0"/>
              <w:bottom w:val="single" w:sz="4" w:color="000000" w:space="0"/>
              <w:start w:val="single" w:sz="4" w:color="000000" w:space="0"/>
              <w:end w:val="single" w:sz="4" w:color="000000" w:space="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 w:val="0"/>
                <w:sz w:val="22"/>
              </w:rPr>
              <w:t>1. Правообладатель обязан согласовать с Заказчиком дизайн-макет Системы по электронной почте не позднее 15 марта 2026 года. При наличии замечаний Заказчика Правообладатель дорабатывает дизайн-макет Системы и повторно согласовывает с Заказчиком.</w:t>
              <w:br/>
              <w:t>2. По итогу согласования с Заказчиком дизайн-макета Системы Правообладатель обязуется предоставить работающую платформу, соответствующую Согласованному Заказчиком дизайн-макету и отвечающему указанному в требованиях к дизайн-макету функционалу – до 01 апреля 2026 года (включительно).</w:t>
              <w:br/>
              <w:t>3. Правообладатель обеспечивает работу Системы в период с 01.04.2026 г. по 16.12.2026 г..</w:t>
              <w:br/>
              <w:t>4. Техническое сопровождение работы Системы (базовая техническая поддержка) осуществляется Правообладателем. Первоначальный ввод контента осуществляется силами Правообладателя.</w:t>
              <w:br/>
              <w:t>5. После завершения Мероприятия, 16.12.2026 г. в срок до 20.12.2026 г. все данные, полученные в ходе оказания услуг, если иное не предусмотрено действующим законодательством РФ, подлежат удалению в сроки, предусмотренные Договором.</w:t>
              <w:br/>
              <w:t>6. Правообладатель предоставляет Акт об уничтожении данных в сроки, предусмотренные Договором.</w:t>
            </w:r>
          </w:p>
        </w:tc>
      </w:tr>
      <w:tr>
        <w:tc>
          <w:tcPr>
            <w:tcW w:type="dxa" w:w="10256"/>
            <w:tcBorders>
              <w:top w:val="single" w:sz="4" w:color="000000" w:space="0"/>
              <w:bottom w:val="single" w:sz="4" w:color="000000" w:space="0"/>
              <w:start w:val="single" w:sz="4" w:color="000000" w:space="0"/>
              <w:end w:val="single" w:sz="4" w:color="000000" w:space="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/>
                <w:sz w:val="22"/>
              </w:rPr>
              <w:t>Подраздел 3.3 Требования к конфиденциальности</w:t>
            </w:r>
          </w:p>
        </w:tc>
      </w:tr>
      <w:tr>
        <w:tc>
          <w:tcPr>
            <w:tcW w:type="dxa" w:w="10256"/>
            <w:tcBorders>
              <w:top w:val="single" w:sz="4" w:color="000000" w:space="0"/>
              <w:bottom w:val="single" w:sz="4" w:color="000000" w:space="0"/>
              <w:start w:val="single" w:sz="4" w:color="000000" w:space="0"/>
              <w:end w:val="single" w:sz="4" w:color="000000" w:space="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 w:val="0"/>
                <w:sz w:val="22"/>
              </w:rPr>
              <w:t>Исполнение обязательств по Договору должны отвечать требованиям конфиденциальности, предъявляемым действующим законодательством Российской Федерации.</w:t>
              <w:br/>
              <w:t>Также Правообладатель обязуется удалить все данные участников в срок не позднее 20.12.2026 г., если иное не предусмотрено законодательством РФ, и предоставить Акт об уничтожении данных.</w:t>
            </w:r>
          </w:p>
        </w:tc>
      </w:tr>
      <w:tr>
        <w:tc>
          <w:tcPr>
            <w:tcW w:type="dxa" w:w="10256"/>
            <w:tcBorders>
              <w:top w:val="single" w:sz="4" w:color="000000" w:space="0"/>
              <w:bottom w:val="single" w:sz="4" w:color="000000" w:space="0"/>
              <w:start w:val="single" w:sz="4" w:color="000000" w:space="0"/>
              <w:end w:val="single" w:sz="4" w:color="000000" w:space="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/>
                <w:sz w:val="22"/>
              </w:rPr>
              <w:t>Подраздел 3.5 Требования к безопасности</w:t>
            </w:r>
          </w:p>
        </w:tc>
      </w:tr>
      <w:tr>
        <w:tc>
          <w:tcPr>
            <w:tcW w:type="dxa" w:w="10256"/>
            <w:tcBorders>
              <w:top w:val="single" w:sz="4" w:color="000000" w:space="0"/>
              <w:bottom w:val="single" w:sz="4" w:color="000000" w:space="0"/>
              <w:start w:val="single" w:sz="4" w:color="000000" w:space="0"/>
              <w:end w:val="single" w:sz="4" w:color="000000" w:space="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 w:val="0"/>
                <w:sz w:val="22"/>
              </w:rPr>
              <w:t>Исполнение договора должно отвечать требованиям качества, безопасности жизни и здоровья, а также иным требованиям сертификации, безопасности (санитарным нормам и правилам, государственным стандартам и т.п.), лицензирования, предъявляемым действующим законодательством Российской Федерации.</w:t>
              <w:br/>
              <w:t>Ограничение по объему входящих электронных писем в адрес АНО «Энергия развития», размер одного письма не должен превышать 10 МБ</w:t>
            </w:r>
          </w:p>
        </w:tc>
      </w:tr>
      <w:tr>
        <w:tc>
          <w:tcPr>
            <w:tcW w:type="dxa" w:w="10256"/>
            <w:tcBorders>
              <w:top w:val="single" w:sz="4" w:color="000000" w:space="0"/>
              <w:bottom w:val="single" w:sz="4" w:color="000000" w:space="0"/>
              <w:start w:val="single" w:sz="4" w:color="000000" w:space="0"/>
              <w:end w:val="single" w:sz="4" w:color="000000" w:space="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/>
                <w:sz w:val="22"/>
              </w:rPr>
              <w:t>Подраздел 3.6. Специальные требования</w:t>
            </w:r>
          </w:p>
        </w:tc>
      </w:tr>
      <w:tr>
        <w:tc>
          <w:tcPr>
            <w:tcW w:type="dxa" w:w="10256"/>
            <w:tcBorders>
              <w:top w:val="single" w:sz="4" w:color="000000" w:space="0"/>
              <w:bottom w:val="single" w:sz="4" w:color="000000" w:space="0"/>
              <w:start w:val="single" w:sz="4" w:color="000000" w:space="0"/>
              <w:end w:val="single" w:sz="4" w:color="000000" w:space="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 w:val="0"/>
                <w:sz w:val="22"/>
              </w:rPr>
              <w:t>Не предъявляются.</w:t>
            </w:r>
          </w:p>
        </w:tc>
      </w:tr>
      <w:tr>
        <w:tc>
          <w:tcPr>
            <w:tcW w:type="dxa" w:w="10256"/>
            <w:tcBorders>
              <w:top w:val="single" w:sz="4" w:color="000000" w:space="0"/>
              <w:bottom w:val="single" w:sz="4" w:color="000000" w:space="0"/>
              <w:start w:val="single" w:sz="4" w:color="000000" w:space="0"/>
              <w:end w:val="single" w:sz="4" w:color="000000" w:space="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/>
                <w:sz w:val="22"/>
              </w:rPr>
              <w:t>Подраздел 3.7. Требования к сроку выполнения</w:t>
            </w:r>
          </w:p>
        </w:tc>
      </w:tr>
      <w:tr>
        <w:tc>
          <w:tcPr>
            <w:tcW w:type="dxa" w:w="10256"/>
            <w:tcBorders>
              <w:top w:val="single" w:sz="4" w:color="000000" w:space="0"/>
              <w:bottom w:val="single" w:sz="4" w:color="000000" w:space="0"/>
              <w:start w:val="single" w:sz="4" w:color="000000" w:space="0"/>
              <w:end w:val="single" w:sz="4" w:color="000000" w:space="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 w:val="0"/>
                <w:sz w:val="22"/>
              </w:rPr>
              <w:t>Срок: с даты заключения договора, окончание – 20.12.2026 г..</w:t>
            </w:r>
          </w:p>
        </w:tc>
      </w:tr>
    </w:tbl>
    <w:p>
      <w:pPr>
        <w:spacing w:before="240" w:after="120"/>
      </w:pPr>
      <w:r>
        <w:rPr>
          <w:rFonts w:ascii="Calibri" w:hAnsi="Calibri" w:eastAsia="Calibri" w:cs="Calibri"/>
          <w:b/>
          <w:sz w:val="22"/>
        </w:rPr>
        <w:t>РАЗДЕЛ 4. ПЕРЕДАЧИ ЛИЦЕНЗИИ</w:t>
      </w:r>
    </w:p>
    <w:tbl>
      <w:tblPr>
        <w:tblW w:type="dxa" w:w="9638"/>
        <w:jc w:val="center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tcBorders>
              <w:top w:val="single" w:sz="4" w:color="000000" w:space="0"/>
              <w:bottom w:val="single" w:sz="4" w:color="000000" w:space="0"/>
              <w:start w:val="single" w:sz="4" w:color="000000" w:space="0"/>
              <w:end w:val="single" w:sz="4" w:color="000000" w:space="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/>
                <w:sz w:val="22"/>
              </w:rPr>
              <w:t>Подраздел 4.1 Описание лицензии</w:t>
            </w:r>
          </w:p>
        </w:tc>
      </w:tr>
      <w:tr>
        <w:tc>
          <w:tcPr>
            <w:tcW w:type="dxa" w:w="10256"/>
            <w:tcBorders>
              <w:top w:val="single" w:sz="4" w:color="000000" w:space="0"/>
              <w:bottom w:val="single" w:sz="4" w:color="000000" w:space="0"/>
              <w:start w:val="single" w:sz="4" w:color="000000" w:space="0"/>
              <w:end w:val="single" w:sz="4" w:color="000000" w:space="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 w:val="0"/>
                <w:sz w:val="22"/>
              </w:rPr>
              <w:t>Конечным результатом является передача Заказчику прав на использование работоспособного ПО и оказание базовой технической поддержки на весь срок проведения мероприятия в рабочее время.</w:t>
            </w:r>
          </w:p>
        </w:tc>
      </w:tr>
      <w:tr>
        <w:tc>
          <w:tcPr>
            <w:tcW w:type="dxa" w:w="10256"/>
            <w:tcBorders>
              <w:top w:val="single" w:sz="4" w:color="000000" w:space="0"/>
              <w:bottom w:val="single" w:sz="4" w:color="000000" w:space="0"/>
              <w:start w:val="single" w:sz="4" w:color="000000" w:space="0"/>
              <w:end w:val="single" w:sz="4" w:color="000000" w:space="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/>
                <w:sz w:val="22"/>
              </w:rPr>
              <w:t>Подраздел 4.2 Требования по приемке лицензии</w:t>
            </w:r>
          </w:p>
        </w:tc>
      </w:tr>
      <w:tr>
        <w:tc>
          <w:tcPr>
            <w:tcW w:type="dxa" w:w="10256"/>
            <w:tcBorders>
              <w:top w:val="single" w:sz="4" w:color="000000" w:space="0"/>
              <w:bottom w:val="single" w:sz="4" w:color="000000" w:space="0"/>
              <w:start w:val="single" w:sz="4" w:color="000000" w:space="0"/>
              <w:end w:val="single" w:sz="4" w:color="000000" w:space="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 w:val="0"/>
                <w:sz w:val="22"/>
              </w:rPr>
              <w:t>4.2.1 Правообладатель передает Лицензиату Акт приема передачи прав.</w:t>
              <w:br/>
              <w:t>4.2.2 В течение 10 (Десяти) рабочих дней после подписания Договора Правообладатель составляет и передает Лицензиату 2 (Два) экземпляра Акта, подписанные со стороны Лицензиара.</w:t>
              <w:br/>
              <w:t>Лицензиат обязан подписать Акт и передать один экземпляр Правообладателю в течение 7 (Семи) рабочих дней после получения Акта, либо представить в этот срок Правообладателю письменные мотивированные возражения отказа.</w:t>
            </w:r>
          </w:p>
        </w:tc>
      </w:tr>
      <w:tr>
        <w:tc>
          <w:tcPr>
            <w:tcW w:type="dxa" w:w="10256"/>
            <w:tcBorders>
              <w:top w:val="single" w:sz="4" w:color="000000" w:space="0"/>
              <w:bottom w:val="single" w:sz="4" w:color="000000" w:space="0"/>
              <w:start w:val="single" w:sz="4" w:color="000000" w:space="0"/>
              <w:end w:val="single" w:sz="4" w:color="000000" w:space="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/>
                <w:sz w:val="22"/>
              </w:rPr>
              <w:t>Подраздел 4.3 Требования по передаче Заказчику технических и иных документов</w:t>
            </w:r>
          </w:p>
        </w:tc>
      </w:tr>
      <w:tr>
        <w:tc>
          <w:tcPr>
            <w:tcW w:type="dxa" w:w="10256"/>
            <w:tcBorders>
              <w:top w:val="single" w:sz="4" w:color="000000" w:space="0"/>
              <w:bottom w:val="single" w:sz="4" w:color="000000" w:space="0"/>
              <w:start w:val="single" w:sz="4" w:color="000000" w:space="0"/>
              <w:end w:val="single" w:sz="4" w:color="000000" w:space="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 w:val="0"/>
                <w:sz w:val="22"/>
              </w:rPr>
              <w:t>4.3.1. Отчётные документы оформляются в соответствии с общими требованиями к текстовым документам.</w:t>
              <w:br/>
              <w:t>После передачи прав, в указанный в п. 4.2.2 срок, Правообладатель направляет Заказчику:</w:t>
              <w:br/>
              <w:t>• акт приема-передачи прав.</w:t>
            </w:r>
          </w:p>
        </w:tc>
      </w:tr>
    </w:tbl>
    <w:p>
      <w:pPr>
        <w:spacing w:before="240" w:after="120"/>
      </w:pPr>
      <w:r>
        <w:rPr>
          <w:rFonts w:ascii="Calibri" w:hAnsi="Calibri" w:eastAsia="Calibri" w:cs="Calibri"/>
          <w:b/>
          <w:sz w:val="22"/>
        </w:rPr>
        <w:t>РАЗДЕЛ 5. ТРЕБОВАНИЯ К ТЕХНИЧЕСКОМУ ОБУЧЕНИЮ ПЕРСОНАЛА ЗАКАЗЧИКА</w:t>
      </w:r>
    </w:p>
    <w:tbl>
      <w:tblPr>
        <w:tblW w:type="dxa" w:w="9638"/>
        <w:jc w:val="center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tcBorders>
              <w:top w:val="single" w:sz="4" w:color="000000" w:space="0"/>
              <w:bottom w:val="single" w:sz="4" w:color="000000" w:space="0"/>
              <w:start w:val="single" w:sz="4" w:color="000000" w:space="0"/>
              <w:end w:val="single" w:sz="4" w:color="000000" w:space="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 w:val="0"/>
                <w:sz w:val="22"/>
              </w:rPr>
              <w:t>Правообладатель обязуется провести 1 (одно) полноценное обучение по работе с административной панелью для персонала Заказчика продолжительностью 1 (одно) час.</w:t>
            </w:r>
          </w:p>
        </w:tc>
      </w:tr>
    </w:tbl>
    <w:sectPr w:rsidR="00FC693F" w:rsidRPr="0006063C" w:rsidSect="00034616">
      <w:pgSz w:w="12240" w:h="15840"/>
      <w:pgMar w:top="1134" w:right="850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 w:cs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