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Calibri" w:cs="Calibri"/>
          <w:b/>
          <w:sz w:val="22"/>
        </w:rPr>
        <w:t>ТЕХНИЧЕСКОЕ ЗАДАНИЕ</w:t>
      </w:r>
    </w:p>
    <w:p>
      <w:pPr>
        <w:spacing w:before="240" w:after="120"/>
      </w:pPr>
      <w:r>
        <w:rPr>
          <w:rFonts w:ascii="Calibri" w:hAnsi="Calibri" w:eastAsia="Calibri" w:cs="Calibri"/>
          <w:b/>
          <w:sz w:val="22"/>
        </w:rPr>
        <w:t>РАЗДЕЛ 1. НАИМЕНОВАНИЕ ЛИЦЕНЗИИ</w:t>
      </w:r>
    </w:p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Предоставление неисключительной лицензии на использование программы для ЭВМ, для мероприятия «Информационная платформа и Туры возможностей» в рамках проекта «Туристическая онлайн-академия Росатома» в срок с даты заключения договора по 20.12.2026 г.</w:t>
            </w:r>
          </w:p>
        </w:tc>
      </w:tr>
    </w:tbl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2.1 Состав (перечень) лицензии. Общие требования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Предоставление неисключительной лицензии на использование программы для ЭВМ, для мероприятия «Информационная платформа и Туры возможностей» в рамках проекта «Туристическая онлайн-академия Росатома» (далее – Система).</w:t>
              <w:br/>
              <w:t>Конфигурирование программы для ЭВМ, для АНО «Энергия развития» (далее – Заказчик) в соответствии с требованиями, указанными в подразделах настоящего Технического задания.</w:t>
              <w:br/>
              <w:br/>
              <w:t>Клиентская часть должна включать:</w:t>
              <w:br/>
              <w:t>- платформу для доступа с персонального компьютера (далее – ПК) и мобильных устройств;</w:t>
              <w:br/>
              <w:t>- платформа должна поддерживать работу в наиболее популярных браузерах (работа на ПК):</w:t>
              <w:br/>
              <w:t>- Yandex Browser версии 22 и выше;</w:t>
              <w:br/>
              <w:t>- Google Chrome версии 118 и выше;</w:t>
              <w:br/>
              <w:t>- Mozilla Firefox версии 118 и выше;</w:t>
              <w:br/>
              <w:t>- Opera версии 104 и выше;</w:t>
              <w:br/>
              <w:t>- Apple Safari версии 16 и выше;</w:t>
              <w:br/>
              <w:t>- Microsoft Edge версии 118 и выше.</w:t>
              <w:br/>
              <w:br/>
              <w:t>Клиентская часть должна обладать интуитивно понятным интерфейсом.</w:t>
              <w:br/>
              <w:br/>
              <w:t>Требования к пользователям Системы:</w:t>
              <w:br/>
              <w:t>Для пользования платформой от сотрудников организации атомной отрасли не должно требоваться специальных технических навыков, знания технологий или программных продуктов, за исключением общих навыков работы с ПК и смартфоном и/или планшетом.</w:t>
              <w:br/>
              <w:br/>
              <w:t>Требования к сохранности информации:</w:t>
              <w:br/>
              <w:t>В Системе должен быть предусмотрен механизм резервного копирования структуры и содержимого базы данных. Процедура резервного копирования производится автоматически, раз в 24 часа.</w:t>
              <w:br/>
              <w:br/>
              <w:t>Требования к разграничению доступа:</w:t>
              <w:br/>
              <w:t>Для любого раздела, размещенного в Системе, должна быть реализована возможность настройки доступа к разделу для определенной группы (групп) пользователей. Количество групп пользователей и количество пользователей в группе не ограничено. Администраторы Системы могут формировать произвольные группы пользователей по необходимым им критериям. Перечень сотрудников, имеющих права администратора, предоставляются Заказчиком Исполнителю в рабочем порядке, но не позднее 3 (трех) рабочих дней с даты подписания договора. Группы пользователей, ограничения и запреты на доступ к контенту определяются и добавляются из панели администрирования. Помимо групп пользователей, доступ и возможности всех пользователей в Системе должны определяться их категорией доступа. Должно быть доступно как минимум 3 (три) категории доступа:</w:t>
              <w:br/>
              <w:t>- обычные пользователи (участники);</w:t>
              <w:br/>
              <w:t>- организаторы;</w:t>
              <w:br/>
              <w:t>- администраторы.</w:t>
              <w:br/>
              <w:t>Каждому из пользователей присваивается одна из категорий доступа. Обычные пользователи имеют доступ только к той части контента, которая доступна для тех групп пользователей, к которым относится данный пользователь. Организаторы имеют доступ к той части контента, которая доступна для их групп пользователей, а также им должен предоставляться отдельный интерфейс для отправки уведомлений, а также особые права по модерированию сообщений. Администраторы имеют доступ к административной части. Администраторы должны иметь возможность:</w:t>
              <w:br/>
              <w:t>- добавлять пользователей с указанием их категории доступа;</w:t>
              <w:br/>
              <w:t>- добавлять и удалять разделы в платформе;</w:t>
              <w:br/>
              <w:t>- настраивать доступность разделов для различных категорий участников;</w:t>
              <w:br/>
              <w:t>- администрировать материалы события;</w:t>
              <w:br/>
              <w:t>- управлять контентом события для всех категорий участников;</w:t>
              <w:br/>
              <w:t>- формировать отчетность.</w:t>
              <w:br/>
              <w:t>Пользователь Системы может относиться одновременно к двум категориям доступа и входить в несколько групп пользователей.</w:t>
              <w:br/>
              <w:br/>
              <w:t>Требования к функциям и задачам, выполняемым Системой.</w:t>
              <w:br/>
              <w:t>Структура платформы и внешний вид.</w:t>
              <w:br/>
              <w:t>Главное меню клиентской части Системы должно быть представлено в виде набора разделов, навигация между которыми осуществляется через панель ячеек с внутренними страницами, раскрывающими подробности по конкретному разделу. Система должна позволять администраторам заводить в рамках одной платформы несколько событий с индивидуальными настройками, используемым функционалом, контентом и списком пользователей в каждом событии. Система должна позволять администраторам гибко настраивать набор модулей и доступных разделов события под решаемую задачу:</w:t>
              <w:br/>
              <w:t>- гибко настраивать главное меню: добавлять новые разделы, редактировать и скрывать разделы;</w:t>
              <w:br/>
              <w:t>- менять названия разделов, выбирать иконки разделов из доступного набора, настраивать порядок следования разделов;</w:t>
              <w:br/>
              <w:t>- настраивать доступ к разделам по группам пользователей (категориям участников).</w:t>
              <w:br/>
              <w:t>Система должна позволять настраивать внешний вид платформы в соответствии с брендбуком Заказчика, а именно:</w:t>
              <w:br/>
              <w:t>- использование фирменных цветов;</w:t>
              <w:br/>
              <w:t>- использование логотипа;</w:t>
              <w:br/>
              <w:t>- возможность создания «white label» интерфейса Системы.</w:t>
              <w:br/>
              <w:br/>
              <w:t>Навигация</w:t>
              <w:br/>
              <w:t>Пользовательский интерфейс платформы должен обеспечивать наглядное, интуитивно понятное представление структуры, размещенной информации, быстрый и логичный переход к разделам и страницам. Навигационные элементы должны обеспечивать однозначное понимание пользователем их смысла: ссылки на страницы должны быть снабжены заголовками, условные обозначения соответствовать общепринятым.</w:t>
              <w:br/>
              <w:t>Система должна обеспечивать навигацию по всем ресурсам, доступным пользователю, и отображать соответствующую информацию.</w:t>
              <w:br/>
              <w:br/>
              <w:br/>
              <w:br/>
              <w:t>Техническое сопровождение Системы на период проведения мероприятия (01.07.2026 г. по 16.12.2026 г.) в рабочее время. Удаление данных и завершение доступа в срок не позднее 20.12.2026 г..</w:t>
            </w:r>
          </w:p>
        </w:tc>
      </w:tr>
    </w:tbl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2.2 Описание требований к функциям и задачам, выполняемым Системой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Главная страница</w:t>
              <w:br/>
              <w:t>Модуль для отображения главной страницы информационного портала. Должен включать:</w:t>
              <w:br/>
              <w:t>● видеоролик-презентацию, описание миссии и целей проекта;</w:t>
              <w:br/>
              <w:t>● интерактивную карту атомных городов с возможностью перехода к странице города;</w:t>
              <w:br/>
              <w:t>● отображение этапов программы с навигацией по разделам;</w:t>
              <w:br/>
              <w:t>● форму обратной связи «Хочу узнать подробнее»;</w:t>
              <w:br/>
              <w:t>● timeline-ленту событий;</w:t>
              <w:br/>
              <w:t>● адаптивную верстку для мобильных устройств и планшетов.</w:t>
              <w:br/>
              <w:br/>
              <w:t>Атомные города</w:t>
              <w:br/>
              <w:t>Модуль для размещения информации о городах присутствия ГК «Росатом». Функционал должен предоставлять следующие возможности:</w:t>
              <w:br/>
              <w:t>● каталог городов с фильтрами и поисковой строкой;</w:t>
              <w:br/>
              <w:t>● карточки городов с кратким описанием и медиаматериалами;</w:t>
              <w:br/>
              <w:t>● страницы городов с описанием инфраструктуры, достопримечательностей, социальных объектов;</w:t>
              <w:br/>
              <w:t>● связи между городами, турами, вакансиями и профилями жителей;</w:t>
              <w:br/>
              <w:t>● возможность добавления города в избранное (для авторизованных пользователей).</w:t>
              <w:br/>
              <w:br/>
              <w:t>Туры возможностей</w:t>
              <w:br/>
              <w:t>Модуль для размещения информации о турах по атомным городам. Функционал должен предоставлять следующие возможности:</w:t>
              <w:br/>
              <w:t>● каталог туров с фильтрацией по типу, городу, дате;</w:t>
              <w:br/>
              <w:t>● страницы проектов: «Старт в Атомград», «Атомы вкуса», «Лига лидеров развития»;</w:t>
              <w:br/>
              <w:t>● карточка тура с медиаматериалами, программой, датами проведения;</w:t>
              <w:br/>
              <w:t>● формы заявок на участие в туре;</w:t>
              <w:br/>
              <w:t>● счётчик эмоций (элемент геймификации).</w:t>
              <w:br/>
              <w:br/>
              <w:t>ВШГР (информационная часть)</w:t>
              <w:br/>
              <w:t>Модуль для размещения информации о Высшей школе гостеприимного развития. Функционал должен предоставлять следующие возможности:</w:t>
              <w:br/>
              <w:t>● описание системы ВШГР и контуров обучения;</w:t>
              <w:br/>
              <w:t>● карточки продуктов обучения (до 10 продуктов);</w:t>
              <w:br/>
              <w:t>● индивидуальные страницы каждого продукта с описанием и условиями;</w:t>
              <w:br/>
              <w:t>● формы заявок на обучение;</w:t>
              <w:br/>
              <w:t>● возможность скачивания коммерческих предложений.</w:t>
              <w:br/>
              <w:br/>
              <w:t>Исследования и «Атомы вкуса»</w:t>
              <w:br/>
              <w:t>Модуль для размещения информации об исследованиях и гастрономическом проекте. Функционал должен предоставлять следующие возможности:</w:t>
              <w:br/>
              <w:t>● описание методологии исследований;</w:t>
              <w:br/>
              <w:t>● кейсы и результаты проведенных исследований;</w:t>
              <w:br/>
              <w:t>● интерактивная карта городов с данными исследований;</w:t>
              <w:br/>
              <w:t>● книга атомных рецептов (раздел «Атомы вкуса»);</w:t>
              <w:br/>
              <w:t>● формы заявок на участие;</w:t>
              <w:br/>
              <w:t>● раздел партнёров проекта.</w:t>
              <w:br/>
              <w:br/>
              <w:t>Блог</w:t>
              <w:br/>
              <w:t>Модуль для публикации новостей и статей на платформе. Функционал должен предоставлять следующие возможности:</w:t>
              <w:br/>
              <w:t>● каталог статей с тегами и категориями;</w:t>
              <w:br/>
              <w:t>● страница отдельной статьи с поддержкой текста, изображений и видео;</w:t>
              <w:br/>
              <w:t>● фильтрация и поиск по статьям;</w:t>
              <w:br/>
              <w:t>● управление статьями через административную панель.</w:t>
              <w:br/>
              <w:br/>
              <w:t>Административная панель</w:t>
              <w:br/>
              <w:t>Модуль для управления контентом информационной части и туров. Функционал должен предоставлять следующие возможности:</w:t>
              <w:br/>
              <w:t>● CRUD-операции для управления городами, турами, программами, продуктами ВШГР;</w:t>
              <w:br/>
              <w:t>● управление заявками с возможностью экспорта в Excel;</w:t>
              <w:br/>
              <w:t>● медиа-менеджер для загрузки и управления файлами;</w:t>
              <w:br/>
              <w:t>● разграничение ролей и прав доступа администраторов;</w:t>
              <w:br/>
              <w:t>● модерация контента.</w:t>
            </w:r>
          </w:p>
        </w:tc>
      </w:tr>
    </w:tbl>
    <w:p>
      <w:pPr>
        <w:spacing w:before="240" w:after="120"/>
      </w:pPr>
      <w:r>
        <w:rPr>
          <w:rFonts w:ascii="Calibri" w:hAnsi="Calibri" w:eastAsia="Calibri" w:cs="Calibri"/>
          <w:b/>
          <w:sz w:val="22"/>
        </w:rPr>
        <w:t>РАЗДЕЛ 3. ТРЕБОВАНИЯ К ЛИЦЕНЗИИ</w:t>
      </w:r>
    </w:p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3.1 Общие требования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1. Платформа должна поддерживать работу в наиболее популярных браузерах (работа на ПК):</w:t>
              <w:br/>
              <w:t>- Yandex Browser версии 22 и выше;</w:t>
              <w:br/>
              <w:t>- Google Chrome версии 118 и выше;</w:t>
              <w:br/>
              <w:t>- Mozilla Firefox версии 118 и выше;</w:t>
              <w:br/>
              <w:t>- Opera версии 104 и выше;</w:t>
              <w:br/>
              <w:t>- Apple Safari версии 16 и выше;</w:t>
              <w:br/>
              <w:t>- Microsoft Edge версии 118 и выше.</w:t>
              <w:br/>
              <w:t>2. Обеспечить работу для 1000 участников.</w:t>
              <w:br/>
              <w:t>3. Платформа должна включать в себя функционал, указанный в подразделе 2.2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3.2 Требования к лицензии и базовая техническая поддержка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1. Правообладатель обязан согласовать с Заказчиком дизайн-макет Системы по электронной почте не позднее 15 мая 2026 года. При наличии замечаний Заказчика Правообладатель дорабатывает дизайн-макет Системы и повторно согласовывает с Заказчиком.</w:t>
              <w:br/>
              <w:t>2. По итогу согласования с Заказчиком дизайн-макета Системы Правообладатель обязуется предоставить работающую платформу, соответствующую Согласованному Заказчиком дизайн-макету и отвечающему указанному в требованиях к дизайн-макету функционалу – до 01 июля 2026 года (включительно).</w:t>
              <w:br/>
              <w:t>3. Правообладатель обеспечивает работу Системы в период с 01.07.2026 г. по 16.12.2026 г..</w:t>
              <w:br/>
              <w:t>4. Техническое сопровождение работы Системы (базовая техническая поддержка) осуществляется Правообладателем. Первоначальный ввод контента осуществляется силами Правообладателя.</w:t>
              <w:br/>
              <w:t>5. После завершения Мероприятия, 16.12.2026 г. в срок до 20.12.2026 г. все данные, полученные в ходе оказания услуг, если иное не предусмотрено действующим законодательством РФ, подлежат удалению в сроки, предусмотренные Договором.</w:t>
              <w:br/>
              <w:t>6. Правообладатель предоставляет Акт об уничтожении данных в сроки, предусмотренные Договором.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3.3 Требования к конфиденциальности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Исполнение обязательств по Договору должны отвечать требованиям конфиденциальности, предъявляемым действующим законодательством Российской Федерации.</w:t>
              <w:br/>
              <w:t>Также Правообладатель обязуется удалить все данные участников в срок не позднее 20.12.2026 г., если иное не предусмотрено законодательством РФ, и предоставить Акт об уничтожении данных.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3.5 Требования к безопасности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Исполнение договора должно отвечать требованиям качества, безопасности жизни и здоровья, а также иным требованиям сертификации, безопасности (санитарным нормам и правилам, государственным стандартам и т.п.), лицензирования, предъявляемым действующим законодательством Российской Федерации.</w:t>
              <w:br/>
              <w:t>Ограничение по объему входящих электронных писем в адрес АНО «Энергия развития», размер одного письма не должен превышать 10 МБ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3.6. Специальные требования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Не предъявляются.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3.7. Требования к сроку выполнения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Срок: с даты заключения договора, окончание – 20.12.2026 г..</w:t>
            </w:r>
          </w:p>
        </w:tc>
      </w:tr>
    </w:tbl>
    <w:p>
      <w:pPr>
        <w:spacing w:before="240" w:after="120"/>
      </w:pPr>
      <w:r>
        <w:rPr>
          <w:rFonts w:ascii="Calibri" w:hAnsi="Calibri" w:eastAsia="Calibri" w:cs="Calibri"/>
          <w:b/>
          <w:sz w:val="22"/>
        </w:rPr>
        <w:t>РАЗДЕЛ 4. ПЕРЕДАЧИ ЛИЦЕНЗИИ</w:t>
      </w:r>
    </w:p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4.1 Описание лицензии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Конечным результатом является передача Заказчику прав на использование работоспособного ПО и оказание базовой технической поддержки на весь срок проведения мероприятия в рабочее время.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4.2 Требования по приемке лицензии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4.2.1 Правообладатель передает Лицензиату Акт приема передачи прав.</w:t>
              <w:br/>
              <w:t>4.2.2 В течение 10 (Десяти) рабочих дней после подписания Договора Правообладатель составляет и передает Лицензиату 2 (Два) экземпляра Акта, подписанные со стороны Лицензиара.</w:t>
              <w:br/>
              <w:t>Лицензиат обязан подписать Акт и передать один экземпляр Правообладателю в течение 7 (Семи) рабочих дней после получения Акта, либо представить в этот срок Правообладателю письменные мотивированные возражения отказа.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Подраздел 4.3 Требования по передаче Заказчику технических и иных документов</w:t>
            </w:r>
          </w:p>
        </w:tc>
      </w:tr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4.3.1. Отчётные документы оформляются в соответствии с общими требованиями к текстовым документам.</w:t>
              <w:br/>
              <w:t>После передачи прав, в указанный в п. 4.2.2 срок, Правообладатель направляет Заказчику:</w:t>
              <w:br/>
              <w:t>• акт приема-передачи прав.</w:t>
            </w:r>
          </w:p>
        </w:tc>
      </w:tr>
    </w:tbl>
    <w:p>
      <w:pPr>
        <w:spacing w:before="240" w:after="120"/>
      </w:pPr>
      <w:r>
        <w:rPr>
          <w:rFonts w:ascii="Calibri" w:hAnsi="Calibri" w:eastAsia="Calibri" w:cs="Calibri"/>
          <w:b/>
          <w:sz w:val="22"/>
        </w:rPr>
        <w:t>РАЗДЕЛ 5. ТРЕБОВАНИЯ К ТЕХНИЧЕСКОМУ ОБУЧЕНИЮ ПЕРСОНАЛА ЗАКАЗЧИКА</w:t>
      </w:r>
    </w:p>
    <w:tbl>
      <w:tblPr>
        <w:tblW w:type="dxa" w:w="9638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tcBorders>
              <w:top w:val="single" w:sz="4" w:color="000000" w:space="0"/>
              <w:bottom w:val="single" w:sz="4" w:color="000000" w:space="0"/>
              <w:start w:val="single" w:sz="4" w:color="000000" w:space="0"/>
              <w:end w:val="single" w:sz="4" w:color="000000" w:space="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2"/>
              </w:rPr>
              <w:t>Правообладатель обязуется провести 1 (одно) полноценное обучение по работе с административной панелью для персонала Заказчика продолжительностью 1 (одно) час.</w:t>
            </w:r>
          </w:p>
        </w:tc>
      </w:tr>
    </w:tbl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