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b w:val="0"/>
          <w:kern w:val="0"/>
          <w:sz w:val="20"/>
          <w:szCs w:val="20"/>
        </w:rPr>
        <w:id w:val="-1320108613"/>
        <w:docPartObj>
          <w:docPartGallery w:val="Cover Pages"/>
          <w:docPartUnique/>
        </w:docPartObj>
      </w:sdtPr>
      <w:sdtEndPr>
        <w:rPr>
          <w:rFonts w:asciiTheme="minorHAnsi" w:eastAsia="Arial Unicode MS" w:hAnsiTheme="minorHAnsi"/>
          <w:color w:val="000000"/>
          <w:kern w:val="2"/>
        </w:rPr>
      </w:sdtEndPr>
      <w:sdtContent>
        <w:p w14:paraId="0398E8F5" w14:textId="349D0C58" w:rsidR="00CA3C7F" w:rsidRPr="00C7122C" w:rsidRDefault="00CA3C7F" w:rsidP="00B72AC8">
          <w:pPr>
            <w:pStyle w:val="Title0"/>
            <w:jc w:val="right"/>
            <w:rPr>
              <w:rFonts w:ascii="Arial" w:hAnsi="Arial"/>
              <w:sz w:val="20"/>
              <w:szCs w:val="20"/>
            </w:rPr>
          </w:pPr>
        </w:p>
        <w:p w14:paraId="1C2DC224" w14:textId="5A1D1175" w:rsidR="00CA3C7F" w:rsidRPr="00C7122C" w:rsidRDefault="00CA3C7F" w:rsidP="00B72AC8">
          <w:pPr>
            <w:rPr>
              <w:rFonts w:cs="Arial"/>
              <w:sz w:val="20"/>
              <w:szCs w:val="20"/>
            </w:rPr>
          </w:pPr>
        </w:p>
        <w:p w14:paraId="227DAF54" w14:textId="77777777" w:rsidR="00CA3C7F" w:rsidRPr="00C7122C" w:rsidRDefault="00CA3C7F" w:rsidP="00B72AC8">
          <w:pPr>
            <w:rPr>
              <w:rFonts w:cs="Arial"/>
              <w:sz w:val="20"/>
              <w:szCs w:val="20"/>
            </w:rPr>
          </w:pPr>
        </w:p>
        <w:p w14:paraId="4ABBF199" w14:textId="77777777" w:rsidR="00CA3C7F" w:rsidRPr="00C7122C" w:rsidRDefault="00CA3C7F" w:rsidP="00B72AC8">
          <w:pPr>
            <w:rPr>
              <w:rFonts w:cs="Arial"/>
              <w:sz w:val="20"/>
              <w:szCs w:val="20"/>
            </w:rPr>
          </w:pPr>
        </w:p>
        <w:p w14:paraId="27304A62" w14:textId="77777777" w:rsidR="00CA3C7F" w:rsidRPr="00C7122C" w:rsidRDefault="00CA3C7F" w:rsidP="00B72AC8">
          <w:pPr>
            <w:rPr>
              <w:rFonts w:cs="Arial"/>
              <w:sz w:val="20"/>
              <w:szCs w:val="20"/>
            </w:rPr>
          </w:pPr>
        </w:p>
        <w:p w14:paraId="02A2563D" w14:textId="77777777" w:rsidR="00CA3C7F" w:rsidRPr="00C7122C" w:rsidRDefault="00CA3C7F" w:rsidP="00B72AC8">
          <w:pPr>
            <w:pStyle w:val="Title0"/>
            <w:jc w:val="both"/>
            <w:rPr>
              <w:rFonts w:ascii="Arial" w:hAnsi="Arial"/>
              <w:sz w:val="20"/>
              <w:szCs w:val="20"/>
            </w:rPr>
          </w:pPr>
        </w:p>
        <w:p w14:paraId="28D32453" w14:textId="77777777" w:rsidR="00CA3C7F" w:rsidRPr="00C7122C" w:rsidRDefault="00CA3C7F" w:rsidP="00B72AC8">
          <w:pPr>
            <w:rPr>
              <w:sz w:val="20"/>
              <w:szCs w:val="20"/>
            </w:rPr>
          </w:pPr>
        </w:p>
        <w:p w14:paraId="4725468B" w14:textId="77777777" w:rsidR="00CA3C7F" w:rsidRPr="00C7122C" w:rsidRDefault="00CA3C7F" w:rsidP="00B72AC8">
          <w:pPr>
            <w:rPr>
              <w:sz w:val="20"/>
              <w:szCs w:val="20"/>
            </w:rPr>
          </w:pPr>
        </w:p>
        <w:p w14:paraId="7C100A6D" w14:textId="77777777" w:rsidR="00CA3C7F" w:rsidRPr="00C7122C" w:rsidRDefault="00CA3C7F" w:rsidP="00B72AC8">
          <w:pPr>
            <w:rPr>
              <w:sz w:val="20"/>
              <w:szCs w:val="20"/>
            </w:rPr>
          </w:pPr>
        </w:p>
        <w:p w14:paraId="0E6CDFD4" w14:textId="77777777" w:rsidR="00CA3C7F" w:rsidRPr="00C7122C" w:rsidRDefault="00CA3C7F" w:rsidP="00B72AC8">
          <w:pPr>
            <w:rPr>
              <w:sz w:val="20"/>
              <w:szCs w:val="20"/>
            </w:rPr>
          </w:pPr>
        </w:p>
        <w:p w14:paraId="01D36E9C" w14:textId="77777777" w:rsidR="00CA3C7F" w:rsidRPr="00C7122C" w:rsidRDefault="00CA3C7F" w:rsidP="00B72AC8">
          <w:pPr>
            <w:rPr>
              <w:sz w:val="20"/>
              <w:szCs w:val="20"/>
            </w:rPr>
          </w:pPr>
        </w:p>
        <w:p w14:paraId="2746F8B1" w14:textId="77777777" w:rsidR="00CA3C7F" w:rsidRPr="00C7122C" w:rsidRDefault="00CA3C7F" w:rsidP="00B72AC8">
          <w:pPr>
            <w:pStyle w:val="Body1"/>
            <w:rPr>
              <w:b/>
              <w:szCs w:val="20"/>
            </w:rPr>
          </w:pPr>
          <w:r w:rsidRPr="00C7122C">
            <w:rPr>
              <w:b/>
              <w:szCs w:val="20"/>
            </w:rPr>
            <w:t xml:space="preserve">Dated: </w:t>
          </w:r>
        </w:p>
        <w:p w14:paraId="68BF639C" w14:textId="77777777" w:rsidR="00CA3C7F" w:rsidRPr="00C7122C" w:rsidRDefault="006E4C90" w:rsidP="00B72AC8">
          <w:pPr>
            <w:pStyle w:val="Body1"/>
            <w:rPr>
              <w:szCs w:val="20"/>
            </w:rPr>
          </w:pPr>
          <w:r>
            <w:rPr>
              <w:noProof/>
              <w:szCs w:val="20"/>
              <w14:ligatures w14:val="none"/>
            </w:rPr>
            <w:pict w14:anchorId="1F3C5017">
              <v:rect id="_x0000_i1026" alt="" style="width:461.9pt;height:.05pt;mso-width-percent:0;mso-height-percent:0;mso-position-horizontal:absolute;mso-width-percent:0;mso-height-percent:0" o:hrpct="987" o:hralign="center" o:hrstd="t" o:hr="t" fillcolor="#a0a0a0" stroked="f"/>
            </w:pict>
          </w:r>
        </w:p>
        <w:p w14:paraId="115D4931" w14:textId="77777777" w:rsidR="00CA3C7F" w:rsidRPr="00C7122C" w:rsidRDefault="00CA3C7F" w:rsidP="00B72AC8">
          <w:pPr>
            <w:pStyle w:val="Body1"/>
            <w:rPr>
              <w:szCs w:val="20"/>
            </w:rPr>
          </w:pPr>
        </w:p>
        <w:p w14:paraId="42CD9765" w14:textId="77777777" w:rsidR="00CA3C7F" w:rsidRPr="00C7122C" w:rsidRDefault="00CA3C7F" w:rsidP="00B72AC8">
          <w:pPr>
            <w:pStyle w:val="Body1"/>
            <w:rPr>
              <w:szCs w:val="20"/>
            </w:rPr>
          </w:pPr>
        </w:p>
        <w:p w14:paraId="6DA3CEBC" w14:textId="77777777" w:rsidR="00B911C6" w:rsidRPr="00C7122C" w:rsidRDefault="00B911C6" w:rsidP="00CA3C7F">
          <w:pPr>
            <w:pStyle w:val="Body1"/>
            <w:rPr>
              <w:rFonts w:asciiTheme="minorHAnsi" w:eastAsiaTheme="minorHAnsi" w:hAnsiTheme="minorHAnsi"/>
              <w:b/>
              <w:szCs w:val="20"/>
              <w:lang w:eastAsia="en-US"/>
            </w:rPr>
          </w:pPr>
          <w:r w:rsidRPr="00C7122C">
            <w:rPr>
              <w:rFonts w:asciiTheme="minorHAnsi" w:eastAsiaTheme="minorHAnsi" w:hAnsiTheme="minorHAnsi"/>
              <w:b/>
              <w:szCs w:val="20"/>
              <w:lang w:eastAsia="en-US"/>
            </w:rPr>
            <w:t>IN HOME MEDIA LTD</w:t>
          </w:r>
        </w:p>
        <w:p w14:paraId="34BF4840" w14:textId="1536655A" w:rsidR="00CA3C7F" w:rsidRPr="00C7122C" w:rsidRDefault="00CA3C7F" w:rsidP="00CA3C7F">
          <w:pPr>
            <w:pStyle w:val="Body1"/>
            <w:rPr>
              <w:rFonts w:asciiTheme="minorHAnsi" w:eastAsiaTheme="minorHAnsi" w:hAnsiTheme="minorHAnsi"/>
              <w:b/>
              <w:szCs w:val="20"/>
              <w:lang w:eastAsia="en-US"/>
            </w:rPr>
          </w:pPr>
          <w:r w:rsidRPr="00C7122C">
            <w:rPr>
              <w:rFonts w:asciiTheme="minorHAnsi" w:eastAsiaTheme="minorHAnsi" w:hAnsiTheme="minorHAnsi"/>
              <w:b/>
              <w:szCs w:val="20"/>
              <w:lang w:eastAsia="en-US"/>
            </w:rPr>
            <w:t xml:space="preserve">Company No </w:t>
          </w:r>
          <w:r w:rsidR="00B911C6" w:rsidRPr="00C7122C">
            <w:rPr>
              <w:rFonts w:asciiTheme="minorHAnsi" w:eastAsiaTheme="minorHAnsi" w:hAnsiTheme="minorHAnsi"/>
              <w:b/>
              <w:szCs w:val="20"/>
              <w:lang w:eastAsia="en-US"/>
            </w:rPr>
            <w:t>14606919</w:t>
          </w:r>
        </w:p>
        <w:p w14:paraId="294395B8" w14:textId="77777777" w:rsidR="00CA3C7F" w:rsidRPr="00C7122C" w:rsidRDefault="00CA3C7F" w:rsidP="00B72AC8">
          <w:pPr>
            <w:rPr>
              <w:rFonts w:cs="Arial"/>
              <w:sz w:val="20"/>
              <w:szCs w:val="20"/>
            </w:rPr>
          </w:pPr>
        </w:p>
        <w:p w14:paraId="20D38A5A" w14:textId="77777777" w:rsidR="00CA3C7F" w:rsidRPr="00C7122C" w:rsidRDefault="006E4C90" w:rsidP="00B72AC8">
          <w:pPr>
            <w:rPr>
              <w:rFonts w:cs="Arial"/>
              <w:sz w:val="20"/>
              <w:szCs w:val="20"/>
            </w:rPr>
          </w:pPr>
          <w:r>
            <w:rPr>
              <w:rFonts w:cs="Arial"/>
              <w:noProof/>
              <w:sz w:val="20"/>
              <w:szCs w:val="20"/>
              <w14:ligatures w14:val="none"/>
            </w:rPr>
            <w:pict w14:anchorId="1DA2C5E8">
              <v:rect id="_x0000_i1025" alt="" style="width:468pt;height:.05pt;mso-width-percent:0;mso-height-percent:0;mso-width-percent:0;mso-height-percent:0" o:hralign="center" o:hrstd="t" o:hr="t" fillcolor="#a0a0a0" stroked="f"/>
            </w:pict>
          </w:r>
        </w:p>
        <w:p w14:paraId="6E6F5A00" w14:textId="77777777" w:rsidR="00CA3C7F" w:rsidRPr="00C7122C" w:rsidRDefault="00CA3C7F" w:rsidP="00B72AC8">
          <w:pPr>
            <w:pStyle w:val="Body1"/>
            <w:spacing w:after="0"/>
            <w:rPr>
              <w:szCs w:val="20"/>
            </w:rPr>
          </w:pPr>
        </w:p>
        <w:p w14:paraId="440C56E1" w14:textId="77777777" w:rsidR="00CA3C7F" w:rsidRPr="00C7122C" w:rsidRDefault="00CA3C7F" w:rsidP="00CA3C7F">
          <w:pPr>
            <w:pStyle w:val="Body1"/>
            <w:rPr>
              <w:rFonts w:asciiTheme="minorHAnsi" w:eastAsiaTheme="minorHAnsi" w:hAnsiTheme="minorHAnsi"/>
              <w:b/>
              <w:szCs w:val="20"/>
              <w:lang w:eastAsia="en-US"/>
            </w:rPr>
          </w:pPr>
          <w:r w:rsidRPr="00C7122C">
            <w:rPr>
              <w:rFonts w:asciiTheme="minorHAnsi" w:eastAsiaTheme="minorHAnsi" w:hAnsiTheme="minorHAnsi"/>
              <w:b/>
              <w:szCs w:val="20"/>
              <w:lang w:eastAsia="en-US"/>
            </w:rPr>
            <w:t>THE COMPANIES ACT 2006</w:t>
          </w:r>
        </w:p>
        <w:p w14:paraId="286DC7C9" w14:textId="77777777" w:rsidR="00CA3C7F" w:rsidRPr="00C7122C" w:rsidRDefault="00CA3C7F" w:rsidP="00CA3C7F">
          <w:pPr>
            <w:pStyle w:val="Body1"/>
            <w:rPr>
              <w:rFonts w:asciiTheme="minorHAnsi" w:eastAsiaTheme="minorHAnsi" w:hAnsiTheme="minorHAnsi"/>
              <w:b/>
              <w:szCs w:val="20"/>
              <w:lang w:eastAsia="en-US"/>
            </w:rPr>
          </w:pPr>
          <w:r w:rsidRPr="00C7122C">
            <w:rPr>
              <w:rFonts w:asciiTheme="minorHAnsi" w:eastAsiaTheme="minorHAnsi" w:hAnsiTheme="minorHAnsi"/>
              <w:b/>
              <w:szCs w:val="20"/>
              <w:lang w:eastAsia="en-US"/>
            </w:rPr>
            <w:t xml:space="preserve">PRIVATE COMPANY LIMITED BY SHARES </w:t>
          </w:r>
        </w:p>
        <w:p w14:paraId="6978C71B" w14:textId="16963FE4" w:rsidR="00CA3C7F" w:rsidRPr="00C7122C" w:rsidRDefault="00CA3C7F" w:rsidP="00CA3C7F">
          <w:pPr>
            <w:pStyle w:val="Body1"/>
            <w:rPr>
              <w:szCs w:val="20"/>
            </w:rPr>
          </w:pPr>
          <w:r w:rsidRPr="00C7122C">
            <w:rPr>
              <w:rFonts w:asciiTheme="minorHAnsi" w:eastAsiaTheme="minorHAnsi" w:hAnsiTheme="minorHAnsi"/>
              <w:b/>
              <w:szCs w:val="20"/>
              <w:lang w:eastAsia="en-US"/>
            </w:rPr>
            <w:t>ARTICLES OF ASSOCIATION</w:t>
          </w:r>
        </w:p>
        <w:p w14:paraId="597B4374" w14:textId="77777777" w:rsidR="00CA3C7F" w:rsidRPr="00C7122C" w:rsidRDefault="00CA3C7F" w:rsidP="00B72AC8">
          <w:pPr>
            <w:pStyle w:val="Body1"/>
            <w:rPr>
              <w:szCs w:val="20"/>
            </w:rPr>
          </w:pPr>
        </w:p>
        <w:p w14:paraId="4AC9C994" w14:textId="65A2E0F5" w:rsidR="00CA3C7F" w:rsidRPr="00C7122C" w:rsidRDefault="00CA3C7F">
          <w:pPr>
            <w:spacing w:after="200" w:line="24" w:lineRule="auto"/>
            <w:rPr>
              <w:rFonts w:ascii="Arial" w:eastAsia="Arial Unicode MS" w:hAnsi="Arial" w:cs="Arial"/>
              <w:b/>
              <w:color w:val="000000"/>
              <w:sz w:val="20"/>
              <w:szCs w:val="20"/>
            </w:rPr>
          </w:pPr>
          <w:r w:rsidRPr="00C7122C">
            <w:rPr>
              <w:rFonts w:eastAsia="Arial Unicode MS"/>
              <w:color w:val="000000"/>
              <w:sz w:val="20"/>
              <w:szCs w:val="20"/>
            </w:rPr>
            <w:br w:type="page"/>
          </w:r>
        </w:p>
      </w:sdtContent>
    </w:sdt>
    <w:p w14:paraId="73A317F0" w14:textId="77777777" w:rsidR="00900B09" w:rsidRPr="00C7122C" w:rsidRDefault="00900B09" w:rsidP="00EB0BF6">
      <w:pPr>
        <w:rPr>
          <w:sz w:val="20"/>
          <w:szCs w:val="20"/>
        </w:rPr>
        <w:sectPr w:rsidR="00900B09" w:rsidRPr="00C7122C" w:rsidSect="006E4C9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pPr>
    </w:p>
    <w:p w14:paraId="52DA37CA" w14:textId="2DA38740" w:rsidR="00900B09" w:rsidRPr="00C7122C" w:rsidRDefault="00E94771" w:rsidP="00E94771">
      <w:pPr>
        <w:pStyle w:val="Subtitle"/>
        <w:rPr>
          <w:sz w:val="20"/>
        </w:rPr>
      </w:pPr>
      <w:r w:rsidRPr="00C7122C">
        <w:rPr>
          <w:sz w:val="20"/>
        </w:rPr>
        <w:lastRenderedPageBreak/>
        <w:t>Contents</w:t>
      </w:r>
    </w:p>
    <w:p w14:paraId="1256C9BF" w14:textId="06D82301" w:rsidR="00EE3F1E" w:rsidRDefault="000077D6">
      <w:pPr>
        <w:pStyle w:val="TOC1"/>
        <w:rPr>
          <w:rFonts w:asciiTheme="minorHAnsi" w:eastAsiaTheme="minorEastAsia" w:hAnsiTheme="minorHAnsi" w:cstheme="minorBidi"/>
          <w:noProof/>
          <w:sz w:val="22"/>
          <w:szCs w:val="22"/>
          <w:lang w:eastAsia="en-GB"/>
        </w:rPr>
      </w:pPr>
      <w:r w:rsidRPr="00C7122C">
        <w:rPr>
          <w:kern w:val="0"/>
        </w:rPr>
        <w:fldChar w:fldCharType="begin"/>
      </w:r>
      <w:r w:rsidRPr="00C7122C">
        <w:instrText xml:space="preserve"> TOC \h \z \t "* Level 1,1,*Commercial .Schedule Title,1" </w:instrText>
      </w:r>
      <w:r w:rsidRPr="00C7122C">
        <w:rPr>
          <w:kern w:val="0"/>
        </w:rPr>
        <w:fldChar w:fldCharType="separate"/>
      </w:r>
      <w:hyperlink w:anchor="_Toc149833869" w:history="1">
        <w:r w:rsidR="00EE3F1E" w:rsidRPr="00F87915">
          <w:rPr>
            <w:rStyle w:val="Hyperlink"/>
            <w:rFonts w:eastAsiaTheme="majorEastAsia"/>
            <w:noProof/>
          </w:rPr>
          <w:t>1</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Interpretation</w:t>
        </w:r>
        <w:r w:rsidR="00EE3F1E">
          <w:rPr>
            <w:noProof/>
            <w:webHidden/>
          </w:rPr>
          <w:tab/>
        </w:r>
        <w:r w:rsidR="00EE3F1E">
          <w:rPr>
            <w:noProof/>
            <w:webHidden/>
          </w:rPr>
          <w:fldChar w:fldCharType="begin"/>
        </w:r>
        <w:r w:rsidR="00EE3F1E">
          <w:rPr>
            <w:noProof/>
            <w:webHidden/>
          </w:rPr>
          <w:instrText xml:space="preserve"> PAGEREF _Toc149833869 \h </w:instrText>
        </w:r>
        <w:r w:rsidR="00EE3F1E">
          <w:rPr>
            <w:noProof/>
            <w:webHidden/>
          </w:rPr>
        </w:r>
        <w:r w:rsidR="00EE3F1E">
          <w:rPr>
            <w:noProof/>
            <w:webHidden/>
          </w:rPr>
          <w:fldChar w:fldCharType="separate"/>
        </w:r>
        <w:r w:rsidR="00EE3F1E">
          <w:rPr>
            <w:noProof/>
            <w:webHidden/>
          </w:rPr>
          <w:t>1</w:t>
        </w:r>
        <w:r w:rsidR="00EE3F1E">
          <w:rPr>
            <w:noProof/>
            <w:webHidden/>
          </w:rPr>
          <w:fldChar w:fldCharType="end"/>
        </w:r>
      </w:hyperlink>
    </w:p>
    <w:p w14:paraId="26866B6C" w14:textId="3FD93770" w:rsidR="00EE3F1E" w:rsidRDefault="00000000">
      <w:pPr>
        <w:pStyle w:val="TOC1"/>
        <w:rPr>
          <w:rFonts w:asciiTheme="minorHAnsi" w:eastAsiaTheme="minorEastAsia" w:hAnsiTheme="minorHAnsi" w:cstheme="minorBidi"/>
          <w:noProof/>
          <w:sz w:val="22"/>
          <w:szCs w:val="22"/>
          <w:lang w:eastAsia="en-GB"/>
        </w:rPr>
      </w:pPr>
      <w:hyperlink w:anchor="_Toc149833870" w:history="1">
        <w:r w:rsidR="00EE3F1E" w:rsidRPr="00F87915">
          <w:rPr>
            <w:rStyle w:val="Hyperlink"/>
            <w:rFonts w:eastAsiaTheme="majorEastAsia"/>
            <w:noProof/>
          </w:rPr>
          <w:t>2</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Adoption of the Model Articles</w:t>
        </w:r>
        <w:r w:rsidR="00EE3F1E">
          <w:rPr>
            <w:noProof/>
            <w:webHidden/>
          </w:rPr>
          <w:tab/>
        </w:r>
        <w:r w:rsidR="00EE3F1E">
          <w:rPr>
            <w:noProof/>
            <w:webHidden/>
          </w:rPr>
          <w:fldChar w:fldCharType="begin"/>
        </w:r>
        <w:r w:rsidR="00EE3F1E">
          <w:rPr>
            <w:noProof/>
            <w:webHidden/>
          </w:rPr>
          <w:instrText xml:space="preserve"> PAGEREF _Toc149833870 \h </w:instrText>
        </w:r>
        <w:r w:rsidR="00EE3F1E">
          <w:rPr>
            <w:noProof/>
            <w:webHidden/>
          </w:rPr>
        </w:r>
        <w:r w:rsidR="00EE3F1E">
          <w:rPr>
            <w:noProof/>
            <w:webHidden/>
          </w:rPr>
          <w:fldChar w:fldCharType="separate"/>
        </w:r>
        <w:r w:rsidR="00EE3F1E">
          <w:rPr>
            <w:noProof/>
            <w:webHidden/>
          </w:rPr>
          <w:t>3</w:t>
        </w:r>
        <w:r w:rsidR="00EE3F1E">
          <w:rPr>
            <w:noProof/>
            <w:webHidden/>
          </w:rPr>
          <w:fldChar w:fldCharType="end"/>
        </w:r>
      </w:hyperlink>
    </w:p>
    <w:p w14:paraId="0DD3C935" w14:textId="5F74882F" w:rsidR="00EE3F1E" w:rsidRDefault="00000000">
      <w:pPr>
        <w:pStyle w:val="TOC1"/>
        <w:rPr>
          <w:rFonts w:asciiTheme="minorHAnsi" w:eastAsiaTheme="minorEastAsia" w:hAnsiTheme="minorHAnsi" w:cstheme="minorBidi"/>
          <w:noProof/>
          <w:sz w:val="22"/>
          <w:szCs w:val="22"/>
          <w:lang w:eastAsia="en-GB"/>
        </w:rPr>
      </w:pPr>
      <w:hyperlink w:anchor="_Toc149833871" w:history="1">
        <w:r w:rsidR="00EE3F1E" w:rsidRPr="00F87915">
          <w:rPr>
            <w:rStyle w:val="Hyperlink"/>
            <w:rFonts w:eastAsiaTheme="majorEastAsia"/>
            <w:noProof/>
          </w:rPr>
          <w:t>3</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Number of directors</w:t>
        </w:r>
        <w:r w:rsidR="00EE3F1E">
          <w:rPr>
            <w:noProof/>
            <w:webHidden/>
          </w:rPr>
          <w:tab/>
        </w:r>
        <w:r w:rsidR="00EE3F1E">
          <w:rPr>
            <w:noProof/>
            <w:webHidden/>
          </w:rPr>
          <w:fldChar w:fldCharType="begin"/>
        </w:r>
        <w:r w:rsidR="00EE3F1E">
          <w:rPr>
            <w:noProof/>
            <w:webHidden/>
          </w:rPr>
          <w:instrText xml:space="preserve"> PAGEREF _Toc149833871 \h </w:instrText>
        </w:r>
        <w:r w:rsidR="00EE3F1E">
          <w:rPr>
            <w:noProof/>
            <w:webHidden/>
          </w:rPr>
        </w:r>
        <w:r w:rsidR="00EE3F1E">
          <w:rPr>
            <w:noProof/>
            <w:webHidden/>
          </w:rPr>
          <w:fldChar w:fldCharType="separate"/>
        </w:r>
        <w:r w:rsidR="00EE3F1E">
          <w:rPr>
            <w:noProof/>
            <w:webHidden/>
          </w:rPr>
          <w:t>4</w:t>
        </w:r>
        <w:r w:rsidR="00EE3F1E">
          <w:rPr>
            <w:noProof/>
            <w:webHidden/>
          </w:rPr>
          <w:fldChar w:fldCharType="end"/>
        </w:r>
      </w:hyperlink>
    </w:p>
    <w:p w14:paraId="10DAA7DC" w14:textId="59CA8AA6" w:rsidR="00EE3F1E" w:rsidRDefault="00000000">
      <w:pPr>
        <w:pStyle w:val="TOC1"/>
        <w:rPr>
          <w:rFonts w:asciiTheme="minorHAnsi" w:eastAsiaTheme="minorEastAsia" w:hAnsiTheme="minorHAnsi" w:cstheme="minorBidi"/>
          <w:noProof/>
          <w:sz w:val="22"/>
          <w:szCs w:val="22"/>
          <w:lang w:eastAsia="en-GB"/>
        </w:rPr>
      </w:pPr>
      <w:hyperlink w:anchor="_Toc149833872" w:history="1">
        <w:r w:rsidR="00EE3F1E" w:rsidRPr="00F87915">
          <w:rPr>
            <w:rStyle w:val="Hyperlink"/>
            <w:rFonts w:eastAsiaTheme="majorEastAsia"/>
            <w:noProof/>
          </w:rPr>
          <w:t>4</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Proceedings of directors</w:t>
        </w:r>
        <w:r w:rsidR="00EE3F1E">
          <w:rPr>
            <w:noProof/>
            <w:webHidden/>
          </w:rPr>
          <w:tab/>
        </w:r>
        <w:r w:rsidR="00EE3F1E">
          <w:rPr>
            <w:noProof/>
            <w:webHidden/>
          </w:rPr>
          <w:fldChar w:fldCharType="begin"/>
        </w:r>
        <w:r w:rsidR="00EE3F1E">
          <w:rPr>
            <w:noProof/>
            <w:webHidden/>
          </w:rPr>
          <w:instrText xml:space="preserve"> PAGEREF _Toc149833872 \h </w:instrText>
        </w:r>
        <w:r w:rsidR="00EE3F1E">
          <w:rPr>
            <w:noProof/>
            <w:webHidden/>
          </w:rPr>
        </w:r>
        <w:r w:rsidR="00EE3F1E">
          <w:rPr>
            <w:noProof/>
            <w:webHidden/>
          </w:rPr>
          <w:fldChar w:fldCharType="separate"/>
        </w:r>
        <w:r w:rsidR="00EE3F1E">
          <w:rPr>
            <w:noProof/>
            <w:webHidden/>
          </w:rPr>
          <w:t>4</w:t>
        </w:r>
        <w:r w:rsidR="00EE3F1E">
          <w:rPr>
            <w:noProof/>
            <w:webHidden/>
          </w:rPr>
          <w:fldChar w:fldCharType="end"/>
        </w:r>
      </w:hyperlink>
    </w:p>
    <w:p w14:paraId="2F665FD7" w14:textId="68730590" w:rsidR="00EE3F1E" w:rsidRDefault="00000000">
      <w:pPr>
        <w:pStyle w:val="TOC1"/>
        <w:rPr>
          <w:rFonts w:asciiTheme="minorHAnsi" w:eastAsiaTheme="minorEastAsia" w:hAnsiTheme="minorHAnsi" w:cstheme="minorBidi"/>
          <w:noProof/>
          <w:sz w:val="22"/>
          <w:szCs w:val="22"/>
          <w:lang w:eastAsia="en-GB"/>
        </w:rPr>
      </w:pPr>
      <w:hyperlink w:anchor="_Toc149833873" w:history="1">
        <w:r w:rsidR="00EE3F1E" w:rsidRPr="00F87915">
          <w:rPr>
            <w:rStyle w:val="Hyperlink"/>
            <w:rFonts w:eastAsiaTheme="majorEastAsia"/>
            <w:noProof/>
          </w:rPr>
          <w:t>5</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Appointment and removal of directors</w:t>
        </w:r>
        <w:r w:rsidR="00EE3F1E">
          <w:rPr>
            <w:noProof/>
            <w:webHidden/>
          </w:rPr>
          <w:tab/>
        </w:r>
        <w:r w:rsidR="00EE3F1E">
          <w:rPr>
            <w:noProof/>
            <w:webHidden/>
          </w:rPr>
          <w:fldChar w:fldCharType="begin"/>
        </w:r>
        <w:r w:rsidR="00EE3F1E">
          <w:rPr>
            <w:noProof/>
            <w:webHidden/>
          </w:rPr>
          <w:instrText xml:space="preserve"> PAGEREF _Toc149833873 \h </w:instrText>
        </w:r>
        <w:r w:rsidR="00EE3F1E">
          <w:rPr>
            <w:noProof/>
            <w:webHidden/>
          </w:rPr>
        </w:r>
        <w:r w:rsidR="00EE3F1E">
          <w:rPr>
            <w:noProof/>
            <w:webHidden/>
          </w:rPr>
          <w:fldChar w:fldCharType="separate"/>
        </w:r>
        <w:r w:rsidR="00EE3F1E">
          <w:rPr>
            <w:noProof/>
            <w:webHidden/>
          </w:rPr>
          <w:t>4</w:t>
        </w:r>
        <w:r w:rsidR="00EE3F1E">
          <w:rPr>
            <w:noProof/>
            <w:webHidden/>
          </w:rPr>
          <w:fldChar w:fldCharType="end"/>
        </w:r>
      </w:hyperlink>
    </w:p>
    <w:p w14:paraId="0577886F" w14:textId="0139FA5B" w:rsidR="00EE3F1E" w:rsidRDefault="00000000">
      <w:pPr>
        <w:pStyle w:val="TOC1"/>
        <w:rPr>
          <w:rFonts w:asciiTheme="minorHAnsi" w:eastAsiaTheme="minorEastAsia" w:hAnsiTheme="minorHAnsi" w:cstheme="minorBidi"/>
          <w:noProof/>
          <w:sz w:val="22"/>
          <w:szCs w:val="22"/>
          <w:lang w:eastAsia="en-GB"/>
        </w:rPr>
      </w:pPr>
      <w:hyperlink w:anchor="_Toc149833874" w:history="1">
        <w:r w:rsidR="00EE3F1E" w:rsidRPr="00F87915">
          <w:rPr>
            <w:rStyle w:val="Hyperlink"/>
            <w:rFonts w:eastAsiaTheme="majorEastAsia"/>
            <w:noProof/>
          </w:rPr>
          <w:t>6</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Transactions or other arrangements with the Company</w:t>
        </w:r>
        <w:r w:rsidR="00EE3F1E">
          <w:rPr>
            <w:noProof/>
            <w:webHidden/>
          </w:rPr>
          <w:tab/>
        </w:r>
        <w:r w:rsidR="00EE3F1E">
          <w:rPr>
            <w:noProof/>
            <w:webHidden/>
          </w:rPr>
          <w:fldChar w:fldCharType="begin"/>
        </w:r>
        <w:r w:rsidR="00EE3F1E">
          <w:rPr>
            <w:noProof/>
            <w:webHidden/>
          </w:rPr>
          <w:instrText xml:space="preserve"> PAGEREF _Toc149833874 \h </w:instrText>
        </w:r>
        <w:r w:rsidR="00EE3F1E">
          <w:rPr>
            <w:noProof/>
            <w:webHidden/>
          </w:rPr>
        </w:r>
        <w:r w:rsidR="00EE3F1E">
          <w:rPr>
            <w:noProof/>
            <w:webHidden/>
          </w:rPr>
          <w:fldChar w:fldCharType="separate"/>
        </w:r>
        <w:r w:rsidR="00EE3F1E">
          <w:rPr>
            <w:noProof/>
            <w:webHidden/>
          </w:rPr>
          <w:t>5</w:t>
        </w:r>
        <w:r w:rsidR="00EE3F1E">
          <w:rPr>
            <w:noProof/>
            <w:webHidden/>
          </w:rPr>
          <w:fldChar w:fldCharType="end"/>
        </w:r>
      </w:hyperlink>
    </w:p>
    <w:p w14:paraId="55B9CF2F" w14:textId="1383E326" w:rsidR="00EE3F1E" w:rsidRDefault="00000000">
      <w:pPr>
        <w:pStyle w:val="TOC1"/>
        <w:rPr>
          <w:rFonts w:asciiTheme="minorHAnsi" w:eastAsiaTheme="minorEastAsia" w:hAnsiTheme="minorHAnsi" w:cstheme="minorBidi"/>
          <w:noProof/>
          <w:sz w:val="22"/>
          <w:szCs w:val="22"/>
          <w:lang w:eastAsia="en-GB"/>
        </w:rPr>
      </w:pPr>
      <w:hyperlink w:anchor="_Toc149833875" w:history="1">
        <w:r w:rsidR="00EE3F1E" w:rsidRPr="00F87915">
          <w:rPr>
            <w:rStyle w:val="Hyperlink"/>
            <w:rFonts w:eastAsiaTheme="majorEastAsia"/>
            <w:noProof/>
          </w:rPr>
          <w:t>7</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Directors' conflicts</w:t>
        </w:r>
        <w:r w:rsidR="00EE3F1E">
          <w:rPr>
            <w:noProof/>
            <w:webHidden/>
          </w:rPr>
          <w:tab/>
        </w:r>
        <w:r w:rsidR="00EE3F1E">
          <w:rPr>
            <w:noProof/>
            <w:webHidden/>
          </w:rPr>
          <w:fldChar w:fldCharType="begin"/>
        </w:r>
        <w:r w:rsidR="00EE3F1E">
          <w:rPr>
            <w:noProof/>
            <w:webHidden/>
          </w:rPr>
          <w:instrText xml:space="preserve"> PAGEREF _Toc149833875 \h </w:instrText>
        </w:r>
        <w:r w:rsidR="00EE3F1E">
          <w:rPr>
            <w:noProof/>
            <w:webHidden/>
          </w:rPr>
        </w:r>
        <w:r w:rsidR="00EE3F1E">
          <w:rPr>
            <w:noProof/>
            <w:webHidden/>
          </w:rPr>
          <w:fldChar w:fldCharType="separate"/>
        </w:r>
        <w:r w:rsidR="00EE3F1E">
          <w:rPr>
            <w:noProof/>
            <w:webHidden/>
          </w:rPr>
          <w:t>5</w:t>
        </w:r>
        <w:r w:rsidR="00EE3F1E">
          <w:rPr>
            <w:noProof/>
            <w:webHidden/>
          </w:rPr>
          <w:fldChar w:fldCharType="end"/>
        </w:r>
      </w:hyperlink>
    </w:p>
    <w:p w14:paraId="544E1524" w14:textId="5D693B21" w:rsidR="00EE3F1E" w:rsidRDefault="00000000">
      <w:pPr>
        <w:pStyle w:val="TOC1"/>
        <w:rPr>
          <w:rFonts w:asciiTheme="minorHAnsi" w:eastAsiaTheme="minorEastAsia" w:hAnsiTheme="minorHAnsi" w:cstheme="minorBidi"/>
          <w:noProof/>
          <w:sz w:val="22"/>
          <w:szCs w:val="22"/>
          <w:lang w:eastAsia="en-GB"/>
        </w:rPr>
      </w:pPr>
      <w:hyperlink w:anchor="_Toc149833876" w:history="1">
        <w:r w:rsidR="00EE3F1E" w:rsidRPr="00F87915">
          <w:rPr>
            <w:rStyle w:val="Hyperlink"/>
            <w:rFonts w:eastAsiaTheme="majorEastAsia"/>
            <w:bCs/>
            <w:noProof/>
          </w:rPr>
          <w:t>8</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Voting</w:t>
        </w:r>
        <w:r w:rsidR="00EE3F1E">
          <w:rPr>
            <w:noProof/>
            <w:webHidden/>
          </w:rPr>
          <w:tab/>
        </w:r>
        <w:r w:rsidR="00EE3F1E">
          <w:rPr>
            <w:noProof/>
            <w:webHidden/>
          </w:rPr>
          <w:fldChar w:fldCharType="begin"/>
        </w:r>
        <w:r w:rsidR="00EE3F1E">
          <w:rPr>
            <w:noProof/>
            <w:webHidden/>
          </w:rPr>
          <w:instrText xml:space="preserve"> PAGEREF _Toc149833876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528DE277" w14:textId="4EF87DA0" w:rsidR="00EE3F1E" w:rsidRDefault="00000000">
      <w:pPr>
        <w:pStyle w:val="TOC1"/>
        <w:rPr>
          <w:rFonts w:asciiTheme="minorHAnsi" w:eastAsiaTheme="minorEastAsia" w:hAnsiTheme="minorHAnsi" w:cstheme="minorBidi"/>
          <w:noProof/>
          <w:sz w:val="22"/>
          <w:szCs w:val="22"/>
          <w:lang w:eastAsia="en-GB"/>
        </w:rPr>
      </w:pPr>
      <w:hyperlink w:anchor="_Toc149833877" w:history="1">
        <w:r w:rsidR="00EE3F1E" w:rsidRPr="00F87915">
          <w:rPr>
            <w:rStyle w:val="Hyperlink"/>
            <w:rFonts w:eastAsiaTheme="majorEastAsia"/>
            <w:noProof/>
          </w:rPr>
          <w:t>9</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Dividends</w:t>
        </w:r>
        <w:r w:rsidR="00EE3F1E">
          <w:rPr>
            <w:noProof/>
            <w:webHidden/>
          </w:rPr>
          <w:tab/>
        </w:r>
        <w:r w:rsidR="00EE3F1E">
          <w:rPr>
            <w:noProof/>
            <w:webHidden/>
          </w:rPr>
          <w:fldChar w:fldCharType="begin"/>
        </w:r>
        <w:r w:rsidR="00EE3F1E">
          <w:rPr>
            <w:noProof/>
            <w:webHidden/>
          </w:rPr>
          <w:instrText xml:space="preserve"> PAGEREF _Toc149833877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2835C7A6" w14:textId="27D5318A" w:rsidR="00EE3F1E" w:rsidRDefault="00000000" w:rsidP="00DC406E">
      <w:pPr>
        <w:pStyle w:val="TOC1"/>
        <w:rPr>
          <w:rFonts w:asciiTheme="minorHAnsi" w:eastAsiaTheme="minorEastAsia" w:hAnsiTheme="minorHAnsi" w:cstheme="minorBidi"/>
          <w:noProof/>
          <w:sz w:val="22"/>
          <w:szCs w:val="22"/>
          <w:lang w:eastAsia="en-GB"/>
        </w:rPr>
      </w:pPr>
      <w:hyperlink w:anchor="_Toc149833878" w:history="1">
        <w:r w:rsidR="00EE3F1E" w:rsidRPr="00F87915">
          <w:rPr>
            <w:rStyle w:val="Hyperlink"/>
            <w:rFonts w:eastAsiaTheme="majorEastAsia"/>
            <w:noProof/>
          </w:rPr>
          <w:t>10</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Return of Capital</w:t>
        </w:r>
        <w:r w:rsidR="00EE3F1E">
          <w:rPr>
            <w:noProof/>
            <w:webHidden/>
          </w:rPr>
          <w:tab/>
        </w:r>
        <w:r w:rsidR="00EE3F1E">
          <w:rPr>
            <w:noProof/>
            <w:webHidden/>
          </w:rPr>
          <w:fldChar w:fldCharType="begin"/>
        </w:r>
        <w:r w:rsidR="00EE3F1E">
          <w:rPr>
            <w:noProof/>
            <w:webHidden/>
          </w:rPr>
          <w:instrText xml:space="preserve"> PAGEREF _Toc149833878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3238EBAB" w14:textId="19B6BEFE" w:rsidR="00EE3F1E" w:rsidRDefault="00000000" w:rsidP="00DC406E">
      <w:pPr>
        <w:pStyle w:val="TOC1"/>
        <w:rPr>
          <w:rFonts w:asciiTheme="minorHAnsi" w:eastAsiaTheme="minorEastAsia" w:hAnsiTheme="minorHAnsi" w:cstheme="minorBidi"/>
          <w:noProof/>
          <w:sz w:val="22"/>
          <w:szCs w:val="22"/>
          <w:lang w:eastAsia="en-GB"/>
        </w:rPr>
      </w:pPr>
      <w:hyperlink w:anchor="_Toc149833879" w:history="1">
        <w:r w:rsidR="00EE3F1E" w:rsidRPr="00F87915">
          <w:rPr>
            <w:rStyle w:val="Hyperlink"/>
            <w:rFonts w:eastAsiaTheme="majorEastAsia"/>
            <w:noProof/>
          </w:rPr>
          <w:t>11</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Share Sale</w:t>
        </w:r>
        <w:r w:rsidR="00EE3F1E">
          <w:rPr>
            <w:noProof/>
            <w:webHidden/>
          </w:rPr>
          <w:tab/>
        </w:r>
        <w:r w:rsidR="00EE3F1E">
          <w:rPr>
            <w:noProof/>
            <w:webHidden/>
          </w:rPr>
          <w:fldChar w:fldCharType="begin"/>
        </w:r>
        <w:r w:rsidR="00EE3F1E">
          <w:rPr>
            <w:noProof/>
            <w:webHidden/>
          </w:rPr>
          <w:instrText xml:space="preserve"> PAGEREF _Toc149833879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4CB5DA15" w14:textId="2BCC89BE" w:rsidR="00EE3F1E" w:rsidRDefault="00000000" w:rsidP="00DC406E">
      <w:pPr>
        <w:pStyle w:val="TOC1"/>
        <w:rPr>
          <w:rFonts w:asciiTheme="minorHAnsi" w:eastAsiaTheme="minorEastAsia" w:hAnsiTheme="minorHAnsi" w:cstheme="minorBidi"/>
          <w:noProof/>
          <w:sz w:val="22"/>
          <w:szCs w:val="22"/>
          <w:lang w:eastAsia="en-GB"/>
        </w:rPr>
      </w:pPr>
      <w:hyperlink w:anchor="_Toc149833880" w:history="1">
        <w:r w:rsidR="00EE3F1E" w:rsidRPr="00F87915">
          <w:rPr>
            <w:rStyle w:val="Hyperlink"/>
            <w:rFonts w:eastAsiaTheme="majorEastAsia"/>
            <w:noProof/>
          </w:rPr>
          <w:t>12</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Variation of class rights</w:t>
        </w:r>
        <w:r w:rsidR="00EE3F1E">
          <w:rPr>
            <w:noProof/>
            <w:webHidden/>
          </w:rPr>
          <w:tab/>
        </w:r>
        <w:r w:rsidR="00EE3F1E">
          <w:rPr>
            <w:noProof/>
            <w:webHidden/>
          </w:rPr>
          <w:fldChar w:fldCharType="begin"/>
        </w:r>
        <w:r w:rsidR="00EE3F1E">
          <w:rPr>
            <w:noProof/>
            <w:webHidden/>
          </w:rPr>
          <w:instrText xml:space="preserve"> PAGEREF _Toc149833880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777C4519" w14:textId="19E8C593" w:rsidR="00EE3F1E" w:rsidRDefault="00000000" w:rsidP="00DC406E">
      <w:pPr>
        <w:pStyle w:val="TOC1"/>
        <w:rPr>
          <w:rFonts w:asciiTheme="minorHAnsi" w:eastAsiaTheme="minorEastAsia" w:hAnsiTheme="minorHAnsi" w:cstheme="minorBidi"/>
          <w:noProof/>
          <w:sz w:val="22"/>
          <w:szCs w:val="22"/>
          <w:lang w:eastAsia="en-GB"/>
        </w:rPr>
      </w:pPr>
      <w:hyperlink w:anchor="_Toc149833881" w:history="1">
        <w:r w:rsidR="00EE3F1E" w:rsidRPr="00F87915">
          <w:rPr>
            <w:rStyle w:val="Hyperlink"/>
            <w:rFonts w:eastAsiaTheme="majorEastAsia"/>
            <w:bCs/>
            <w:noProof/>
          </w:rPr>
          <w:t>13</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Pre-emption rights on the issue of further shares</w:t>
        </w:r>
        <w:r w:rsidR="00EE3F1E">
          <w:rPr>
            <w:noProof/>
            <w:webHidden/>
          </w:rPr>
          <w:tab/>
        </w:r>
        <w:r w:rsidR="00EE3F1E">
          <w:rPr>
            <w:noProof/>
            <w:webHidden/>
          </w:rPr>
          <w:fldChar w:fldCharType="begin"/>
        </w:r>
        <w:r w:rsidR="00EE3F1E">
          <w:rPr>
            <w:noProof/>
            <w:webHidden/>
          </w:rPr>
          <w:instrText xml:space="preserve"> PAGEREF _Toc149833881 \h </w:instrText>
        </w:r>
        <w:r w:rsidR="00EE3F1E">
          <w:rPr>
            <w:noProof/>
            <w:webHidden/>
          </w:rPr>
        </w:r>
        <w:r w:rsidR="00EE3F1E">
          <w:rPr>
            <w:noProof/>
            <w:webHidden/>
          </w:rPr>
          <w:fldChar w:fldCharType="separate"/>
        </w:r>
        <w:r w:rsidR="00EE3F1E">
          <w:rPr>
            <w:noProof/>
            <w:webHidden/>
          </w:rPr>
          <w:t>7</w:t>
        </w:r>
        <w:r w:rsidR="00EE3F1E">
          <w:rPr>
            <w:noProof/>
            <w:webHidden/>
          </w:rPr>
          <w:fldChar w:fldCharType="end"/>
        </w:r>
      </w:hyperlink>
    </w:p>
    <w:p w14:paraId="7573B861" w14:textId="5A9B235B" w:rsidR="00EE3F1E" w:rsidRDefault="00000000" w:rsidP="00DC406E">
      <w:pPr>
        <w:pStyle w:val="TOC1"/>
        <w:rPr>
          <w:rFonts w:asciiTheme="minorHAnsi" w:eastAsiaTheme="minorEastAsia" w:hAnsiTheme="minorHAnsi" w:cstheme="minorBidi"/>
          <w:noProof/>
          <w:sz w:val="22"/>
          <w:szCs w:val="22"/>
          <w:lang w:eastAsia="en-GB"/>
        </w:rPr>
      </w:pPr>
      <w:hyperlink w:anchor="_Toc149833882" w:history="1">
        <w:r w:rsidR="00EE3F1E" w:rsidRPr="00F87915">
          <w:rPr>
            <w:rStyle w:val="Hyperlink"/>
            <w:rFonts w:eastAsiaTheme="majorEastAsia"/>
            <w:noProof/>
          </w:rPr>
          <w:t>14</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Transfers of shares: general</w:t>
        </w:r>
        <w:r w:rsidR="00EE3F1E">
          <w:rPr>
            <w:noProof/>
            <w:webHidden/>
          </w:rPr>
          <w:tab/>
        </w:r>
        <w:r w:rsidR="00EE3F1E">
          <w:rPr>
            <w:noProof/>
            <w:webHidden/>
          </w:rPr>
          <w:fldChar w:fldCharType="begin"/>
        </w:r>
        <w:r w:rsidR="00EE3F1E">
          <w:rPr>
            <w:noProof/>
            <w:webHidden/>
          </w:rPr>
          <w:instrText xml:space="preserve"> PAGEREF _Toc149833882 \h </w:instrText>
        </w:r>
        <w:r w:rsidR="00EE3F1E">
          <w:rPr>
            <w:noProof/>
            <w:webHidden/>
          </w:rPr>
        </w:r>
        <w:r w:rsidR="00EE3F1E">
          <w:rPr>
            <w:noProof/>
            <w:webHidden/>
          </w:rPr>
          <w:fldChar w:fldCharType="separate"/>
        </w:r>
        <w:r w:rsidR="00EE3F1E">
          <w:rPr>
            <w:noProof/>
            <w:webHidden/>
          </w:rPr>
          <w:t>9</w:t>
        </w:r>
        <w:r w:rsidR="00EE3F1E">
          <w:rPr>
            <w:noProof/>
            <w:webHidden/>
          </w:rPr>
          <w:fldChar w:fldCharType="end"/>
        </w:r>
      </w:hyperlink>
    </w:p>
    <w:p w14:paraId="73755B72" w14:textId="0D37442F" w:rsidR="00EE3F1E" w:rsidRDefault="00000000" w:rsidP="00DC406E">
      <w:pPr>
        <w:pStyle w:val="TOC1"/>
        <w:rPr>
          <w:rFonts w:asciiTheme="minorHAnsi" w:eastAsiaTheme="minorEastAsia" w:hAnsiTheme="minorHAnsi" w:cstheme="minorBidi"/>
          <w:noProof/>
          <w:sz w:val="22"/>
          <w:szCs w:val="22"/>
          <w:lang w:eastAsia="en-GB"/>
        </w:rPr>
      </w:pPr>
      <w:hyperlink w:anchor="_Toc149833900" w:history="1">
        <w:r w:rsidR="00EE3F1E" w:rsidRPr="00F87915">
          <w:rPr>
            <w:rStyle w:val="Hyperlink"/>
            <w:rFonts w:eastAsiaTheme="majorEastAsia"/>
            <w:noProof/>
          </w:rPr>
          <w:t>15</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Pre-emption rights on the transfer of shares</w:t>
        </w:r>
        <w:r w:rsidR="00EE3F1E">
          <w:rPr>
            <w:noProof/>
            <w:webHidden/>
          </w:rPr>
          <w:tab/>
        </w:r>
        <w:r w:rsidR="00EE3F1E">
          <w:rPr>
            <w:noProof/>
            <w:webHidden/>
          </w:rPr>
          <w:fldChar w:fldCharType="begin"/>
        </w:r>
        <w:r w:rsidR="00EE3F1E">
          <w:rPr>
            <w:noProof/>
            <w:webHidden/>
          </w:rPr>
          <w:instrText xml:space="preserve"> PAGEREF _Toc149833900 \h </w:instrText>
        </w:r>
        <w:r w:rsidR="00EE3F1E">
          <w:rPr>
            <w:noProof/>
            <w:webHidden/>
          </w:rPr>
        </w:r>
        <w:r w:rsidR="00EE3F1E">
          <w:rPr>
            <w:noProof/>
            <w:webHidden/>
          </w:rPr>
          <w:fldChar w:fldCharType="separate"/>
        </w:r>
        <w:r w:rsidR="00EE3F1E">
          <w:rPr>
            <w:noProof/>
            <w:webHidden/>
          </w:rPr>
          <w:t>10</w:t>
        </w:r>
        <w:r w:rsidR="00EE3F1E">
          <w:rPr>
            <w:noProof/>
            <w:webHidden/>
          </w:rPr>
          <w:fldChar w:fldCharType="end"/>
        </w:r>
      </w:hyperlink>
    </w:p>
    <w:p w14:paraId="78420824" w14:textId="15C7AABD" w:rsidR="00EE3F1E" w:rsidRDefault="00000000" w:rsidP="00DC406E">
      <w:pPr>
        <w:pStyle w:val="TOC1"/>
        <w:rPr>
          <w:rFonts w:asciiTheme="minorHAnsi" w:eastAsiaTheme="minorEastAsia" w:hAnsiTheme="minorHAnsi" w:cstheme="minorBidi"/>
          <w:noProof/>
          <w:sz w:val="22"/>
          <w:szCs w:val="22"/>
          <w:lang w:eastAsia="en-GB"/>
        </w:rPr>
      </w:pPr>
      <w:hyperlink w:anchor="_Toc149833901" w:history="1">
        <w:r w:rsidR="00EE3F1E" w:rsidRPr="00F87915">
          <w:rPr>
            <w:rStyle w:val="Hyperlink"/>
            <w:rFonts w:eastAsiaTheme="majorEastAsia"/>
            <w:noProof/>
          </w:rPr>
          <w:t>16</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Valuation</w:t>
        </w:r>
        <w:r w:rsidR="00EE3F1E">
          <w:rPr>
            <w:noProof/>
            <w:webHidden/>
          </w:rPr>
          <w:tab/>
        </w:r>
        <w:r w:rsidR="00EE3F1E">
          <w:rPr>
            <w:noProof/>
            <w:webHidden/>
          </w:rPr>
          <w:fldChar w:fldCharType="begin"/>
        </w:r>
        <w:r w:rsidR="00EE3F1E">
          <w:rPr>
            <w:noProof/>
            <w:webHidden/>
          </w:rPr>
          <w:instrText xml:space="preserve"> PAGEREF _Toc149833901 \h </w:instrText>
        </w:r>
        <w:r w:rsidR="00EE3F1E">
          <w:rPr>
            <w:noProof/>
            <w:webHidden/>
          </w:rPr>
        </w:r>
        <w:r w:rsidR="00EE3F1E">
          <w:rPr>
            <w:noProof/>
            <w:webHidden/>
          </w:rPr>
          <w:fldChar w:fldCharType="separate"/>
        </w:r>
        <w:r w:rsidR="00EE3F1E">
          <w:rPr>
            <w:noProof/>
            <w:webHidden/>
          </w:rPr>
          <w:t>11</w:t>
        </w:r>
        <w:r w:rsidR="00EE3F1E">
          <w:rPr>
            <w:noProof/>
            <w:webHidden/>
          </w:rPr>
          <w:fldChar w:fldCharType="end"/>
        </w:r>
      </w:hyperlink>
    </w:p>
    <w:p w14:paraId="183F444B" w14:textId="3EBAC04B" w:rsidR="00EE3F1E" w:rsidRDefault="00000000" w:rsidP="00DC406E">
      <w:pPr>
        <w:pStyle w:val="TOC1"/>
        <w:rPr>
          <w:rFonts w:asciiTheme="minorHAnsi" w:eastAsiaTheme="minorEastAsia" w:hAnsiTheme="minorHAnsi" w:cstheme="minorBidi"/>
          <w:noProof/>
          <w:sz w:val="22"/>
          <w:szCs w:val="22"/>
          <w:lang w:eastAsia="en-GB"/>
        </w:rPr>
      </w:pPr>
      <w:hyperlink w:anchor="_Toc149833902" w:history="1">
        <w:r w:rsidR="00EE3F1E" w:rsidRPr="00F87915">
          <w:rPr>
            <w:rStyle w:val="Hyperlink"/>
            <w:rFonts w:eastAsiaTheme="majorEastAsia"/>
            <w:noProof/>
          </w:rPr>
          <w:t>17</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Compulsory transfers</w:t>
        </w:r>
        <w:r w:rsidR="00EE3F1E">
          <w:rPr>
            <w:noProof/>
            <w:webHidden/>
          </w:rPr>
          <w:tab/>
        </w:r>
        <w:r w:rsidR="00EE3F1E">
          <w:rPr>
            <w:noProof/>
            <w:webHidden/>
          </w:rPr>
          <w:fldChar w:fldCharType="begin"/>
        </w:r>
        <w:r w:rsidR="00EE3F1E">
          <w:rPr>
            <w:noProof/>
            <w:webHidden/>
          </w:rPr>
          <w:instrText xml:space="preserve"> PAGEREF _Toc149833902 \h </w:instrText>
        </w:r>
        <w:r w:rsidR="00EE3F1E">
          <w:rPr>
            <w:noProof/>
            <w:webHidden/>
          </w:rPr>
        </w:r>
        <w:r w:rsidR="00EE3F1E">
          <w:rPr>
            <w:noProof/>
            <w:webHidden/>
          </w:rPr>
          <w:fldChar w:fldCharType="separate"/>
        </w:r>
        <w:r w:rsidR="00EE3F1E">
          <w:rPr>
            <w:noProof/>
            <w:webHidden/>
          </w:rPr>
          <w:t>13</w:t>
        </w:r>
        <w:r w:rsidR="00EE3F1E">
          <w:rPr>
            <w:noProof/>
            <w:webHidden/>
          </w:rPr>
          <w:fldChar w:fldCharType="end"/>
        </w:r>
      </w:hyperlink>
    </w:p>
    <w:p w14:paraId="4E2BA46C" w14:textId="34100734" w:rsidR="00EE3F1E" w:rsidRDefault="00000000" w:rsidP="00DC406E">
      <w:pPr>
        <w:pStyle w:val="TOC1"/>
        <w:rPr>
          <w:rFonts w:asciiTheme="minorHAnsi" w:eastAsiaTheme="minorEastAsia" w:hAnsiTheme="minorHAnsi" w:cstheme="minorBidi"/>
          <w:noProof/>
          <w:sz w:val="22"/>
          <w:szCs w:val="22"/>
          <w:lang w:eastAsia="en-GB"/>
        </w:rPr>
      </w:pPr>
      <w:hyperlink w:anchor="_Toc149833903" w:history="1">
        <w:r w:rsidR="00EE3F1E" w:rsidRPr="00F87915">
          <w:rPr>
            <w:rStyle w:val="Hyperlink"/>
            <w:rFonts w:eastAsiaTheme="majorEastAsia"/>
            <w:noProof/>
          </w:rPr>
          <w:t>18</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Tag Along</w:t>
        </w:r>
        <w:r w:rsidR="00EE3F1E">
          <w:rPr>
            <w:noProof/>
            <w:webHidden/>
          </w:rPr>
          <w:tab/>
        </w:r>
        <w:r w:rsidR="00EE3F1E">
          <w:rPr>
            <w:noProof/>
            <w:webHidden/>
          </w:rPr>
          <w:fldChar w:fldCharType="begin"/>
        </w:r>
        <w:r w:rsidR="00EE3F1E">
          <w:rPr>
            <w:noProof/>
            <w:webHidden/>
          </w:rPr>
          <w:instrText xml:space="preserve"> PAGEREF _Toc149833903 \h </w:instrText>
        </w:r>
        <w:r w:rsidR="00EE3F1E">
          <w:rPr>
            <w:noProof/>
            <w:webHidden/>
          </w:rPr>
        </w:r>
        <w:r w:rsidR="00EE3F1E">
          <w:rPr>
            <w:noProof/>
            <w:webHidden/>
          </w:rPr>
          <w:fldChar w:fldCharType="separate"/>
        </w:r>
        <w:r w:rsidR="00EE3F1E">
          <w:rPr>
            <w:noProof/>
            <w:webHidden/>
          </w:rPr>
          <w:t>13</w:t>
        </w:r>
        <w:r w:rsidR="00EE3F1E">
          <w:rPr>
            <w:noProof/>
            <w:webHidden/>
          </w:rPr>
          <w:fldChar w:fldCharType="end"/>
        </w:r>
      </w:hyperlink>
    </w:p>
    <w:p w14:paraId="7B4F9F65" w14:textId="71376A54" w:rsidR="00EE3F1E" w:rsidRDefault="00000000" w:rsidP="00DC406E">
      <w:pPr>
        <w:pStyle w:val="TOC1"/>
        <w:rPr>
          <w:rFonts w:asciiTheme="minorHAnsi" w:eastAsiaTheme="minorEastAsia" w:hAnsiTheme="minorHAnsi" w:cstheme="minorBidi"/>
          <w:noProof/>
          <w:sz w:val="22"/>
          <w:szCs w:val="22"/>
          <w:lang w:eastAsia="en-GB"/>
        </w:rPr>
      </w:pPr>
      <w:hyperlink w:anchor="_Toc149833904" w:history="1">
        <w:r w:rsidR="00EE3F1E" w:rsidRPr="00F87915">
          <w:rPr>
            <w:rStyle w:val="Hyperlink"/>
            <w:rFonts w:eastAsiaTheme="majorEastAsia"/>
            <w:noProof/>
          </w:rPr>
          <w:t>19</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Drag along</w:t>
        </w:r>
        <w:r w:rsidR="00EE3F1E">
          <w:rPr>
            <w:noProof/>
            <w:webHidden/>
          </w:rPr>
          <w:tab/>
        </w:r>
        <w:r w:rsidR="00EE3F1E">
          <w:rPr>
            <w:noProof/>
            <w:webHidden/>
          </w:rPr>
          <w:fldChar w:fldCharType="begin"/>
        </w:r>
        <w:r w:rsidR="00EE3F1E">
          <w:rPr>
            <w:noProof/>
            <w:webHidden/>
          </w:rPr>
          <w:instrText xml:space="preserve"> PAGEREF _Toc149833904 \h </w:instrText>
        </w:r>
        <w:r w:rsidR="00EE3F1E">
          <w:rPr>
            <w:noProof/>
            <w:webHidden/>
          </w:rPr>
        </w:r>
        <w:r w:rsidR="00EE3F1E">
          <w:rPr>
            <w:noProof/>
            <w:webHidden/>
          </w:rPr>
          <w:fldChar w:fldCharType="separate"/>
        </w:r>
        <w:r w:rsidR="00EE3F1E">
          <w:rPr>
            <w:noProof/>
            <w:webHidden/>
          </w:rPr>
          <w:t>14</w:t>
        </w:r>
        <w:r w:rsidR="00EE3F1E">
          <w:rPr>
            <w:noProof/>
            <w:webHidden/>
          </w:rPr>
          <w:fldChar w:fldCharType="end"/>
        </w:r>
      </w:hyperlink>
    </w:p>
    <w:p w14:paraId="38A2CF91" w14:textId="45DE477B" w:rsidR="00EE3F1E" w:rsidRDefault="00000000" w:rsidP="00DC406E">
      <w:pPr>
        <w:pStyle w:val="TOC1"/>
        <w:rPr>
          <w:rFonts w:asciiTheme="minorHAnsi" w:eastAsiaTheme="minorEastAsia" w:hAnsiTheme="minorHAnsi" w:cstheme="minorBidi"/>
          <w:noProof/>
          <w:sz w:val="22"/>
          <w:szCs w:val="22"/>
          <w:lang w:eastAsia="en-GB"/>
        </w:rPr>
      </w:pPr>
      <w:hyperlink w:anchor="_Toc149833905" w:history="1">
        <w:r w:rsidR="00EE3F1E" w:rsidRPr="00F87915">
          <w:rPr>
            <w:rStyle w:val="Hyperlink"/>
            <w:rFonts w:eastAsiaTheme="majorEastAsia"/>
            <w:noProof/>
          </w:rPr>
          <w:t>20</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General meetings</w:t>
        </w:r>
        <w:r w:rsidR="00EE3F1E">
          <w:rPr>
            <w:noProof/>
            <w:webHidden/>
          </w:rPr>
          <w:tab/>
        </w:r>
        <w:r w:rsidR="00EE3F1E">
          <w:rPr>
            <w:noProof/>
            <w:webHidden/>
          </w:rPr>
          <w:fldChar w:fldCharType="begin"/>
        </w:r>
        <w:r w:rsidR="00EE3F1E">
          <w:rPr>
            <w:noProof/>
            <w:webHidden/>
          </w:rPr>
          <w:instrText xml:space="preserve"> PAGEREF _Toc149833905 \h </w:instrText>
        </w:r>
        <w:r w:rsidR="00EE3F1E">
          <w:rPr>
            <w:noProof/>
            <w:webHidden/>
          </w:rPr>
        </w:r>
        <w:r w:rsidR="00EE3F1E">
          <w:rPr>
            <w:noProof/>
            <w:webHidden/>
          </w:rPr>
          <w:fldChar w:fldCharType="separate"/>
        </w:r>
        <w:r w:rsidR="00EE3F1E">
          <w:rPr>
            <w:noProof/>
            <w:webHidden/>
          </w:rPr>
          <w:t>16</w:t>
        </w:r>
        <w:r w:rsidR="00EE3F1E">
          <w:rPr>
            <w:noProof/>
            <w:webHidden/>
          </w:rPr>
          <w:fldChar w:fldCharType="end"/>
        </w:r>
      </w:hyperlink>
    </w:p>
    <w:p w14:paraId="5901BA7A" w14:textId="359BECF8" w:rsidR="00EE3F1E" w:rsidRDefault="00000000" w:rsidP="00DC406E">
      <w:pPr>
        <w:pStyle w:val="TOC1"/>
        <w:rPr>
          <w:rFonts w:asciiTheme="minorHAnsi" w:eastAsiaTheme="minorEastAsia" w:hAnsiTheme="minorHAnsi" w:cstheme="minorBidi"/>
          <w:noProof/>
          <w:sz w:val="22"/>
          <w:szCs w:val="22"/>
          <w:lang w:eastAsia="en-GB"/>
        </w:rPr>
      </w:pPr>
      <w:hyperlink w:anchor="_Toc149833906" w:history="1">
        <w:r w:rsidR="00EE3F1E" w:rsidRPr="00F87915">
          <w:rPr>
            <w:rStyle w:val="Hyperlink"/>
            <w:rFonts w:eastAsiaTheme="majorEastAsia"/>
            <w:noProof/>
          </w:rPr>
          <w:t>21</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Voting</w:t>
        </w:r>
        <w:r w:rsidR="00EE3F1E">
          <w:rPr>
            <w:noProof/>
            <w:webHidden/>
          </w:rPr>
          <w:tab/>
        </w:r>
        <w:r w:rsidR="00EE3F1E">
          <w:rPr>
            <w:noProof/>
            <w:webHidden/>
          </w:rPr>
          <w:fldChar w:fldCharType="begin"/>
        </w:r>
        <w:r w:rsidR="00EE3F1E">
          <w:rPr>
            <w:noProof/>
            <w:webHidden/>
          </w:rPr>
          <w:instrText xml:space="preserve"> PAGEREF _Toc149833906 \h </w:instrText>
        </w:r>
        <w:r w:rsidR="00EE3F1E">
          <w:rPr>
            <w:noProof/>
            <w:webHidden/>
          </w:rPr>
        </w:r>
        <w:r w:rsidR="00EE3F1E">
          <w:rPr>
            <w:noProof/>
            <w:webHidden/>
          </w:rPr>
          <w:fldChar w:fldCharType="separate"/>
        </w:r>
        <w:r w:rsidR="00EE3F1E">
          <w:rPr>
            <w:noProof/>
            <w:webHidden/>
          </w:rPr>
          <w:t>16</w:t>
        </w:r>
        <w:r w:rsidR="00EE3F1E">
          <w:rPr>
            <w:noProof/>
            <w:webHidden/>
          </w:rPr>
          <w:fldChar w:fldCharType="end"/>
        </w:r>
      </w:hyperlink>
    </w:p>
    <w:p w14:paraId="325BBB21" w14:textId="4F441CDD" w:rsidR="00EE3F1E" w:rsidRDefault="00000000" w:rsidP="00DC406E">
      <w:pPr>
        <w:pStyle w:val="TOC1"/>
        <w:rPr>
          <w:rFonts w:asciiTheme="minorHAnsi" w:eastAsiaTheme="minorEastAsia" w:hAnsiTheme="minorHAnsi" w:cstheme="minorBidi"/>
          <w:noProof/>
          <w:sz w:val="22"/>
          <w:szCs w:val="22"/>
          <w:lang w:eastAsia="en-GB"/>
        </w:rPr>
      </w:pPr>
      <w:hyperlink w:anchor="_Toc149833907" w:history="1">
        <w:r w:rsidR="00EE3F1E" w:rsidRPr="00F87915">
          <w:rPr>
            <w:rStyle w:val="Hyperlink"/>
            <w:rFonts w:eastAsiaTheme="majorEastAsia"/>
            <w:noProof/>
          </w:rPr>
          <w:t>22</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Purchase of own shares</w:t>
        </w:r>
        <w:r w:rsidR="00EE3F1E">
          <w:rPr>
            <w:noProof/>
            <w:webHidden/>
          </w:rPr>
          <w:tab/>
        </w:r>
        <w:r w:rsidR="00EE3F1E">
          <w:rPr>
            <w:noProof/>
            <w:webHidden/>
          </w:rPr>
          <w:fldChar w:fldCharType="begin"/>
        </w:r>
        <w:r w:rsidR="00EE3F1E">
          <w:rPr>
            <w:noProof/>
            <w:webHidden/>
          </w:rPr>
          <w:instrText xml:space="preserve"> PAGEREF _Toc149833907 \h </w:instrText>
        </w:r>
        <w:r w:rsidR="00EE3F1E">
          <w:rPr>
            <w:noProof/>
            <w:webHidden/>
          </w:rPr>
        </w:r>
        <w:r w:rsidR="00EE3F1E">
          <w:rPr>
            <w:noProof/>
            <w:webHidden/>
          </w:rPr>
          <w:fldChar w:fldCharType="separate"/>
        </w:r>
        <w:r w:rsidR="00EE3F1E">
          <w:rPr>
            <w:noProof/>
            <w:webHidden/>
          </w:rPr>
          <w:t>16</w:t>
        </w:r>
        <w:r w:rsidR="00EE3F1E">
          <w:rPr>
            <w:noProof/>
            <w:webHidden/>
          </w:rPr>
          <w:fldChar w:fldCharType="end"/>
        </w:r>
      </w:hyperlink>
    </w:p>
    <w:p w14:paraId="0426AE8B" w14:textId="4E62ABF7" w:rsidR="00EE3F1E" w:rsidRDefault="00000000" w:rsidP="00DC406E">
      <w:pPr>
        <w:pStyle w:val="TOC1"/>
        <w:rPr>
          <w:rFonts w:asciiTheme="minorHAnsi" w:eastAsiaTheme="minorEastAsia" w:hAnsiTheme="minorHAnsi" w:cstheme="minorBidi"/>
          <w:noProof/>
          <w:sz w:val="22"/>
          <w:szCs w:val="22"/>
          <w:lang w:eastAsia="en-GB"/>
        </w:rPr>
      </w:pPr>
      <w:hyperlink w:anchor="_Toc149833908" w:history="1">
        <w:r w:rsidR="00EE3F1E" w:rsidRPr="00F87915">
          <w:rPr>
            <w:rStyle w:val="Hyperlink"/>
            <w:rFonts w:eastAsiaTheme="majorEastAsia"/>
            <w:noProof/>
          </w:rPr>
          <w:t>23</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Company's Lien over Shares</w:t>
        </w:r>
        <w:r w:rsidR="00EE3F1E">
          <w:rPr>
            <w:noProof/>
            <w:webHidden/>
          </w:rPr>
          <w:tab/>
        </w:r>
        <w:r w:rsidR="00EE3F1E">
          <w:rPr>
            <w:noProof/>
            <w:webHidden/>
          </w:rPr>
          <w:fldChar w:fldCharType="begin"/>
        </w:r>
        <w:r w:rsidR="00EE3F1E">
          <w:rPr>
            <w:noProof/>
            <w:webHidden/>
          </w:rPr>
          <w:instrText xml:space="preserve"> PAGEREF _Toc149833908 \h </w:instrText>
        </w:r>
        <w:r w:rsidR="00EE3F1E">
          <w:rPr>
            <w:noProof/>
            <w:webHidden/>
          </w:rPr>
        </w:r>
        <w:r w:rsidR="00EE3F1E">
          <w:rPr>
            <w:noProof/>
            <w:webHidden/>
          </w:rPr>
          <w:fldChar w:fldCharType="separate"/>
        </w:r>
        <w:r w:rsidR="00EE3F1E">
          <w:rPr>
            <w:noProof/>
            <w:webHidden/>
          </w:rPr>
          <w:t>16</w:t>
        </w:r>
        <w:r w:rsidR="00EE3F1E">
          <w:rPr>
            <w:noProof/>
            <w:webHidden/>
          </w:rPr>
          <w:fldChar w:fldCharType="end"/>
        </w:r>
      </w:hyperlink>
    </w:p>
    <w:p w14:paraId="5B02BDE5" w14:textId="6882C2FF" w:rsidR="00EE3F1E" w:rsidRDefault="00000000" w:rsidP="00DC406E">
      <w:pPr>
        <w:pStyle w:val="TOC1"/>
        <w:rPr>
          <w:rFonts w:asciiTheme="minorHAnsi" w:eastAsiaTheme="minorEastAsia" w:hAnsiTheme="minorHAnsi" w:cstheme="minorBidi"/>
          <w:noProof/>
          <w:sz w:val="22"/>
          <w:szCs w:val="22"/>
          <w:lang w:eastAsia="en-GB"/>
        </w:rPr>
      </w:pPr>
      <w:hyperlink w:anchor="_Toc149833909" w:history="1">
        <w:r w:rsidR="00EE3F1E" w:rsidRPr="00F87915">
          <w:rPr>
            <w:rStyle w:val="Hyperlink"/>
            <w:rFonts w:eastAsiaTheme="majorEastAsia"/>
            <w:noProof/>
          </w:rPr>
          <w:t>24</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Enforcement of the Company's Lien</w:t>
        </w:r>
        <w:r w:rsidR="00EE3F1E">
          <w:rPr>
            <w:noProof/>
            <w:webHidden/>
          </w:rPr>
          <w:tab/>
        </w:r>
        <w:r w:rsidR="00EE3F1E">
          <w:rPr>
            <w:noProof/>
            <w:webHidden/>
          </w:rPr>
          <w:fldChar w:fldCharType="begin"/>
        </w:r>
        <w:r w:rsidR="00EE3F1E">
          <w:rPr>
            <w:noProof/>
            <w:webHidden/>
          </w:rPr>
          <w:instrText xml:space="preserve"> PAGEREF _Toc149833909 \h </w:instrText>
        </w:r>
        <w:r w:rsidR="00EE3F1E">
          <w:rPr>
            <w:noProof/>
            <w:webHidden/>
          </w:rPr>
        </w:r>
        <w:r w:rsidR="00EE3F1E">
          <w:rPr>
            <w:noProof/>
            <w:webHidden/>
          </w:rPr>
          <w:fldChar w:fldCharType="separate"/>
        </w:r>
        <w:r w:rsidR="00EE3F1E">
          <w:rPr>
            <w:noProof/>
            <w:webHidden/>
          </w:rPr>
          <w:t>17</w:t>
        </w:r>
        <w:r w:rsidR="00EE3F1E">
          <w:rPr>
            <w:noProof/>
            <w:webHidden/>
          </w:rPr>
          <w:fldChar w:fldCharType="end"/>
        </w:r>
      </w:hyperlink>
    </w:p>
    <w:p w14:paraId="133BEB43" w14:textId="6C1C9C44" w:rsidR="00EE3F1E" w:rsidRDefault="00000000" w:rsidP="00DC406E">
      <w:pPr>
        <w:pStyle w:val="TOC1"/>
        <w:rPr>
          <w:rFonts w:asciiTheme="minorHAnsi" w:eastAsiaTheme="minorEastAsia" w:hAnsiTheme="minorHAnsi" w:cstheme="minorBidi"/>
          <w:noProof/>
          <w:sz w:val="22"/>
          <w:szCs w:val="22"/>
          <w:lang w:eastAsia="en-GB"/>
        </w:rPr>
      </w:pPr>
      <w:hyperlink w:anchor="_Toc149833910" w:history="1">
        <w:r w:rsidR="00EE3F1E" w:rsidRPr="00F87915">
          <w:rPr>
            <w:rStyle w:val="Hyperlink"/>
            <w:rFonts w:eastAsiaTheme="majorEastAsia"/>
            <w:noProof/>
          </w:rPr>
          <w:t>25</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Means of communication to be used</w:t>
        </w:r>
        <w:r w:rsidR="00EE3F1E">
          <w:rPr>
            <w:noProof/>
            <w:webHidden/>
          </w:rPr>
          <w:tab/>
        </w:r>
        <w:r w:rsidR="00EE3F1E">
          <w:rPr>
            <w:noProof/>
            <w:webHidden/>
          </w:rPr>
          <w:fldChar w:fldCharType="begin"/>
        </w:r>
        <w:r w:rsidR="00EE3F1E">
          <w:rPr>
            <w:noProof/>
            <w:webHidden/>
          </w:rPr>
          <w:instrText xml:space="preserve"> PAGEREF _Toc149833910 \h </w:instrText>
        </w:r>
        <w:r w:rsidR="00EE3F1E">
          <w:rPr>
            <w:noProof/>
            <w:webHidden/>
          </w:rPr>
        </w:r>
        <w:r w:rsidR="00EE3F1E">
          <w:rPr>
            <w:noProof/>
            <w:webHidden/>
          </w:rPr>
          <w:fldChar w:fldCharType="separate"/>
        </w:r>
        <w:r w:rsidR="00EE3F1E">
          <w:rPr>
            <w:noProof/>
            <w:webHidden/>
          </w:rPr>
          <w:t>18</w:t>
        </w:r>
        <w:r w:rsidR="00EE3F1E">
          <w:rPr>
            <w:noProof/>
            <w:webHidden/>
          </w:rPr>
          <w:fldChar w:fldCharType="end"/>
        </w:r>
      </w:hyperlink>
    </w:p>
    <w:p w14:paraId="7CBD207C" w14:textId="52BBB3F6" w:rsidR="00EE3F1E" w:rsidRDefault="00000000" w:rsidP="00DC406E">
      <w:pPr>
        <w:pStyle w:val="TOC1"/>
        <w:rPr>
          <w:rFonts w:asciiTheme="minorHAnsi" w:eastAsiaTheme="minorEastAsia" w:hAnsiTheme="minorHAnsi" w:cstheme="minorBidi"/>
          <w:noProof/>
          <w:sz w:val="22"/>
          <w:szCs w:val="22"/>
          <w:lang w:eastAsia="en-GB"/>
        </w:rPr>
      </w:pPr>
      <w:hyperlink w:anchor="_Toc149833911" w:history="1">
        <w:r w:rsidR="00EE3F1E" w:rsidRPr="00F87915">
          <w:rPr>
            <w:rStyle w:val="Hyperlink"/>
            <w:rFonts w:eastAsiaTheme="majorEastAsia"/>
            <w:noProof/>
          </w:rPr>
          <w:t>26</w:t>
        </w:r>
        <w:r w:rsidR="00EE3F1E">
          <w:rPr>
            <w:rFonts w:asciiTheme="minorHAnsi" w:eastAsiaTheme="minorEastAsia" w:hAnsiTheme="minorHAnsi" w:cstheme="minorBidi"/>
            <w:noProof/>
            <w:sz w:val="22"/>
            <w:szCs w:val="22"/>
            <w:lang w:eastAsia="en-GB"/>
          </w:rPr>
          <w:tab/>
        </w:r>
        <w:r w:rsidR="00EE3F1E" w:rsidRPr="00F87915">
          <w:rPr>
            <w:rStyle w:val="Hyperlink"/>
            <w:rFonts w:eastAsiaTheme="majorEastAsia"/>
            <w:noProof/>
          </w:rPr>
          <w:t>Indemnity and insurance</w:t>
        </w:r>
        <w:r w:rsidR="00EE3F1E">
          <w:rPr>
            <w:noProof/>
            <w:webHidden/>
          </w:rPr>
          <w:tab/>
        </w:r>
        <w:r w:rsidR="00EE3F1E">
          <w:rPr>
            <w:noProof/>
            <w:webHidden/>
          </w:rPr>
          <w:fldChar w:fldCharType="begin"/>
        </w:r>
        <w:r w:rsidR="00EE3F1E">
          <w:rPr>
            <w:noProof/>
            <w:webHidden/>
          </w:rPr>
          <w:instrText xml:space="preserve"> PAGEREF _Toc149833911 \h </w:instrText>
        </w:r>
        <w:r w:rsidR="00EE3F1E">
          <w:rPr>
            <w:noProof/>
            <w:webHidden/>
          </w:rPr>
        </w:r>
        <w:r w:rsidR="00EE3F1E">
          <w:rPr>
            <w:noProof/>
            <w:webHidden/>
          </w:rPr>
          <w:fldChar w:fldCharType="separate"/>
        </w:r>
        <w:r w:rsidR="00EE3F1E">
          <w:rPr>
            <w:noProof/>
            <w:webHidden/>
          </w:rPr>
          <w:t>18</w:t>
        </w:r>
        <w:r w:rsidR="00EE3F1E">
          <w:rPr>
            <w:noProof/>
            <w:webHidden/>
          </w:rPr>
          <w:fldChar w:fldCharType="end"/>
        </w:r>
      </w:hyperlink>
    </w:p>
    <w:p w14:paraId="7588666F" w14:textId="18B29BA9" w:rsidR="00E94771" w:rsidRPr="00C7122C" w:rsidRDefault="000077D6" w:rsidP="00DE5C22">
      <w:pPr>
        <w:pStyle w:val="Body1"/>
        <w:rPr>
          <w:szCs w:val="20"/>
        </w:rPr>
      </w:pPr>
      <w:r w:rsidRPr="00C7122C">
        <w:rPr>
          <w:szCs w:val="20"/>
        </w:rPr>
        <w:fldChar w:fldCharType="end"/>
      </w:r>
    </w:p>
    <w:p w14:paraId="041468FF" w14:textId="77777777" w:rsidR="000077D6" w:rsidRPr="00C7122C" w:rsidRDefault="000077D6" w:rsidP="000077D6">
      <w:pPr>
        <w:spacing w:after="200" w:line="24" w:lineRule="auto"/>
        <w:rPr>
          <w:sz w:val="20"/>
          <w:szCs w:val="20"/>
        </w:rPr>
        <w:sectPr w:rsidR="000077D6" w:rsidRPr="00C7122C" w:rsidSect="006E4C90">
          <w:pgSz w:w="12240" w:h="15840"/>
          <w:pgMar w:top="1440" w:right="1440" w:bottom="1440" w:left="1440" w:header="720" w:footer="720" w:gutter="0"/>
          <w:cols w:space="720"/>
        </w:sectPr>
      </w:pPr>
    </w:p>
    <w:p w14:paraId="00DCB8E5" w14:textId="3425A073" w:rsidR="00E94771" w:rsidRPr="00C7122C" w:rsidRDefault="00E94771" w:rsidP="000077D6">
      <w:pPr>
        <w:pStyle w:val="Title"/>
        <w:rPr>
          <w:sz w:val="20"/>
        </w:rPr>
      </w:pPr>
      <w:r w:rsidRPr="00C7122C">
        <w:rPr>
          <w:sz w:val="20"/>
        </w:rPr>
        <w:lastRenderedPageBreak/>
        <w:t xml:space="preserve">Company number </w:t>
      </w:r>
      <w:r w:rsidR="00B911C6" w:rsidRPr="00C7122C">
        <w:rPr>
          <w:sz w:val="20"/>
        </w:rPr>
        <w:t>14606919</w:t>
      </w:r>
    </w:p>
    <w:p w14:paraId="2EADDCD2" w14:textId="77777777" w:rsidR="00E94771" w:rsidRPr="00C7122C" w:rsidRDefault="00E94771" w:rsidP="00E94771">
      <w:pPr>
        <w:pStyle w:val="Title"/>
        <w:rPr>
          <w:sz w:val="20"/>
        </w:rPr>
      </w:pPr>
      <w:r w:rsidRPr="00C7122C">
        <w:rPr>
          <w:sz w:val="20"/>
        </w:rPr>
        <w:t>THE COMPANIES ACT 2006</w:t>
      </w:r>
    </w:p>
    <w:p w14:paraId="5EFD1D89" w14:textId="77777777" w:rsidR="00E94771" w:rsidRPr="00C7122C" w:rsidRDefault="00E94771" w:rsidP="00E94771">
      <w:pPr>
        <w:pStyle w:val="Title"/>
        <w:rPr>
          <w:sz w:val="20"/>
        </w:rPr>
      </w:pPr>
      <w:r w:rsidRPr="00C7122C">
        <w:rPr>
          <w:sz w:val="20"/>
        </w:rPr>
        <w:t>PRIVATE COMPANY LIMITED BY SHARES</w:t>
      </w:r>
    </w:p>
    <w:p w14:paraId="2F62ED6B" w14:textId="77777777" w:rsidR="00E94771" w:rsidRPr="00C7122C" w:rsidRDefault="00E94771" w:rsidP="00E94771">
      <w:pPr>
        <w:pStyle w:val="Title"/>
        <w:rPr>
          <w:sz w:val="20"/>
        </w:rPr>
      </w:pPr>
      <w:r w:rsidRPr="00C7122C">
        <w:rPr>
          <w:sz w:val="20"/>
        </w:rPr>
        <w:t>ARTICLES OF ASSOCIATION</w:t>
      </w:r>
    </w:p>
    <w:p w14:paraId="013AFF89" w14:textId="77777777" w:rsidR="00E94771" w:rsidRPr="00C7122C" w:rsidRDefault="00E94771" w:rsidP="00E94771">
      <w:pPr>
        <w:pStyle w:val="Title"/>
        <w:rPr>
          <w:sz w:val="20"/>
        </w:rPr>
      </w:pPr>
      <w:r w:rsidRPr="00C7122C">
        <w:rPr>
          <w:sz w:val="20"/>
        </w:rPr>
        <w:t>OF</w:t>
      </w:r>
    </w:p>
    <w:p w14:paraId="7D3E35A0" w14:textId="7F4E98FB" w:rsidR="00B911C6" w:rsidRPr="00C7122C" w:rsidRDefault="004554DB" w:rsidP="00E94771">
      <w:pPr>
        <w:pStyle w:val="Title"/>
        <w:rPr>
          <w:sz w:val="20"/>
        </w:rPr>
      </w:pPr>
      <w:r w:rsidRPr="00C7122C">
        <w:rPr>
          <w:sz w:val="20"/>
        </w:rPr>
        <w:t xml:space="preserve">IN HOME MEDIA </w:t>
      </w:r>
      <w:r w:rsidR="00B911C6" w:rsidRPr="00C7122C">
        <w:rPr>
          <w:sz w:val="20"/>
        </w:rPr>
        <w:t xml:space="preserve">LTD </w:t>
      </w:r>
    </w:p>
    <w:p w14:paraId="4FA899A5" w14:textId="3C3A24FE" w:rsidR="00900B09" w:rsidRPr="00C7122C" w:rsidRDefault="00E94771" w:rsidP="00E94771">
      <w:pPr>
        <w:pStyle w:val="Title"/>
        <w:rPr>
          <w:sz w:val="20"/>
        </w:rPr>
      </w:pPr>
      <w:r w:rsidRPr="00C7122C">
        <w:rPr>
          <w:sz w:val="20"/>
        </w:rPr>
        <w:t xml:space="preserve">(Adopted by special resolution passed on </w:t>
      </w:r>
      <w:r w:rsidR="004554DB" w:rsidRPr="00C7122C">
        <w:rPr>
          <w:sz w:val="20"/>
        </w:rPr>
        <w:tab/>
      </w:r>
      <w:r w:rsidR="004554DB" w:rsidRPr="00C7122C">
        <w:rPr>
          <w:sz w:val="20"/>
        </w:rPr>
        <w:tab/>
      </w:r>
      <w:r w:rsidR="004554DB" w:rsidRPr="00C7122C">
        <w:rPr>
          <w:sz w:val="20"/>
        </w:rPr>
        <w:tab/>
      </w:r>
      <w:r w:rsidR="004554DB" w:rsidRPr="00C7122C">
        <w:rPr>
          <w:sz w:val="20"/>
        </w:rPr>
        <w:tab/>
        <w:t>202</w:t>
      </w:r>
      <w:r w:rsidR="00BA43AB">
        <w:rPr>
          <w:sz w:val="20"/>
        </w:rPr>
        <w:t>4</w:t>
      </w:r>
      <w:r w:rsidRPr="00C7122C">
        <w:rPr>
          <w:sz w:val="20"/>
        </w:rPr>
        <w:t>)</w:t>
      </w:r>
    </w:p>
    <w:p w14:paraId="121B29D5" w14:textId="77777777" w:rsidR="00900B09" w:rsidRPr="00C7122C" w:rsidRDefault="00A35BEC" w:rsidP="00B4246C">
      <w:pPr>
        <w:pStyle w:val="Subtitle"/>
        <w:rPr>
          <w:sz w:val="20"/>
        </w:rPr>
      </w:pPr>
      <w:r w:rsidRPr="00C7122C">
        <w:rPr>
          <w:sz w:val="20"/>
        </w:rPr>
        <w:t>INTRODUCTION</w:t>
      </w:r>
    </w:p>
    <w:p w14:paraId="37209085" w14:textId="3A379E6E" w:rsidR="00900B09" w:rsidRPr="00C7122C" w:rsidRDefault="00A35BEC" w:rsidP="00E12420">
      <w:pPr>
        <w:pStyle w:val="Level1"/>
        <w:rPr>
          <w:sz w:val="20"/>
          <w:szCs w:val="20"/>
        </w:rPr>
      </w:pPr>
      <w:bookmarkStart w:id="0" w:name="_Toc256000000"/>
      <w:bookmarkStart w:id="1" w:name="a831611"/>
      <w:bookmarkStart w:id="2" w:name="_Toc149833869"/>
      <w:r w:rsidRPr="00C7122C">
        <w:rPr>
          <w:sz w:val="20"/>
          <w:szCs w:val="20"/>
        </w:rPr>
        <w:t>Interpretation</w:t>
      </w:r>
      <w:bookmarkEnd w:id="0"/>
      <w:bookmarkEnd w:id="1"/>
      <w:bookmarkEnd w:id="2"/>
    </w:p>
    <w:p w14:paraId="7755045F" w14:textId="77777777" w:rsidR="00900B09" w:rsidRPr="00C7122C" w:rsidRDefault="00A35BEC" w:rsidP="00E12420">
      <w:pPr>
        <w:pStyle w:val="Level2"/>
        <w:rPr>
          <w:szCs w:val="20"/>
        </w:rPr>
      </w:pPr>
      <w:bookmarkStart w:id="3" w:name="a308401"/>
      <w:r w:rsidRPr="00C7122C">
        <w:rPr>
          <w:szCs w:val="20"/>
        </w:rPr>
        <w:t>The following definitions and rules of interpretation apply in these Articles:</w:t>
      </w:r>
      <w:bookmarkEnd w:id="3"/>
    </w:p>
    <w:p w14:paraId="71A332DA" w14:textId="23F62AB5" w:rsidR="00BA43AB" w:rsidRPr="00181D75" w:rsidRDefault="00BA43AB" w:rsidP="00181D75">
      <w:pPr>
        <w:pStyle w:val="Level1"/>
        <w:numPr>
          <w:ilvl w:val="0"/>
          <w:numId w:val="0"/>
        </w:numPr>
        <w:ind w:left="680"/>
        <w:rPr>
          <w:b w:val="0"/>
          <w:szCs w:val="20"/>
        </w:rPr>
      </w:pPr>
      <w:bookmarkStart w:id="4" w:name="a323931"/>
      <w:r w:rsidRPr="00181D75">
        <w:rPr>
          <w:bCs/>
          <w:sz w:val="20"/>
          <w:szCs w:val="20"/>
        </w:rPr>
        <w:t xml:space="preserve">A Shares: </w:t>
      </w:r>
      <w:r w:rsidRPr="00181D75">
        <w:rPr>
          <w:b w:val="0"/>
          <w:bCs/>
          <w:sz w:val="20"/>
          <w:szCs w:val="20"/>
        </w:rPr>
        <w:t xml:space="preserve">means the A shares of £1.00 each in the capital of the </w:t>
      </w:r>
      <w:proofErr w:type="gramStart"/>
      <w:r w:rsidRPr="00181D75">
        <w:rPr>
          <w:b w:val="0"/>
          <w:bCs/>
          <w:sz w:val="20"/>
          <w:szCs w:val="20"/>
        </w:rPr>
        <w:t>Company</w:t>
      </w:r>
      <w:proofErr w:type="gramEnd"/>
    </w:p>
    <w:p w14:paraId="1395AA59" w14:textId="66F21F2F" w:rsidR="00900B09" w:rsidRPr="00C7122C" w:rsidRDefault="00A35BEC" w:rsidP="00E24DAB">
      <w:pPr>
        <w:pStyle w:val="Body2"/>
        <w:rPr>
          <w:szCs w:val="20"/>
        </w:rPr>
      </w:pPr>
      <w:r w:rsidRPr="001E2D38">
        <w:rPr>
          <w:b/>
          <w:bCs/>
          <w:szCs w:val="20"/>
        </w:rPr>
        <w:t>Act</w:t>
      </w:r>
      <w:r w:rsidRPr="001E2D38">
        <w:rPr>
          <w:szCs w:val="20"/>
        </w:rPr>
        <w:t>: the</w:t>
      </w:r>
      <w:r w:rsidRPr="00C7122C">
        <w:rPr>
          <w:szCs w:val="20"/>
        </w:rPr>
        <w:t xml:space="preserve"> Companies Act 2006.</w:t>
      </w:r>
      <w:bookmarkEnd w:id="4"/>
    </w:p>
    <w:p w14:paraId="6FB4D94B" w14:textId="77777777" w:rsidR="00900B09" w:rsidRPr="00C7122C" w:rsidRDefault="00A35BEC" w:rsidP="00E24DAB">
      <w:pPr>
        <w:pStyle w:val="Body2"/>
        <w:rPr>
          <w:szCs w:val="20"/>
        </w:rPr>
      </w:pPr>
      <w:bookmarkStart w:id="5" w:name="a578251"/>
      <w:r w:rsidRPr="00C7122C">
        <w:rPr>
          <w:b/>
          <w:bCs/>
          <w:szCs w:val="20"/>
        </w:rPr>
        <w:t xml:space="preserve">acting in </w:t>
      </w:r>
      <w:proofErr w:type="gramStart"/>
      <w:r w:rsidRPr="00C7122C">
        <w:rPr>
          <w:b/>
          <w:bCs/>
          <w:szCs w:val="20"/>
        </w:rPr>
        <w:t>concert</w:t>
      </w:r>
      <w:r w:rsidRPr="00C7122C">
        <w:rPr>
          <w:szCs w:val="20"/>
        </w:rPr>
        <w:t>:</w:t>
      </w:r>
      <w:proofErr w:type="gramEnd"/>
      <w:r w:rsidRPr="00C7122C">
        <w:rPr>
          <w:szCs w:val="20"/>
        </w:rPr>
        <w:t xml:space="preserve"> has the meaning given to it in the City Code on Takeovers and Mergers published by the Panel on Takeovers and Mergers (as amended).</w:t>
      </w:r>
      <w:bookmarkEnd w:id="5"/>
    </w:p>
    <w:p w14:paraId="0800FE99" w14:textId="77777777" w:rsidR="00900B09" w:rsidRPr="00C7122C" w:rsidRDefault="00A35BEC" w:rsidP="00E24DAB">
      <w:pPr>
        <w:pStyle w:val="Body2"/>
        <w:rPr>
          <w:szCs w:val="20"/>
        </w:rPr>
      </w:pPr>
      <w:bookmarkStart w:id="6" w:name="a418233"/>
      <w:r w:rsidRPr="00C7122C">
        <w:rPr>
          <w:b/>
          <w:bCs/>
          <w:szCs w:val="20"/>
        </w:rPr>
        <w:t>Adoption Date</w:t>
      </w:r>
      <w:r w:rsidRPr="00C7122C">
        <w:rPr>
          <w:szCs w:val="20"/>
        </w:rPr>
        <w:t>: the date of adoption of these Articles.</w:t>
      </w:r>
      <w:bookmarkEnd w:id="6"/>
    </w:p>
    <w:p w14:paraId="2933D9DF" w14:textId="77777777" w:rsidR="00900B09" w:rsidRPr="00C7122C" w:rsidRDefault="00A35BEC" w:rsidP="00E24DAB">
      <w:pPr>
        <w:pStyle w:val="Body2"/>
        <w:rPr>
          <w:szCs w:val="20"/>
        </w:rPr>
      </w:pPr>
      <w:bookmarkStart w:id="7" w:name="a258945"/>
      <w:r w:rsidRPr="00C7122C">
        <w:rPr>
          <w:b/>
          <w:bCs/>
          <w:szCs w:val="20"/>
        </w:rPr>
        <w:t>Articles</w:t>
      </w:r>
      <w:r w:rsidRPr="00C7122C">
        <w:rPr>
          <w:szCs w:val="20"/>
        </w:rPr>
        <w:t>: the Company's articles of association for the time being in force.</w:t>
      </w:r>
      <w:bookmarkEnd w:id="7"/>
    </w:p>
    <w:p w14:paraId="453A12E2" w14:textId="77777777" w:rsidR="00900B09" w:rsidRPr="00C7122C" w:rsidRDefault="00A35BEC" w:rsidP="00E24DAB">
      <w:pPr>
        <w:pStyle w:val="Body2"/>
        <w:rPr>
          <w:b/>
          <w:szCs w:val="20"/>
        </w:rPr>
      </w:pPr>
      <w:bookmarkStart w:id="8" w:name="a598572"/>
      <w:r w:rsidRPr="00C7122C">
        <w:rPr>
          <w:b/>
          <w:bCs/>
          <w:szCs w:val="20"/>
        </w:rPr>
        <w:t>Available Profits</w:t>
      </w:r>
      <w:r w:rsidRPr="00C7122C">
        <w:rPr>
          <w:szCs w:val="20"/>
        </w:rPr>
        <w:t>: profits available for distribution within the meaning of part 23 of the Act.</w:t>
      </w:r>
      <w:bookmarkEnd w:id="8"/>
    </w:p>
    <w:p w14:paraId="13CD5B6A" w14:textId="4188F437" w:rsidR="00BA43AB" w:rsidRDefault="00BA43AB" w:rsidP="00BA43AB">
      <w:pPr>
        <w:pStyle w:val="Body2"/>
        <w:rPr>
          <w:b/>
          <w:bCs/>
          <w:szCs w:val="20"/>
        </w:rPr>
      </w:pPr>
      <w:bookmarkStart w:id="9" w:name="a699435"/>
      <w:r>
        <w:rPr>
          <w:b/>
          <w:bCs/>
          <w:szCs w:val="20"/>
        </w:rPr>
        <w:t xml:space="preserve">B Shares: </w:t>
      </w:r>
      <w:r w:rsidRPr="00584E30">
        <w:rPr>
          <w:szCs w:val="20"/>
        </w:rPr>
        <w:t xml:space="preserve">means the </w:t>
      </w:r>
      <w:r>
        <w:rPr>
          <w:szCs w:val="20"/>
        </w:rPr>
        <w:t>B shares of £1.00 each in the capital of the Company</w:t>
      </w:r>
    </w:p>
    <w:p w14:paraId="34FBE25C" w14:textId="4D320A99" w:rsidR="00900B09" w:rsidRPr="00C7122C" w:rsidRDefault="00A35BEC" w:rsidP="00E24DAB">
      <w:pPr>
        <w:pStyle w:val="Body2"/>
        <w:rPr>
          <w:szCs w:val="20"/>
        </w:rPr>
      </w:pPr>
      <w:r w:rsidRPr="00C7122C">
        <w:rPr>
          <w:b/>
          <w:bCs/>
          <w:szCs w:val="20"/>
        </w:rPr>
        <w:t>Business Day</w:t>
      </w:r>
      <w:r w:rsidRPr="00C7122C">
        <w:rPr>
          <w:szCs w:val="20"/>
        </w:rPr>
        <w:t xml:space="preserve">: a day other than a Saturday, </w:t>
      </w:r>
      <w:proofErr w:type="gramStart"/>
      <w:r w:rsidRPr="00C7122C">
        <w:rPr>
          <w:szCs w:val="20"/>
        </w:rPr>
        <w:t>Sunday</w:t>
      </w:r>
      <w:proofErr w:type="gramEnd"/>
      <w:r w:rsidRPr="00C7122C">
        <w:rPr>
          <w:szCs w:val="20"/>
        </w:rPr>
        <w:t xml:space="preserve"> or public holiday in England when banks in London are open for business.</w:t>
      </w:r>
      <w:bookmarkEnd w:id="9"/>
    </w:p>
    <w:p w14:paraId="1338E02C" w14:textId="070654FD" w:rsidR="00900B09" w:rsidRPr="00C7122C" w:rsidRDefault="00A35BEC" w:rsidP="00E24DAB">
      <w:pPr>
        <w:pStyle w:val="Body2"/>
        <w:rPr>
          <w:szCs w:val="20"/>
        </w:rPr>
      </w:pPr>
      <w:bookmarkStart w:id="10" w:name="a401072"/>
      <w:r w:rsidRPr="00C7122C">
        <w:rPr>
          <w:b/>
          <w:bCs/>
          <w:szCs w:val="20"/>
        </w:rPr>
        <w:t>Company</w:t>
      </w:r>
      <w:r w:rsidRPr="00C7122C">
        <w:rPr>
          <w:szCs w:val="20"/>
        </w:rPr>
        <w:t xml:space="preserve">: means </w:t>
      </w:r>
      <w:r w:rsidR="00F65676" w:rsidRPr="00C7122C">
        <w:rPr>
          <w:szCs w:val="20"/>
        </w:rPr>
        <w:t xml:space="preserve">In Home Media </w:t>
      </w:r>
      <w:r w:rsidRPr="00C7122C">
        <w:rPr>
          <w:szCs w:val="20"/>
        </w:rPr>
        <w:t xml:space="preserve">Ltd (Company number </w:t>
      </w:r>
      <w:r w:rsidR="00F65676" w:rsidRPr="00C7122C">
        <w:rPr>
          <w:szCs w:val="20"/>
        </w:rPr>
        <w:t>14606919</w:t>
      </w:r>
      <w:r w:rsidRPr="00C7122C">
        <w:rPr>
          <w:szCs w:val="20"/>
        </w:rPr>
        <w:t>).</w:t>
      </w:r>
      <w:bookmarkEnd w:id="10"/>
    </w:p>
    <w:p w14:paraId="07FCC072" w14:textId="1AFD4CBC" w:rsidR="00900B09" w:rsidRPr="00C7122C" w:rsidRDefault="00A35BEC" w:rsidP="00E24DAB">
      <w:pPr>
        <w:pStyle w:val="Body2"/>
        <w:rPr>
          <w:szCs w:val="20"/>
        </w:rPr>
      </w:pPr>
      <w:bookmarkStart w:id="11" w:name="a291867"/>
      <w:r w:rsidRPr="00C7122C">
        <w:rPr>
          <w:b/>
          <w:bCs/>
          <w:szCs w:val="20"/>
        </w:rPr>
        <w:t>Company's Lien</w:t>
      </w:r>
      <w:r w:rsidRPr="00C7122C">
        <w:rPr>
          <w:szCs w:val="20"/>
        </w:rPr>
        <w:t xml:space="preserve">: has the meaning given to it in </w:t>
      </w:r>
      <w:r w:rsidR="00AA55FC">
        <w:rPr>
          <w:szCs w:val="20"/>
        </w:rPr>
        <w:t>Article 23.1</w:t>
      </w:r>
      <w:bookmarkEnd w:id="11"/>
    </w:p>
    <w:p w14:paraId="066F7B55" w14:textId="77777777" w:rsidR="00900B09" w:rsidRPr="00C7122C" w:rsidRDefault="00A35BEC" w:rsidP="00E24DAB">
      <w:pPr>
        <w:pStyle w:val="Body2"/>
        <w:rPr>
          <w:szCs w:val="20"/>
        </w:rPr>
      </w:pPr>
      <w:bookmarkStart w:id="12" w:name="a333182"/>
      <w:r w:rsidRPr="00C7122C">
        <w:rPr>
          <w:b/>
          <w:bCs/>
          <w:szCs w:val="20"/>
        </w:rPr>
        <w:t>connected</w:t>
      </w:r>
      <w:r w:rsidRPr="00C7122C">
        <w:rPr>
          <w:szCs w:val="20"/>
        </w:rPr>
        <w:t>: has the meaning given in section 252 of the Act.</w:t>
      </w:r>
      <w:bookmarkEnd w:id="12"/>
    </w:p>
    <w:p w14:paraId="7DDB1BE8" w14:textId="77777777" w:rsidR="00900B09" w:rsidRPr="00C7122C" w:rsidRDefault="00A35BEC" w:rsidP="00E24DAB">
      <w:pPr>
        <w:pStyle w:val="Body2"/>
        <w:rPr>
          <w:szCs w:val="20"/>
        </w:rPr>
      </w:pPr>
      <w:bookmarkStart w:id="13" w:name="a563655"/>
      <w:r w:rsidRPr="00C7122C">
        <w:rPr>
          <w:b/>
          <w:bCs/>
          <w:szCs w:val="20"/>
        </w:rPr>
        <w:t>Controlling Interest</w:t>
      </w:r>
      <w:r w:rsidRPr="00C7122C">
        <w:rPr>
          <w:szCs w:val="20"/>
        </w:rPr>
        <w:t xml:space="preserve">: an interest in Shares conferring on the holder or </w:t>
      </w:r>
      <w:proofErr w:type="gramStart"/>
      <w:r w:rsidRPr="00C7122C">
        <w:rPr>
          <w:szCs w:val="20"/>
        </w:rPr>
        <w:t>holders</w:t>
      </w:r>
      <w:proofErr w:type="gramEnd"/>
      <w:r w:rsidRPr="00C7122C">
        <w:rPr>
          <w:szCs w:val="20"/>
        </w:rPr>
        <w:t xml:space="preserve"> control of the Company within the meaning of section 1124 of the Corporation Tax Act 2010.</w:t>
      </w:r>
      <w:bookmarkEnd w:id="13"/>
    </w:p>
    <w:p w14:paraId="4844535A" w14:textId="2ED35097" w:rsidR="00900B09" w:rsidRPr="00C7122C" w:rsidRDefault="00A35BEC" w:rsidP="00E24DAB">
      <w:pPr>
        <w:pStyle w:val="Body2"/>
        <w:rPr>
          <w:szCs w:val="20"/>
        </w:rPr>
      </w:pPr>
      <w:bookmarkStart w:id="14" w:name="a836081"/>
      <w:r w:rsidRPr="00C7122C">
        <w:rPr>
          <w:b/>
          <w:bCs/>
          <w:szCs w:val="20"/>
        </w:rPr>
        <w:t xml:space="preserve">Deemed </w:t>
      </w:r>
      <w:r w:rsidR="003032D3" w:rsidRPr="00C7122C">
        <w:rPr>
          <w:b/>
          <w:bCs/>
          <w:szCs w:val="20"/>
        </w:rPr>
        <w:t>Sale</w:t>
      </w:r>
      <w:r w:rsidRPr="00C7122C">
        <w:rPr>
          <w:b/>
          <w:bCs/>
          <w:szCs w:val="20"/>
        </w:rPr>
        <w:t xml:space="preserve"> Notice</w:t>
      </w:r>
      <w:r w:rsidRPr="00C7122C">
        <w:rPr>
          <w:szCs w:val="20"/>
        </w:rPr>
        <w:t xml:space="preserve">: </w:t>
      </w:r>
      <w:proofErr w:type="gramStart"/>
      <w:r w:rsidRPr="00C7122C">
        <w:rPr>
          <w:szCs w:val="20"/>
        </w:rPr>
        <w:t>a</w:t>
      </w:r>
      <w:proofErr w:type="gramEnd"/>
      <w:r w:rsidRPr="00C7122C">
        <w:rPr>
          <w:szCs w:val="20"/>
        </w:rPr>
        <w:t xml:space="preserve"> </w:t>
      </w:r>
      <w:r w:rsidR="003032D3" w:rsidRPr="00C7122C">
        <w:rPr>
          <w:szCs w:val="20"/>
        </w:rPr>
        <w:t xml:space="preserve">Sale </w:t>
      </w:r>
      <w:r w:rsidRPr="00C7122C">
        <w:rPr>
          <w:szCs w:val="20"/>
        </w:rPr>
        <w:t>Notice which is deemed to have been served by any of the provisions of these Articles.</w:t>
      </w:r>
      <w:bookmarkEnd w:id="14"/>
    </w:p>
    <w:p w14:paraId="0B743450" w14:textId="6B836EBF" w:rsidR="00BA43AB" w:rsidRPr="00181D75" w:rsidRDefault="00BA43AB" w:rsidP="00BA43AB">
      <w:pPr>
        <w:pStyle w:val="Body2"/>
        <w:rPr>
          <w:szCs w:val="20"/>
        </w:rPr>
      </w:pPr>
      <w:bookmarkStart w:id="15" w:name="a451990"/>
      <w:r>
        <w:rPr>
          <w:b/>
          <w:bCs/>
          <w:szCs w:val="20"/>
        </w:rPr>
        <w:t xml:space="preserve">Deferred Shares: </w:t>
      </w:r>
      <w:r>
        <w:rPr>
          <w:szCs w:val="20"/>
        </w:rPr>
        <w:t xml:space="preserve">means those B Shares which have been redesignated as </w:t>
      </w:r>
      <w:r w:rsidRPr="00584E30">
        <w:rPr>
          <w:rFonts w:ascii="Aptos" w:hAnsi="Aptos" w:cs="Aptos"/>
          <w:sz w:val="21"/>
          <w:szCs w:val="21"/>
        </w:rPr>
        <w:t>deferred shares of £</w:t>
      </w:r>
      <w:r>
        <w:rPr>
          <w:rFonts w:ascii="Aptos" w:hAnsi="Aptos" w:cs="Aptos"/>
          <w:sz w:val="21"/>
          <w:szCs w:val="21"/>
        </w:rPr>
        <w:t>1</w:t>
      </w:r>
      <w:r w:rsidRPr="00584E30">
        <w:rPr>
          <w:rFonts w:ascii="Aptos" w:hAnsi="Aptos" w:cs="Aptos"/>
          <w:sz w:val="21"/>
          <w:szCs w:val="21"/>
        </w:rPr>
        <w:t>.0</w:t>
      </w:r>
      <w:r>
        <w:rPr>
          <w:rFonts w:ascii="Aptos" w:hAnsi="Aptos" w:cs="Aptos"/>
          <w:sz w:val="21"/>
          <w:szCs w:val="21"/>
        </w:rPr>
        <w:t>0</w:t>
      </w:r>
      <w:r w:rsidRPr="00584E30">
        <w:rPr>
          <w:rFonts w:ascii="Aptos" w:hAnsi="Aptos" w:cs="Aptos"/>
          <w:sz w:val="21"/>
          <w:szCs w:val="21"/>
        </w:rPr>
        <w:t xml:space="preserve"> each in the capital of the Company from time to </w:t>
      </w:r>
      <w:proofErr w:type="gramStart"/>
      <w:r w:rsidRPr="00584E30">
        <w:rPr>
          <w:rFonts w:ascii="Aptos" w:hAnsi="Aptos" w:cs="Aptos"/>
          <w:sz w:val="21"/>
          <w:szCs w:val="21"/>
        </w:rPr>
        <w:t>time;</w:t>
      </w:r>
      <w:proofErr w:type="gramEnd"/>
    </w:p>
    <w:p w14:paraId="79CFD204" w14:textId="7B306A8A" w:rsidR="00900B09" w:rsidRPr="00C7122C" w:rsidRDefault="00A35BEC" w:rsidP="00E24DAB">
      <w:pPr>
        <w:pStyle w:val="Body2"/>
        <w:rPr>
          <w:szCs w:val="20"/>
        </w:rPr>
      </w:pPr>
      <w:r w:rsidRPr="00C7122C">
        <w:rPr>
          <w:b/>
          <w:bCs/>
          <w:szCs w:val="20"/>
        </w:rPr>
        <w:t>Directors</w:t>
      </w:r>
      <w:r w:rsidRPr="00C7122C">
        <w:rPr>
          <w:szCs w:val="20"/>
        </w:rPr>
        <w:t>: the directors of the Company from time to time.</w:t>
      </w:r>
      <w:bookmarkEnd w:id="15"/>
    </w:p>
    <w:p w14:paraId="116DA995" w14:textId="77777777" w:rsidR="00900B09" w:rsidRPr="00C7122C" w:rsidRDefault="00A35BEC" w:rsidP="00E24DAB">
      <w:pPr>
        <w:pStyle w:val="Body2"/>
        <w:rPr>
          <w:szCs w:val="20"/>
        </w:rPr>
      </w:pPr>
      <w:bookmarkStart w:id="16" w:name="a517407"/>
      <w:r w:rsidRPr="00C7122C">
        <w:rPr>
          <w:b/>
          <w:bCs/>
          <w:szCs w:val="20"/>
        </w:rPr>
        <w:t>Eligible Director</w:t>
      </w:r>
      <w:r w:rsidRPr="00C7122C">
        <w:rPr>
          <w:szCs w:val="20"/>
        </w:rPr>
        <w:t xml:space="preserve">: means a </w:t>
      </w:r>
      <w:proofErr w:type="gramStart"/>
      <w:r w:rsidRPr="00C7122C">
        <w:rPr>
          <w:szCs w:val="20"/>
        </w:rPr>
        <w:t>Director</w:t>
      </w:r>
      <w:proofErr w:type="gramEnd"/>
      <w:r w:rsidRPr="00C7122C">
        <w:rPr>
          <w:szCs w:val="20"/>
        </w:rPr>
        <w:t xml:space="preserve"> who would be entitled to vote on the matter at a meeting of Directors (but excluding any Director whose vote is not to be counted in respect of the particular matter).</w:t>
      </w:r>
      <w:bookmarkEnd w:id="16"/>
    </w:p>
    <w:p w14:paraId="6DF99C06" w14:textId="17760E80" w:rsidR="00BA43AB" w:rsidRPr="002804CF" w:rsidRDefault="00A35BEC" w:rsidP="00BA43AB">
      <w:pPr>
        <w:pStyle w:val="Body2"/>
        <w:rPr>
          <w:szCs w:val="20"/>
        </w:rPr>
      </w:pPr>
      <w:bookmarkStart w:id="17" w:name="a767500"/>
      <w:r w:rsidRPr="00C7122C">
        <w:rPr>
          <w:b/>
          <w:bCs/>
          <w:szCs w:val="20"/>
        </w:rPr>
        <w:lastRenderedPageBreak/>
        <w:t>Employee</w:t>
      </w:r>
      <w:r w:rsidRPr="00C7122C">
        <w:rPr>
          <w:szCs w:val="20"/>
        </w:rPr>
        <w:t xml:space="preserve">: </w:t>
      </w:r>
      <w:r w:rsidR="00BA43AB">
        <w:rPr>
          <w:szCs w:val="20"/>
        </w:rPr>
        <w:t>means a person who has an employment contract with the Company (or any Group Company) or provides consulting or contracting services and has subscribed for B Shares.</w:t>
      </w:r>
    </w:p>
    <w:p w14:paraId="0D68869B" w14:textId="6C95F9F9" w:rsidR="00900B09" w:rsidRPr="00C7122C" w:rsidRDefault="00A35BEC" w:rsidP="00E24DAB">
      <w:pPr>
        <w:pStyle w:val="Body2"/>
        <w:rPr>
          <w:szCs w:val="20"/>
        </w:rPr>
      </w:pPr>
      <w:bookmarkStart w:id="18" w:name="a274761"/>
      <w:bookmarkEnd w:id="17"/>
      <w:r w:rsidRPr="00C7122C">
        <w:rPr>
          <w:b/>
          <w:bCs/>
          <w:szCs w:val="20"/>
        </w:rPr>
        <w:t>Fair Value</w:t>
      </w:r>
      <w:r w:rsidRPr="00C7122C">
        <w:rPr>
          <w:szCs w:val="20"/>
        </w:rPr>
        <w:t>: has the meaning given in</w:t>
      </w:r>
      <w:r w:rsidR="00AA55FC">
        <w:rPr>
          <w:szCs w:val="20"/>
        </w:rPr>
        <w:t xml:space="preserve"> Article 16.4.</w:t>
      </w:r>
      <w:bookmarkEnd w:id="18"/>
    </w:p>
    <w:p w14:paraId="0D43B281" w14:textId="153B919F" w:rsidR="00BA43AB" w:rsidRPr="00181D75" w:rsidRDefault="00BA43AB" w:rsidP="00BA43AB">
      <w:pPr>
        <w:pStyle w:val="Body2"/>
        <w:rPr>
          <w:szCs w:val="20"/>
        </w:rPr>
      </w:pPr>
      <w:bookmarkStart w:id="19" w:name="a292686"/>
      <w:r>
        <w:rPr>
          <w:b/>
          <w:bCs/>
          <w:szCs w:val="20"/>
        </w:rPr>
        <w:t xml:space="preserve">Family Trust: </w:t>
      </w:r>
      <w:r>
        <w:rPr>
          <w:szCs w:val="20"/>
        </w:rPr>
        <w:t xml:space="preserve">means a trust in which the legal and/or beneficial entitlement in respect of a Share is held by that family trust and which trust is established for the benefit of any of a Shareholder, their spouse, civil partner and children and/or grandchildren PROVIDED THAT at the time of any transfer to a Family Trust, the transferring Shareholder shall be the main beneficiary of that family trust. </w:t>
      </w:r>
    </w:p>
    <w:p w14:paraId="7AD7E37F" w14:textId="7AE70F52" w:rsidR="00900B09" w:rsidRPr="00C7122C" w:rsidRDefault="00A35BEC" w:rsidP="00E24DAB">
      <w:pPr>
        <w:pStyle w:val="Body2"/>
        <w:rPr>
          <w:szCs w:val="20"/>
        </w:rPr>
      </w:pPr>
      <w:r w:rsidRPr="00C7122C">
        <w:rPr>
          <w:b/>
          <w:bCs/>
          <w:szCs w:val="20"/>
        </w:rPr>
        <w:t>Financial Year</w:t>
      </w:r>
      <w:r w:rsidRPr="00C7122C">
        <w:rPr>
          <w:szCs w:val="20"/>
        </w:rPr>
        <w:t>: an accounting reference period (as defined in section 391 of the Act) of the Company.</w:t>
      </w:r>
      <w:bookmarkEnd w:id="19"/>
    </w:p>
    <w:p w14:paraId="5E8D9D9D" w14:textId="4931F0E2" w:rsidR="00900B09" w:rsidRPr="00C7122C" w:rsidRDefault="00A35BEC" w:rsidP="00E24DAB">
      <w:pPr>
        <w:pStyle w:val="Body2"/>
        <w:rPr>
          <w:b/>
          <w:szCs w:val="20"/>
        </w:rPr>
      </w:pPr>
      <w:bookmarkStart w:id="20" w:name="a196900"/>
      <w:r w:rsidRPr="00C7122C">
        <w:rPr>
          <w:b/>
          <w:bCs/>
          <w:szCs w:val="20"/>
        </w:rPr>
        <w:t>Independent Expert</w:t>
      </w:r>
      <w:r w:rsidRPr="00C7122C">
        <w:rPr>
          <w:szCs w:val="20"/>
        </w:rPr>
        <w:t xml:space="preserve">: the auditors for the time being of the Company or, if they decline the instruction, an independent firm of chartered accountants of repute appointed by the Company and the Seller in accordance with </w:t>
      </w:r>
      <w:r w:rsidR="00AA55FC">
        <w:rPr>
          <w:szCs w:val="20"/>
        </w:rPr>
        <w:t xml:space="preserve">Article 16. </w:t>
      </w:r>
      <w:bookmarkEnd w:id="20"/>
    </w:p>
    <w:p w14:paraId="224D50C8" w14:textId="14A6B6F7" w:rsidR="00BA43AB" w:rsidRPr="00181D75" w:rsidRDefault="00BA43AB" w:rsidP="00BA43AB">
      <w:pPr>
        <w:pStyle w:val="Body2"/>
        <w:rPr>
          <w:szCs w:val="20"/>
        </w:rPr>
      </w:pPr>
      <w:bookmarkStart w:id="21" w:name="a976444"/>
      <w:r>
        <w:rPr>
          <w:b/>
          <w:bCs/>
          <w:szCs w:val="20"/>
        </w:rPr>
        <w:t xml:space="preserve">Leaver: </w:t>
      </w:r>
      <w:r>
        <w:rPr>
          <w:szCs w:val="20"/>
        </w:rPr>
        <w:t>means an Employee who for any reason leaves the Company as an Employee within three years of their acquisition(s) of B Shares, other than by virtue of the Company making them redundant or unfairly dismissing them.</w:t>
      </w:r>
    </w:p>
    <w:p w14:paraId="41A562C5" w14:textId="11EF3EEA" w:rsidR="00900B09" w:rsidRPr="00C7122C" w:rsidRDefault="00A35BEC" w:rsidP="00E24DAB">
      <w:pPr>
        <w:pStyle w:val="Body2"/>
        <w:rPr>
          <w:szCs w:val="20"/>
        </w:rPr>
      </w:pPr>
      <w:r w:rsidRPr="00C7122C">
        <w:rPr>
          <w:b/>
          <w:bCs/>
          <w:szCs w:val="20"/>
        </w:rPr>
        <w:t>Lien Enforcement Notice</w:t>
      </w:r>
      <w:r w:rsidRPr="00C7122C">
        <w:rPr>
          <w:szCs w:val="20"/>
        </w:rPr>
        <w:t xml:space="preserve">: means a notice in writing which complies with the requirements of </w:t>
      </w:r>
      <w:r w:rsidR="00AA55FC">
        <w:rPr>
          <w:szCs w:val="20"/>
        </w:rPr>
        <w:t>Article 24.2.</w:t>
      </w:r>
      <w:bookmarkEnd w:id="21"/>
    </w:p>
    <w:p w14:paraId="34839AB8" w14:textId="77777777" w:rsidR="00900B09" w:rsidRPr="00C7122C" w:rsidRDefault="00A35BEC" w:rsidP="00DC75D2">
      <w:pPr>
        <w:pStyle w:val="Body2"/>
        <w:rPr>
          <w:szCs w:val="20"/>
        </w:rPr>
      </w:pPr>
      <w:bookmarkStart w:id="22" w:name="a476391"/>
      <w:r w:rsidRPr="00C7122C">
        <w:rPr>
          <w:b/>
          <w:bCs/>
          <w:szCs w:val="20"/>
        </w:rPr>
        <w:t>Model Articles</w:t>
      </w:r>
      <w:r w:rsidRPr="00C7122C">
        <w:rPr>
          <w:szCs w:val="20"/>
        </w:rPr>
        <w:t>: the model articles for private companies limited by shares contained in Schedule 1 to The Companies (Model Articles) Regulations 2008 (</w:t>
      </w:r>
      <w:r w:rsidRPr="00C7122C">
        <w:rPr>
          <w:i/>
          <w:szCs w:val="20"/>
        </w:rPr>
        <w:t>SI 2008/3229</w:t>
      </w:r>
      <w:r w:rsidRPr="00C7122C">
        <w:rPr>
          <w:szCs w:val="20"/>
        </w:rPr>
        <w:t>), as amended prior to the Adoption Date.</w:t>
      </w:r>
      <w:bookmarkEnd w:id="22"/>
    </w:p>
    <w:p w14:paraId="1BF61BF2" w14:textId="1ADC27F4" w:rsidR="00BA43AB" w:rsidRPr="00181D75" w:rsidRDefault="00BA43AB" w:rsidP="00BA43AB">
      <w:pPr>
        <w:pStyle w:val="Body2"/>
        <w:rPr>
          <w:szCs w:val="20"/>
        </w:rPr>
      </w:pPr>
      <w:bookmarkStart w:id="23" w:name="a663176"/>
      <w:r>
        <w:rPr>
          <w:b/>
          <w:bCs/>
          <w:szCs w:val="20"/>
        </w:rPr>
        <w:t xml:space="preserve">Permitted </w:t>
      </w:r>
      <w:proofErr w:type="gramStart"/>
      <w:r>
        <w:rPr>
          <w:b/>
          <w:bCs/>
          <w:szCs w:val="20"/>
        </w:rPr>
        <w:t>Transfer:</w:t>
      </w:r>
      <w:proofErr w:type="gramEnd"/>
      <w:r>
        <w:rPr>
          <w:b/>
          <w:bCs/>
          <w:szCs w:val="20"/>
        </w:rPr>
        <w:t xml:space="preserve"> </w:t>
      </w:r>
      <w:r>
        <w:rPr>
          <w:szCs w:val="20"/>
        </w:rPr>
        <w:t>means those transfers of Shares which are permitted according to Article</w:t>
      </w:r>
      <w:r w:rsidR="00181D75">
        <w:rPr>
          <w:szCs w:val="20"/>
        </w:rPr>
        <w:t xml:space="preserve"> </w:t>
      </w:r>
      <w:r w:rsidR="00181D75">
        <w:rPr>
          <w:szCs w:val="20"/>
        </w:rPr>
        <w:fldChar w:fldCharType="begin"/>
      </w:r>
      <w:r w:rsidR="00181D75">
        <w:rPr>
          <w:szCs w:val="20"/>
        </w:rPr>
        <w:instrText xml:space="preserve"> REF _Ref158033445 \r \h </w:instrText>
      </w:r>
      <w:r w:rsidR="00181D75">
        <w:rPr>
          <w:szCs w:val="20"/>
        </w:rPr>
      </w:r>
      <w:r w:rsidR="00181D75">
        <w:rPr>
          <w:szCs w:val="20"/>
        </w:rPr>
        <w:fldChar w:fldCharType="separate"/>
      </w:r>
      <w:r w:rsidR="00181D75">
        <w:rPr>
          <w:szCs w:val="20"/>
        </w:rPr>
        <w:t>14.2</w:t>
      </w:r>
      <w:r w:rsidR="00181D75">
        <w:rPr>
          <w:szCs w:val="20"/>
        </w:rPr>
        <w:fldChar w:fldCharType="end"/>
      </w:r>
      <w:r>
        <w:rPr>
          <w:szCs w:val="20"/>
        </w:rPr>
        <w:t>.</w:t>
      </w:r>
    </w:p>
    <w:p w14:paraId="0AAE2385" w14:textId="750D5801" w:rsidR="00900B09" w:rsidRPr="00C7122C" w:rsidRDefault="00A35BEC" w:rsidP="008042C0">
      <w:pPr>
        <w:pStyle w:val="Body2"/>
        <w:rPr>
          <w:szCs w:val="20"/>
        </w:rPr>
      </w:pPr>
      <w:r w:rsidRPr="00C7122C">
        <w:rPr>
          <w:b/>
          <w:bCs/>
          <w:szCs w:val="20"/>
        </w:rPr>
        <w:t>Relevant Securities</w:t>
      </w:r>
      <w:r w:rsidRPr="00C7122C">
        <w:rPr>
          <w:szCs w:val="20"/>
        </w:rPr>
        <w:t>: any Shares or other securities convertible into, or carrying the right to subscribe for Shares, issued by the Company after the Adoption Date</w:t>
      </w:r>
      <w:bookmarkEnd w:id="23"/>
      <w:r w:rsidR="008042C0" w:rsidRPr="00C7122C">
        <w:rPr>
          <w:szCs w:val="20"/>
        </w:rPr>
        <w:t>.</w:t>
      </w:r>
    </w:p>
    <w:p w14:paraId="2E61252A" w14:textId="27AD883E" w:rsidR="00900B09" w:rsidRPr="00C7122C" w:rsidRDefault="00A35BEC" w:rsidP="00DC75D2">
      <w:pPr>
        <w:pStyle w:val="Body2"/>
        <w:rPr>
          <w:szCs w:val="20"/>
        </w:rPr>
      </w:pPr>
      <w:bookmarkStart w:id="24" w:name="a662171"/>
      <w:r w:rsidRPr="00C7122C">
        <w:rPr>
          <w:b/>
          <w:bCs/>
          <w:szCs w:val="20"/>
        </w:rPr>
        <w:t>Restricted Shares</w:t>
      </w:r>
      <w:r w:rsidRPr="00C7122C">
        <w:rPr>
          <w:szCs w:val="20"/>
        </w:rPr>
        <w:t xml:space="preserve">: has the meaning given in </w:t>
      </w:r>
      <w:r w:rsidR="00AA55FC">
        <w:rPr>
          <w:szCs w:val="20"/>
        </w:rPr>
        <w:t>Article 17.2.</w:t>
      </w:r>
      <w:bookmarkEnd w:id="24"/>
    </w:p>
    <w:p w14:paraId="676D00F4" w14:textId="3A8D2248" w:rsidR="009543AD" w:rsidRPr="00C7122C" w:rsidRDefault="009543AD" w:rsidP="009543AD">
      <w:pPr>
        <w:pStyle w:val="Body2"/>
        <w:rPr>
          <w:szCs w:val="20"/>
        </w:rPr>
      </w:pPr>
      <w:bookmarkStart w:id="25" w:name="a669351"/>
      <w:bookmarkStart w:id="26" w:name="a298262"/>
      <w:r w:rsidRPr="00C7122C">
        <w:rPr>
          <w:b/>
          <w:bCs/>
          <w:szCs w:val="20"/>
        </w:rPr>
        <w:t>Sale Notice</w:t>
      </w:r>
      <w:r w:rsidRPr="00C7122C">
        <w:rPr>
          <w:szCs w:val="20"/>
        </w:rPr>
        <w:t>: has the meaning given in</w:t>
      </w:r>
      <w:r w:rsidR="00AA55FC">
        <w:rPr>
          <w:szCs w:val="20"/>
        </w:rPr>
        <w:t xml:space="preserve"> Article 15.2.</w:t>
      </w:r>
      <w:bookmarkEnd w:id="25"/>
    </w:p>
    <w:p w14:paraId="5FDB9665" w14:textId="71FBC257" w:rsidR="00900B09" w:rsidRPr="00C7122C" w:rsidRDefault="00A35BEC" w:rsidP="00DC75D2">
      <w:pPr>
        <w:pStyle w:val="Body2"/>
        <w:rPr>
          <w:szCs w:val="20"/>
        </w:rPr>
      </w:pPr>
      <w:r w:rsidRPr="00C7122C">
        <w:rPr>
          <w:b/>
          <w:bCs/>
          <w:szCs w:val="20"/>
        </w:rPr>
        <w:t>Sale Proceeds</w:t>
      </w:r>
      <w:r w:rsidRPr="00C7122C">
        <w:rPr>
          <w:szCs w:val="20"/>
        </w:rPr>
        <w:t>: means the consideration payable (including any deferred and/or contingent consideration) whether in cash or otherwise to those Shareholders selling Shares under a Share Sale (less any fees and expenses payable by the selling Shareholders under that Share Sale).</w:t>
      </w:r>
      <w:bookmarkEnd w:id="26"/>
    </w:p>
    <w:p w14:paraId="06258E3E" w14:textId="258D2F15" w:rsidR="00900B09" w:rsidRPr="00C7122C" w:rsidRDefault="00A35BEC" w:rsidP="00DC75D2">
      <w:pPr>
        <w:pStyle w:val="Body2"/>
        <w:rPr>
          <w:szCs w:val="20"/>
        </w:rPr>
      </w:pPr>
      <w:bookmarkStart w:id="27" w:name="a743036"/>
      <w:r w:rsidRPr="00C7122C">
        <w:rPr>
          <w:b/>
          <w:bCs/>
          <w:szCs w:val="20"/>
        </w:rPr>
        <w:t>Sale Shares</w:t>
      </w:r>
      <w:r w:rsidRPr="00C7122C">
        <w:rPr>
          <w:szCs w:val="20"/>
        </w:rPr>
        <w:t xml:space="preserve">: has the meaning given in </w:t>
      </w:r>
      <w:bookmarkEnd w:id="27"/>
      <w:r w:rsidR="00AA55FC">
        <w:rPr>
          <w:szCs w:val="20"/>
        </w:rPr>
        <w:t>Article 15.2.</w:t>
      </w:r>
    </w:p>
    <w:p w14:paraId="5D7751C6" w14:textId="3BEA06D7" w:rsidR="00900B09" w:rsidRPr="00C7122C" w:rsidRDefault="00A35BEC" w:rsidP="00DC75D2">
      <w:pPr>
        <w:pStyle w:val="Body2"/>
        <w:rPr>
          <w:szCs w:val="20"/>
        </w:rPr>
      </w:pPr>
      <w:bookmarkStart w:id="28" w:name="a540406"/>
      <w:r w:rsidRPr="00C7122C">
        <w:rPr>
          <w:b/>
          <w:bCs/>
          <w:szCs w:val="20"/>
        </w:rPr>
        <w:t>Seller</w:t>
      </w:r>
      <w:r w:rsidRPr="00C7122C">
        <w:rPr>
          <w:szCs w:val="20"/>
        </w:rPr>
        <w:t xml:space="preserve">: has the meaning given in </w:t>
      </w:r>
      <w:bookmarkEnd w:id="28"/>
      <w:r w:rsidR="00AA55FC">
        <w:rPr>
          <w:szCs w:val="20"/>
        </w:rPr>
        <w:t>Article 15.2.</w:t>
      </w:r>
    </w:p>
    <w:p w14:paraId="45890174" w14:textId="1A366103" w:rsidR="00900B09" w:rsidRPr="00C7122C" w:rsidRDefault="00A35BEC" w:rsidP="00DC75D2">
      <w:pPr>
        <w:pStyle w:val="Body2"/>
        <w:rPr>
          <w:szCs w:val="20"/>
        </w:rPr>
      </w:pPr>
      <w:bookmarkStart w:id="29" w:name="a264517"/>
      <w:r w:rsidRPr="00C7122C">
        <w:rPr>
          <w:b/>
          <w:bCs/>
          <w:szCs w:val="20"/>
        </w:rPr>
        <w:t>Shareholder</w:t>
      </w:r>
      <w:r w:rsidRPr="00C7122C">
        <w:rPr>
          <w:szCs w:val="20"/>
        </w:rPr>
        <w:t xml:space="preserve">: a holder for the time being of any Share or </w:t>
      </w:r>
      <w:proofErr w:type="gramStart"/>
      <w:r w:rsidRPr="00C7122C">
        <w:rPr>
          <w:szCs w:val="20"/>
        </w:rPr>
        <w:t>Shares, but</w:t>
      </w:r>
      <w:proofErr w:type="gramEnd"/>
      <w:r w:rsidRPr="00C7122C">
        <w:rPr>
          <w:szCs w:val="20"/>
        </w:rPr>
        <w:t xml:space="preserve"> excluding any member holding Shares in treasury.</w:t>
      </w:r>
      <w:bookmarkEnd w:id="29"/>
    </w:p>
    <w:p w14:paraId="717AAD1E" w14:textId="082E165D" w:rsidR="00900B09" w:rsidRDefault="00A35BEC" w:rsidP="00DC75D2">
      <w:pPr>
        <w:pStyle w:val="Body2"/>
        <w:rPr>
          <w:szCs w:val="20"/>
        </w:rPr>
      </w:pPr>
      <w:bookmarkStart w:id="30" w:name="a729986"/>
      <w:r w:rsidRPr="00C7122C">
        <w:rPr>
          <w:b/>
          <w:bCs/>
          <w:szCs w:val="20"/>
        </w:rPr>
        <w:t>Shares</w:t>
      </w:r>
      <w:r w:rsidRPr="00C7122C">
        <w:rPr>
          <w:szCs w:val="20"/>
        </w:rPr>
        <w:t xml:space="preserve">: shares (of any class) in the capital of the Company and </w:t>
      </w:r>
      <w:r w:rsidR="00BA43AB">
        <w:rPr>
          <w:szCs w:val="20"/>
        </w:rPr>
        <w:t>“</w:t>
      </w:r>
      <w:r w:rsidRPr="00C7122C">
        <w:rPr>
          <w:szCs w:val="20"/>
        </w:rPr>
        <w:t>Share</w:t>
      </w:r>
      <w:r w:rsidR="00BA43AB">
        <w:rPr>
          <w:szCs w:val="20"/>
        </w:rPr>
        <w:t>”</w:t>
      </w:r>
      <w:r w:rsidRPr="00C7122C">
        <w:rPr>
          <w:szCs w:val="20"/>
        </w:rPr>
        <w:t xml:space="preserve"> shall be construed accordingly.</w:t>
      </w:r>
      <w:bookmarkEnd w:id="30"/>
    </w:p>
    <w:p w14:paraId="48F3C1F9" w14:textId="53F57D8E" w:rsidR="001F0C69" w:rsidRPr="00C7122C" w:rsidRDefault="001F0C69" w:rsidP="00DC75D2">
      <w:pPr>
        <w:pStyle w:val="Body2"/>
        <w:rPr>
          <w:szCs w:val="20"/>
        </w:rPr>
      </w:pPr>
      <w:r>
        <w:rPr>
          <w:b/>
          <w:bCs/>
          <w:szCs w:val="20"/>
        </w:rPr>
        <w:t>Share Option Plan</w:t>
      </w:r>
      <w:r w:rsidRPr="00181D75">
        <w:rPr>
          <w:szCs w:val="20"/>
        </w:rPr>
        <w:t>:</w:t>
      </w:r>
      <w:r>
        <w:rPr>
          <w:szCs w:val="20"/>
        </w:rPr>
        <w:t xml:space="preserve"> means a plan adopted by the Company with consent by at least 76% of the nominal value of the holders of </w:t>
      </w:r>
      <w:r w:rsidR="00181D75">
        <w:rPr>
          <w:szCs w:val="20"/>
        </w:rPr>
        <w:t>the A</w:t>
      </w:r>
      <w:r>
        <w:rPr>
          <w:szCs w:val="20"/>
        </w:rPr>
        <w:t xml:space="preserve"> Shares. </w:t>
      </w:r>
    </w:p>
    <w:p w14:paraId="0A504932" w14:textId="77777777" w:rsidR="00900B09" w:rsidRPr="00C7122C" w:rsidRDefault="00A35BEC" w:rsidP="00DC75D2">
      <w:pPr>
        <w:pStyle w:val="Body2"/>
        <w:rPr>
          <w:szCs w:val="20"/>
        </w:rPr>
      </w:pPr>
      <w:bookmarkStart w:id="31" w:name="a691300"/>
      <w:r w:rsidRPr="00C7122C">
        <w:rPr>
          <w:b/>
          <w:bCs/>
          <w:szCs w:val="20"/>
        </w:rPr>
        <w:lastRenderedPageBreak/>
        <w:t>Share Sale</w:t>
      </w:r>
      <w:r w:rsidRPr="00C7122C">
        <w:rPr>
          <w:szCs w:val="20"/>
        </w:rPr>
        <w:t>: the sale of (or the grant of a right to acquire or to dispose of) any Shares (in one transaction or as a series of transactions) which would, if completed, result in the buyer of those Shares (or grantee of that right) and persons acting in concert with the buyer of those Shares together acquiring a Controlling Interest, except where the identities of the shareholders in the buyer and the proportion of shares of the buyer held by each of them following completion of the sale are the same as the identities of the Shareholders and their respective shareholdings in the Company immediately before the sale.</w:t>
      </w:r>
      <w:bookmarkEnd w:id="31"/>
    </w:p>
    <w:p w14:paraId="326AD6C4" w14:textId="7EF6182E" w:rsidR="00900B09" w:rsidRPr="001E2D38" w:rsidRDefault="00A35BEC" w:rsidP="00DC75D2">
      <w:pPr>
        <w:pStyle w:val="Body2"/>
        <w:rPr>
          <w:szCs w:val="20"/>
        </w:rPr>
      </w:pPr>
      <w:bookmarkStart w:id="32" w:name="a879711"/>
      <w:r w:rsidRPr="001E2D38">
        <w:rPr>
          <w:b/>
          <w:bCs/>
          <w:szCs w:val="20"/>
        </w:rPr>
        <w:t>Price</w:t>
      </w:r>
      <w:r w:rsidRPr="001E2D38">
        <w:rPr>
          <w:szCs w:val="20"/>
        </w:rPr>
        <w:t xml:space="preserve">: has the meaning given in </w:t>
      </w:r>
      <w:r w:rsidR="00AA55FC">
        <w:rPr>
          <w:szCs w:val="20"/>
        </w:rPr>
        <w:t>Article 15.</w:t>
      </w:r>
      <w:bookmarkEnd w:id="32"/>
    </w:p>
    <w:p w14:paraId="6507980F" w14:textId="39906648" w:rsidR="00BA43AB" w:rsidRPr="00181D75" w:rsidRDefault="00BA43AB" w:rsidP="00BA43AB">
      <w:pPr>
        <w:pStyle w:val="Body2"/>
        <w:rPr>
          <w:szCs w:val="20"/>
        </w:rPr>
      </w:pPr>
      <w:bookmarkStart w:id="33" w:name="a825560"/>
      <w:r w:rsidRPr="00E41E06">
        <w:rPr>
          <w:b/>
          <w:bCs/>
          <w:szCs w:val="20"/>
        </w:rPr>
        <w:t>Transfer, Transferred or Transferring</w:t>
      </w:r>
      <w:r>
        <w:rPr>
          <w:szCs w:val="20"/>
        </w:rPr>
        <w:t xml:space="preserve">: means any transaction, concluded with or without consideration, resulting in the transfer of the ownership of Shares, other ownership interests or rights (including, without limitation, voting rights) or </w:t>
      </w:r>
      <w:proofErr w:type="spellStart"/>
      <w:r>
        <w:rPr>
          <w:szCs w:val="20"/>
        </w:rPr>
        <w:t>secuties</w:t>
      </w:r>
      <w:proofErr w:type="spellEnd"/>
      <w:r>
        <w:rPr>
          <w:szCs w:val="20"/>
        </w:rPr>
        <w:t xml:space="preserve"> (and rights and obligations relating to Shares and securities), including but not limited to (i) all transfer, sales or assignment of partial (i.e. beneficial interest, usufruct, or ownership without beneficial interest) or full title by any legal means; (ii) any transfer made pursuant to a public auction ordered by a court; (iii) any Encumbrance created or sought to be created over any Share and any other security interest giving or entitling to, immediately or in the future, directly or indirectly, any rights to Shares or other ownership interests, and related expressions “to transfer” or transferring shall be construed accordingly.</w:t>
      </w:r>
      <w:r w:rsidRPr="00560C55">
        <w:rPr>
          <w:szCs w:val="20"/>
        </w:rPr>
        <w:t xml:space="preserve"> </w:t>
      </w:r>
    </w:p>
    <w:p w14:paraId="47BDEB47" w14:textId="5823808D" w:rsidR="00900B09" w:rsidRPr="00C7122C" w:rsidRDefault="00A35BEC" w:rsidP="00DC75D2">
      <w:pPr>
        <w:pStyle w:val="Body2"/>
        <w:rPr>
          <w:szCs w:val="20"/>
        </w:rPr>
      </w:pPr>
      <w:r w:rsidRPr="001E2D38">
        <w:rPr>
          <w:b/>
          <w:bCs/>
          <w:szCs w:val="20"/>
        </w:rPr>
        <w:t>Writing or written</w:t>
      </w:r>
      <w:r w:rsidRPr="001E2D38">
        <w:rPr>
          <w:szCs w:val="20"/>
        </w:rPr>
        <w:t>: the representation</w:t>
      </w:r>
      <w:r w:rsidRPr="00C7122C">
        <w:rPr>
          <w:szCs w:val="20"/>
        </w:rPr>
        <w:t xml:space="preserve"> or reproduction of words, </w:t>
      </w:r>
      <w:proofErr w:type="gramStart"/>
      <w:r w:rsidRPr="00C7122C">
        <w:rPr>
          <w:szCs w:val="20"/>
        </w:rPr>
        <w:t>symbols</w:t>
      </w:r>
      <w:proofErr w:type="gramEnd"/>
      <w:r w:rsidRPr="00C7122C">
        <w:rPr>
          <w:szCs w:val="20"/>
        </w:rPr>
        <w:t xml:space="preserve"> or other information in a visible form by any method or combination of methods, whether sent or supplied in electronic form or otherwise, save that, in relation to a</w:t>
      </w:r>
      <w:r w:rsidR="009543AD" w:rsidRPr="00C7122C">
        <w:rPr>
          <w:szCs w:val="20"/>
        </w:rPr>
        <w:t xml:space="preserve"> Sale</w:t>
      </w:r>
      <w:r w:rsidRPr="00C7122C">
        <w:rPr>
          <w:szCs w:val="20"/>
        </w:rPr>
        <w:t xml:space="preserve"> Notice (or Deemed </w:t>
      </w:r>
      <w:r w:rsidR="009543AD" w:rsidRPr="00C7122C">
        <w:rPr>
          <w:szCs w:val="20"/>
        </w:rPr>
        <w:t xml:space="preserve">Sale </w:t>
      </w:r>
      <w:r w:rsidRPr="00C7122C">
        <w:rPr>
          <w:szCs w:val="20"/>
        </w:rPr>
        <w:t>Notice), "writing" or "written" shall not include the sending or supply of notices, documents or information in electronic form (other than by fax).</w:t>
      </w:r>
      <w:r w:rsidRPr="00C7122C">
        <w:rPr>
          <w:szCs w:val="20"/>
        </w:rPr>
        <w:fldChar w:fldCharType="begin"/>
      </w:r>
      <w:r w:rsidRPr="00C7122C">
        <w:rPr>
          <w:szCs w:val="20"/>
        </w:rPr>
        <w:fldChar w:fldCharType="end"/>
      </w:r>
      <w:bookmarkEnd w:id="33"/>
    </w:p>
    <w:p w14:paraId="5BF7E6F9" w14:textId="77777777" w:rsidR="00900B09" w:rsidRPr="00C7122C" w:rsidRDefault="00A35BEC" w:rsidP="00E12420">
      <w:pPr>
        <w:pStyle w:val="Level2"/>
        <w:rPr>
          <w:szCs w:val="20"/>
        </w:rPr>
      </w:pPr>
      <w:bookmarkStart w:id="34" w:name="a67735"/>
      <w:r w:rsidRPr="00C7122C">
        <w:rPr>
          <w:szCs w:val="20"/>
        </w:rPr>
        <w:t>Headings in these Articles shall not affect the interpretation of these Articles.</w:t>
      </w:r>
      <w:bookmarkEnd w:id="34"/>
    </w:p>
    <w:p w14:paraId="5064B2AD" w14:textId="77777777" w:rsidR="00900B09" w:rsidRPr="00C7122C" w:rsidRDefault="00A35BEC" w:rsidP="00E12420">
      <w:pPr>
        <w:pStyle w:val="Level2"/>
        <w:rPr>
          <w:szCs w:val="20"/>
        </w:rPr>
      </w:pPr>
      <w:bookmarkStart w:id="35" w:name="a847471"/>
      <w:r w:rsidRPr="00C7122C">
        <w:rPr>
          <w:szCs w:val="20"/>
        </w:rPr>
        <w:t xml:space="preserve">Unless the context otherwise requires, words in the singular shall include the plural and the plural shall include the singular. </w:t>
      </w:r>
      <w:bookmarkEnd w:id="35"/>
    </w:p>
    <w:p w14:paraId="422776FB" w14:textId="77777777" w:rsidR="00900B09" w:rsidRPr="00C7122C" w:rsidRDefault="00A35BEC" w:rsidP="00E12420">
      <w:pPr>
        <w:pStyle w:val="Level2"/>
        <w:rPr>
          <w:szCs w:val="20"/>
        </w:rPr>
      </w:pPr>
      <w:bookmarkStart w:id="36" w:name="a242681"/>
      <w:r w:rsidRPr="00C7122C">
        <w:rPr>
          <w:szCs w:val="20"/>
        </w:rPr>
        <w:t>Unless the context otherwise requires, a reference to one gender shall include a reference to the other genders.</w:t>
      </w:r>
      <w:bookmarkEnd w:id="36"/>
    </w:p>
    <w:p w14:paraId="7F0C56BE" w14:textId="77777777" w:rsidR="00900B09" w:rsidRPr="00C7122C" w:rsidRDefault="00A35BEC" w:rsidP="00E12420">
      <w:pPr>
        <w:pStyle w:val="Level2"/>
        <w:rPr>
          <w:szCs w:val="20"/>
        </w:rPr>
      </w:pPr>
      <w:bookmarkStart w:id="37" w:name="a1057052"/>
      <w:r w:rsidRPr="00C7122C">
        <w:rPr>
          <w:szCs w:val="20"/>
        </w:rPr>
        <w:t xml:space="preserve">Save as otherwise specifically provided in these Articles, words and expressions which have </w:t>
      </w:r>
      <w:proofErr w:type="gramStart"/>
      <w:r w:rsidRPr="00C7122C">
        <w:rPr>
          <w:szCs w:val="20"/>
        </w:rPr>
        <w:t>particular meanings</w:t>
      </w:r>
      <w:proofErr w:type="gramEnd"/>
      <w:r w:rsidRPr="00C7122C">
        <w:rPr>
          <w:szCs w:val="20"/>
        </w:rPr>
        <w:t xml:space="preserve"> in the Model Articles shall have the same meanings in these Articles, subject to which and unless the context otherwise requires, words and expressions which have particular meanings in the Act shall have the same meanings in these Articles (but excluding any statutory modification of them not in force on the Adoption Date).</w:t>
      </w:r>
      <w:bookmarkEnd w:id="37"/>
    </w:p>
    <w:p w14:paraId="1768B5E1" w14:textId="77777777" w:rsidR="00900B09" w:rsidRPr="00C7122C" w:rsidRDefault="00A35BEC" w:rsidP="00E12420">
      <w:pPr>
        <w:pStyle w:val="Level2"/>
        <w:rPr>
          <w:szCs w:val="20"/>
        </w:rPr>
      </w:pPr>
      <w:bookmarkStart w:id="38" w:name="a400488"/>
      <w:r w:rsidRPr="00C7122C">
        <w:rPr>
          <w:szCs w:val="20"/>
        </w:rPr>
        <w:t>A reference in these Articles to:</w:t>
      </w:r>
      <w:bookmarkEnd w:id="38"/>
    </w:p>
    <w:p w14:paraId="27164026" w14:textId="77777777" w:rsidR="00900B09" w:rsidRPr="00C7122C" w:rsidRDefault="00A35BEC" w:rsidP="00E12420">
      <w:pPr>
        <w:pStyle w:val="Level3"/>
        <w:rPr>
          <w:szCs w:val="20"/>
        </w:rPr>
      </w:pPr>
      <w:bookmarkStart w:id="39" w:name="a214860"/>
      <w:r w:rsidRPr="00C7122C">
        <w:rPr>
          <w:szCs w:val="20"/>
        </w:rPr>
        <w:t xml:space="preserve">an </w:t>
      </w:r>
      <w:proofErr w:type="gramStart"/>
      <w:r w:rsidRPr="00C7122C">
        <w:rPr>
          <w:b/>
          <w:szCs w:val="20"/>
        </w:rPr>
        <w:t>Article</w:t>
      </w:r>
      <w:proofErr w:type="gramEnd"/>
      <w:r w:rsidRPr="00C7122C">
        <w:rPr>
          <w:szCs w:val="20"/>
        </w:rPr>
        <w:t xml:space="preserve"> is a reference to the relevant numbered article of these Articles; and</w:t>
      </w:r>
      <w:bookmarkEnd w:id="39"/>
    </w:p>
    <w:p w14:paraId="1BA7A941" w14:textId="77777777" w:rsidR="00900B09" w:rsidRPr="00C7122C" w:rsidRDefault="00A35BEC" w:rsidP="00E12420">
      <w:pPr>
        <w:pStyle w:val="Level3"/>
        <w:rPr>
          <w:szCs w:val="20"/>
        </w:rPr>
      </w:pPr>
      <w:bookmarkStart w:id="40" w:name="a37323"/>
      <w:r w:rsidRPr="00C7122C">
        <w:rPr>
          <w:szCs w:val="20"/>
        </w:rPr>
        <w:t xml:space="preserve">a </w:t>
      </w:r>
      <w:r w:rsidRPr="00C7122C">
        <w:rPr>
          <w:b/>
          <w:szCs w:val="20"/>
        </w:rPr>
        <w:t>model article</w:t>
      </w:r>
      <w:r w:rsidRPr="00C7122C">
        <w:rPr>
          <w:szCs w:val="20"/>
        </w:rPr>
        <w:t xml:space="preserve"> is a reference to the relevant article,</w:t>
      </w:r>
      <w:bookmarkEnd w:id="40"/>
    </w:p>
    <w:p w14:paraId="0A14E5FA" w14:textId="77777777" w:rsidR="00900B09" w:rsidRPr="00C7122C" w:rsidRDefault="00A35BEC" w:rsidP="00DC75D2">
      <w:pPr>
        <w:pStyle w:val="Body2"/>
        <w:rPr>
          <w:szCs w:val="20"/>
        </w:rPr>
      </w:pPr>
      <w:r w:rsidRPr="00C7122C">
        <w:rPr>
          <w:szCs w:val="20"/>
        </w:rPr>
        <w:t>unless expressly provided otherwise.</w:t>
      </w:r>
    </w:p>
    <w:p w14:paraId="5EC7669C" w14:textId="32933C7C" w:rsidR="00900B09" w:rsidRPr="00C7122C" w:rsidRDefault="00A35BEC" w:rsidP="00E12420">
      <w:pPr>
        <w:pStyle w:val="Level2"/>
        <w:rPr>
          <w:szCs w:val="20"/>
        </w:rPr>
      </w:pPr>
      <w:bookmarkStart w:id="41" w:name="a879515"/>
      <w:r w:rsidRPr="00C7122C">
        <w:rPr>
          <w:szCs w:val="20"/>
        </w:rPr>
        <w:t xml:space="preserve">A reference to legislation or a legislative provision is a reference to it as amended, </w:t>
      </w:r>
      <w:proofErr w:type="gramStart"/>
      <w:r w:rsidRPr="00C7122C">
        <w:rPr>
          <w:szCs w:val="20"/>
        </w:rPr>
        <w:t>extended</w:t>
      </w:r>
      <w:proofErr w:type="gramEnd"/>
      <w:r w:rsidRPr="00C7122C">
        <w:rPr>
          <w:szCs w:val="20"/>
        </w:rPr>
        <w:t xml:space="preserve"> or re-enacted from time to time. A reference to legislation or a legislative provision shall include all subordinate legislation made from time to time under that legislation or legislative provision.</w:t>
      </w:r>
      <w:bookmarkEnd w:id="41"/>
    </w:p>
    <w:p w14:paraId="22B850C1" w14:textId="77777777" w:rsidR="00900B09" w:rsidRPr="00C7122C" w:rsidRDefault="00A35BEC" w:rsidP="00E12420">
      <w:pPr>
        <w:pStyle w:val="Level2"/>
        <w:rPr>
          <w:szCs w:val="20"/>
        </w:rPr>
      </w:pPr>
      <w:bookmarkStart w:id="42" w:name="a146549"/>
      <w:r w:rsidRPr="00C7122C">
        <w:rPr>
          <w:szCs w:val="20"/>
        </w:rPr>
        <w:lastRenderedPageBreak/>
        <w:t xml:space="preserve">Any words following the terms </w:t>
      </w:r>
      <w:r w:rsidRPr="00C7122C">
        <w:rPr>
          <w:b/>
          <w:szCs w:val="20"/>
        </w:rPr>
        <w:t>including</w:t>
      </w:r>
      <w:r w:rsidRPr="00C7122C">
        <w:rPr>
          <w:szCs w:val="20"/>
        </w:rPr>
        <w:t xml:space="preserve">, </w:t>
      </w:r>
      <w:r w:rsidRPr="00C7122C">
        <w:rPr>
          <w:b/>
          <w:szCs w:val="20"/>
        </w:rPr>
        <w:t>include</w:t>
      </w:r>
      <w:proofErr w:type="gramStart"/>
      <w:r w:rsidRPr="00C7122C">
        <w:rPr>
          <w:szCs w:val="20"/>
        </w:rPr>
        <w:t xml:space="preserve">, </w:t>
      </w:r>
      <w:r w:rsidRPr="00C7122C">
        <w:rPr>
          <w:b/>
          <w:szCs w:val="20"/>
        </w:rPr>
        <w:t>in particular</w:t>
      </w:r>
      <w:r w:rsidRPr="00C7122C">
        <w:rPr>
          <w:szCs w:val="20"/>
        </w:rPr>
        <w:t xml:space="preserve">, </w:t>
      </w:r>
      <w:r w:rsidRPr="00C7122C">
        <w:rPr>
          <w:b/>
          <w:szCs w:val="20"/>
        </w:rPr>
        <w:t>for</w:t>
      </w:r>
      <w:proofErr w:type="gramEnd"/>
      <w:r w:rsidRPr="00C7122C">
        <w:rPr>
          <w:b/>
          <w:szCs w:val="20"/>
        </w:rPr>
        <w:t xml:space="preserve"> example</w:t>
      </w:r>
      <w:r w:rsidRPr="00C7122C">
        <w:rPr>
          <w:szCs w:val="20"/>
        </w:rPr>
        <w:t xml:space="preserve"> or any similar expression shall be construed as illustrative and shall not limit the sense of the words, description, definition, phrase or term preceding those terms.</w:t>
      </w:r>
      <w:bookmarkEnd w:id="42"/>
    </w:p>
    <w:p w14:paraId="13FECD0A" w14:textId="77777777" w:rsidR="00900B09" w:rsidRPr="00C7122C" w:rsidRDefault="00A35BEC" w:rsidP="00E12420">
      <w:pPr>
        <w:pStyle w:val="Level2"/>
        <w:rPr>
          <w:szCs w:val="20"/>
        </w:rPr>
      </w:pPr>
      <w:bookmarkStart w:id="43" w:name="a823285"/>
      <w:r w:rsidRPr="00C7122C">
        <w:rPr>
          <w:szCs w:val="20"/>
        </w:rPr>
        <w:t xml:space="preserve">Where the context permits, </w:t>
      </w:r>
      <w:r w:rsidRPr="00C7122C">
        <w:rPr>
          <w:b/>
          <w:szCs w:val="20"/>
        </w:rPr>
        <w:t>other</w:t>
      </w:r>
      <w:r w:rsidRPr="00C7122C">
        <w:rPr>
          <w:szCs w:val="20"/>
        </w:rPr>
        <w:t xml:space="preserve"> and </w:t>
      </w:r>
      <w:r w:rsidRPr="00C7122C">
        <w:rPr>
          <w:b/>
          <w:szCs w:val="20"/>
        </w:rPr>
        <w:t>otherwise</w:t>
      </w:r>
      <w:r w:rsidRPr="00C7122C">
        <w:rPr>
          <w:szCs w:val="20"/>
        </w:rPr>
        <w:t xml:space="preserve"> are illustrative and shall not limit the sense of the words preceding them.</w:t>
      </w:r>
      <w:bookmarkEnd w:id="43"/>
    </w:p>
    <w:p w14:paraId="3DB61E07" w14:textId="262DAF49" w:rsidR="00900B09" w:rsidRPr="00C7122C" w:rsidRDefault="00A35BEC" w:rsidP="00EA27A3">
      <w:pPr>
        <w:pStyle w:val="Level2"/>
        <w:rPr>
          <w:szCs w:val="20"/>
        </w:rPr>
      </w:pPr>
      <w:bookmarkStart w:id="44" w:name="a407766"/>
      <w:r w:rsidRPr="00C7122C">
        <w:rPr>
          <w:szCs w:val="20"/>
        </w:rPr>
        <w:t xml:space="preserve">A reference to a </w:t>
      </w:r>
      <w:r w:rsidRPr="00C7122C">
        <w:rPr>
          <w:b/>
          <w:szCs w:val="20"/>
        </w:rPr>
        <w:t>holding company</w:t>
      </w:r>
      <w:r w:rsidRPr="00C7122C">
        <w:rPr>
          <w:szCs w:val="20"/>
        </w:rPr>
        <w:t xml:space="preserve"> or a </w:t>
      </w:r>
      <w:r w:rsidRPr="00C7122C">
        <w:rPr>
          <w:b/>
          <w:szCs w:val="20"/>
        </w:rPr>
        <w:t>subsidiary</w:t>
      </w:r>
      <w:r w:rsidRPr="00C7122C">
        <w:rPr>
          <w:szCs w:val="20"/>
        </w:rPr>
        <w:t xml:space="preserve"> means a holding company or a subsidiary (as the case may be) as defined in section 1159 of the Act</w:t>
      </w:r>
      <w:bookmarkEnd w:id="44"/>
      <w:r w:rsidR="00EA27A3" w:rsidRPr="00C7122C">
        <w:rPr>
          <w:szCs w:val="20"/>
        </w:rPr>
        <w:t>.</w:t>
      </w:r>
    </w:p>
    <w:p w14:paraId="0EAADAC6" w14:textId="1D705859" w:rsidR="00900B09" w:rsidRPr="00C7122C" w:rsidRDefault="00A35BEC" w:rsidP="00E12420">
      <w:pPr>
        <w:pStyle w:val="Level1"/>
        <w:rPr>
          <w:sz w:val="20"/>
          <w:szCs w:val="20"/>
        </w:rPr>
      </w:pPr>
      <w:bookmarkStart w:id="45" w:name="_Toc256000001"/>
      <w:bookmarkStart w:id="46" w:name="a400367"/>
      <w:bookmarkStart w:id="47" w:name="_Toc149833870"/>
      <w:r w:rsidRPr="00C7122C">
        <w:rPr>
          <w:sz w:val="20"/>
          <w:szCs w:val="20"/>
        </w:rPr>
        <w:t>Adoption of the Model Articles</w:t>
      </w:r>
      <w:bookmarkEnd w:id="45"/>
      <w:bookmarkEnd w:id="46"/>
      <w:bookmarkEnd w:id="47"/>
    </w:p>
    <w:p w14:paraId="4B978471" w14:textId="60AE8A92" w:rsidR="00900B09" w:rsidRPr="00C7122C" w:rsidRDefault="00A35BEC" w:rsidP="00E12420">
      <w:pPr>
        <w:pStyle w:val="Level2"/>
        <w:rPr>
          <w:szCs w:val="20"/>
        </w:rPr>
      </w:pPr>
      <w:bookmarkStart w:id="48" w:name="a328943"/>
      <w:r w:rsidRPr="00C7122C">
        <w:rPr>
          <w:szCs w:val="20"/>
        </w:rPr>
        <w:t xml:space="preserve">The Model Articles shall apply to the Company, except in so far as they are modified or excluded by these Articles or are inconsistent with these Articles, and, subject to any such modifications, exclusions or inconsistencies, shall together with these Articles constitute the </w:t>
      </w:r>
      <w:r w:rsidR="00691A23" w:rsidRPr="00C7122C">
        <w:rPr>
          <w:szCs w:val="20"/>
        </w:rPr>
        <w:t>A</w:t>
      </w:r>
      <w:r w:rsidRPr="00C7122C">
        <w:rPr>
          <w:szCs w:val="20"/>
        </w:rPr>
        <w:t xml:space="preserve">rticles of association of the Company to the exclusion of any other articles or regulations set out in any statute or in any statutory instrument or other subordinate legislation. </w:t>
      </w:r>
      <w:bookmarkEnd w:id="48"/>
    </w:p>
    <w:p w14:paraId="0EC0CAD4" w14:textId="292A1DDA" w:rsidR="00900B09" w:rsidRPr="00C7122C" w:rsidRDefault="00A35BEC" w:rsidP="00E12420">
      <w:pPr>
        <w:pStyle w:val="Level2"/>
        <w:rPr>
          <w:szCs w:val="20"/>
        </w:rPr>
      </w:pPr>
      <w:bookmarkStart w:id="49" w:name="a852328"/>
      <w:r w:rsidRPr="00C7122C">
        <w:rPr>
          <w:szCs w:val="20"/>
        </w:rPr>
        <w:t>Model articles 7, 8, 9(1) and (3), 11(2) and (3), 12, 13, 14(1) to (4) (inclusive), 16, 18(e), 22, 26(5), 38, 39, 44(2), 49, 50 and 51 to 53 (inclusive) shall not apply to the Company.</w:t>
      </w:r>
      <w:bookmarkEnd w:id="49"/>
    </w:p>
    <w:p w14:paraId="1531F073" w14:textId="559B4850" w:rsidR="00900B09" w:rsidRPr="00C7122C" w:rsidRDefault="00A35BEC" w:rsidP="00E12420">
      <w:pPr>
        <w:pStyle w:val="Level2"/>
        <w:rPr>
          <w:szCs w:val="20"/>
        </w:rPr>
      </w:pPr>
      <w:r w:rsidRPr="00C7122C">
        <w:rPr>
          <w:szCs w:val="20"/>
        </w:rPr>
        <w:fldChar w:fldCharType="begin"/>
      </w:r>
      <w:r w:rsidRPr="00C7122C">
        <w:rPr>
          <w:szCs w:val="20"/>
        </w:rPr>
        <w:fldChar w:fldCharType="end"/>
      </w:r>
      <w:bookmarkStart w:id="50" w:name="a282173"/>
      <w:r w:rsidRPr="00C7122C">
        <w:rPr>
          <w:szCs w:val="20"/>
        </w:rPr>
        <w:t>Model article 20 shall be amended by the insertion of the words "and the secretary" before the words "properly incur".</w:t>
      </w:r>
      <w:bookmarkEnd w:id="50"/>
    </w:p>
    <w:p w14:paraId="37E21F8E" w14:textId="387C7987" w:rsidR="00900B09" w:rsidRPr="00C7122C" w:rsidRDefault="00A35BEC" w:rsidP="00E12420">
      <w:pPr>
        <w:pStyle w:val="Level2"/>
        <w:rPr>
          <w:szCs w:val="20"/>
        </w:rPr>
      </w:pPr>
      <w:r w:rsidRPr="00C7122C">
        <w:rPr>
          <w:szCs w:val="20"/>
        </w:rPr>
        <w:fldChar w:fldCharType="begin"/>
      </w:r>
      <w:r w:rsidRPr="00C7122C">
        <w:rPr>
          <w:szCs w:val="20"/>
        </w:rPr>
        <w:fldChar w:fldCharType="end"/>
      </w:r>
      <w:bookmarkStart w:id="51" w:name="a523798"/>
      <w:r w:rsidRPr="00C7122C">
        <w:rPr>
          <w:szCs w:val="20"/>
        </w:rPr>
        <w:t>In model article 25(2)(c), the words "evidence, indemnity and the payment of a reasonable fee" shall be deleted and replaced with the words "evidence and indemnity".</w:t>
      </w:r>
      <w:bookmarkEnd w:id="51"/>
    </w:p>
    <w:p w14:paraId="78E151C4" w14:textId="3560BEFE" w:rsidR="00900B09" w:rsidRPr="00C7122C" w:rsidRDefault="00A35BEC" w:rsidP="00E12420">
      <w:pPr>
        <w:pStyle w:val="Level2"/>
        <w:rPr>
          <w:szCs w:val="20"/>
        </w:rPr>
      </w:pPr>
      <w:bookmarkStart w:id="52" w:name="a442393"/>
      <w:r w:rsidRPr="00C7122C">
        <w:rPr>
          <w:szCs w:val="20"/>
        </w:rPr>
        <w:t xml:space="preserve">Model article 29 shall be amended by the insertion of the words ", or the name of any person(s) named as the transferee(s) in an instrument of </w:t>
      </w:r>
      <w:r w:rsidR="00BA43AB">
        <w:rPr>
          <w:szCs w:val="20"/>
        </w:rPr>
        <w:t>T</w:t>
      </w:r>
      <w:r w:rsidRPr="00C7122C">
        <w:rPr>
          <w:szCs w:val="20"/>
        </w:rPr>
        <w:t xml:space="preserve">ransfer executed under article 28(2)," after the words "the </w:t>
      </w:r>
      <w:proofErr w:type="spellStart"/>
      <w:r w:rsidRPr="00C7122C">
        <w:rPr>
          <w:szCs w:val="20"/>
        </w:rPr>
        <w:t>transmittee's</w:t>
      </w:r>
      <w:proofErr w:type="spellEnd"/>
      <w:r w:rsidRPr="00C7122C">
        <w:rPr>
          <w:szCs w:val="20"/>
        </w:rPr>
        <w:t xml:space="preserve"> name".</w:t>
      </w:r>
      <w:bookmarkEnd w:id="52"/>
    </w:p>
    <w:p w14:paraId="770ABB78" w14:textId="77777777" w:rsidR="00900B09" w:rsidRPr="00C7122C" w:rsidRDefault="00A35BEC" w:rsidP="00C64328">
      <w:pPr>
        <w:pStyle w:val="Subtitle"/>
        <w:rPr>
          <w:sz w:val="20"/>
        </w:rPr>
      </w:pPr>
      <w:r w:rsidRPr="00C7122C">
        <w:rPr>
          <w:sz w:val="20"/>
        </w:rPr>
        <w:t>DIRECTORS</w:t>
      </w:r>
    </w:p>
    <w:p w14:paraId="71C6E0C1" w14:textId="79F9FEBC" w:rsidR="00900B09" w:rsidRPr="00C7122C" w:rsidRDefault="00A35BEC" w:rsidP="00E12420">
      <w:pPr>
        <w:pStyle w:val="Level1"/>
        <w:rPr>
          <w:sz w:val="20"/>
          <w:szCs w:val="20"/>
        </w:rPr>
      </w:pPr>
      <w:bookmarkStart w:id="53" w:name="_Toc256000002"/>
      <w:bookmarkStart w:id="54" w:name="a918621"/>
      <w:bookmarkStart w:id="55" w:name="_Toc149833871"/>
      <w:r w:rsidRPr="00C7122C">
        <w:rPr>
          <w:sz w:val="20"/>
          <w:szCs w:val="20"/>
        </w:rPr>
        <w:t>Number of directors</w:t>
      </w:r>
      <w:bookmarkEnd w:id="53"/>
      <w:bookmarkEnd w:id="54"/>
      <w:bookmarkEnd w:id="55"/>
    </w:p>
    <w:p w14:paraId="75A9372F" w14:textId="045517AC" w:rsidR="00900B09" w:rsidRPr="00C7122C" w:rsidRDefault="00A35BEC" w:rsidP="00C64328">
      <w:pPr>
        <w:pStyle w:val="Body2"/>
        <w:rPr>
          <w:szCs w:val="20"/>
        </w:rPr>
      </w:pPr>
      <w:bookmarkStart w:id="56" w:name="a698359"/>
      <w:r w:rsidRPr="00C7122C">
        <w:rPr>
          <w:szCs w:val="20"/>
        </w:rPr>
        <w:t>Unless otherwise determined by ordinary resolution, the number of Directors shall not be less than two.</w:t>
      </w:r>
      <w:bookmarkEnd w:id="56"/>
    </w:p>
    <w:p w14:paraId="77B6F5A4" w14:textId="06AE592D" w:rsidR="00900B09" w:rsidRPr="00C7122C" w:rsidRDefault="00A35BEC" w:rsidP="00E12420">
      <w:pPr>
        <w:pStyle w:val="Level1"/>
        <w:rPr>
          <w:sz w:val="20"/>
          <w:szCs w:val="20"/>
        </w:rPr>
      </w:pPr>
      <w:bookmarkStart w:id="57" w:name="_Toc256000003"/>
      <w:bookmarkStart w:id="58" w:name="a858579"/>
      <w:bookmarkStart w:id="59" w:name="_Toc149833872"/>
      <w:r w:rsidRPr="00C7122C">
        <w:rPr>
          <w:sz w:val="20"/>
          <w:szCs w:val="20"/>
        </w:rPr>
        <w:t>Proceedings of directors</w:t>
      </w:r>
      <w:bookmarkEnd w:id="57"/>
      <w:bookmarkEnd w:id="58"/>
      <w:bookmarkEnd w:id="59"/>
    </w:p>
    <w:p w14:paraId="40FA8040" w14:textId="5B5AF5B0" w:rsidR="00900B09" w:rsidRPr="00C7122C" w:rsidRDefault="00826A32" w:rsidP="00826A32">
      <w:pPr>
        <w:pStyle w:val="Level2"/>
        <w:rPr>
          <w:szCs w:val="20"/>
        </w:rPr>
      </w:pPr>
      <w:bookmarkStart w:id="60" w:name="a574254"/>
      <w:r w:rsidRPr="00C7122C">
        <w:rPr>
          <w:szCs w:val="20"/>
        </w:rPr>
        <w:t xml:space="preserve">Any decision of the Directors must be taken at a meeting of Directors in accordance with these Articles or must be a decision taken in accordance with </w:t>
      </w:r>
      <w:r w:rsidR="00AA55FC">
        <w:rPr>
          <w:szCs w:val="20"/>
        </w:rPr>
        <w:t>Article 4.2</w:t>
      </w:r>
      <w:r w:rsidRPr="00C7122C">
        <w:rPr>
          <w:szCs w:val="20"/>
        </w:rPr>
        <w:t xml:space="preserve"> (subject to </w:t>
      </w:r>
      <w:r w:rsidR="00AA55FC">
        <w:rPr>
          <w:szCs w:val="20"/>
        </w:rPr>
        <w:t xml:space="preserve">Article 4.3 </w:t>
      </w:r>
      <w:r w:rsidRPr="00C7122C">
        <w:rPr>
          <w:szCs w:val="20"/>
        </w:rPr>
        <w:t xml:space="preserve">and </w:t>
      </w:r>
      <w:r w:rsidR="00AA55FC">
        <w:rPr>
          <w:szCs w:val="20"/>
        </w:rPr>
        <w:t>Article 4.4</w:t>
      </w:r>
      <w:r w:rsidRPr="00C7122C">
        <w:rPr>
          <w:szCs w:val="20"/>
        </w:rPr>
        <w:t>). All decisions made at any meeting of the Directors shall be decided by a majority of votes.</w:t>
      </w:r>
      <w:bookmarkEnd w:id="60"/>
    </w:p>
    <w:p w14:paraId="6516F1D6" w14:textId="77777777" w:rsidR="00900B09" w:rsidRPr="00C7122C" w:rsidRDefault="00A35BEC" w:rsidP="00E12420">
      <w:pPr>
        <w:pStyle w:val="Level2"/>
        <w:rPr>
          <w:szCs w:val="20"/>
        </w:rPr>
      </w:pPr>
      <w:bookmarkStart w:id="61" w:name="a167806"/>
      <w:r w:rsidRPr="00C7122C">
        <w:rPr>
          <w:szCs w:val="20"/>
        </w:rPr>
        <w:t>A unanimous decision of the Directors is taken when all Eligible Directors indicate to each other by any means that they share a common view on a matter.</w:t>
      </w:r>
      <w:bookmarkEnd w:id="61"/>
    </w:p>
    <w:p w14:paraId="3C488FBC" w14:textId="39D89898" w:rsidR="00900B09" w:rsidRPr="00C7122C" w:rsidRDefault="00A35BEC" w:rsidP="00E12420">
      <w:pPr>
        <w:pStyle w:val="Level2"/>
        <w:rPr>
          <w:szCs w:val="20"/>
        </w:rPr>
      </w:pPr>
      <w:bookmarkStart w:id="62" w:name="a573139"/>
      <w:r w:rsidRPr="00C7122C">
        <w:rPr>
          <w:szCs w:val="20"/>
        </w:rPr>
        <w:t xml:space="preserve">A decision taken in accordance with </w:t>
      </w:r>
      <w:r w:rsidR="00AA55FC">
        <w:rPr>
          <w:szCs w:val="20"/>
        </w:rPr>
        <w:t>Article 4.2</w:t>
      </w:r>
      <w:r w:rsidRPr="00C7122C">
        <w:rPr>
          <w:szCs w:val="20"/>
        </w:rPr>
        <w:t xml:space="preserve"> may take the form of a resolution in writing, where each Eligible Director has signed one or more copies of it, or to which each Eligible Director has otherwise indicated agreement in writing.</w:t>
      </w:r>
      <w:bookmarkEnd w:id="62"/>
    </w:p>
    <w:p w14:paraId="26EA0B14" w14:textId="3AEBE669" w:rsidR="00900B09" w:rsidRPr="00C7122C" w:rsidRDefault="00A35BEC" w:rsidP="00826A32">
      <w:pPr>
        <w:pStyle w:val="Level2"/>
        <w:rPr>
          <w:szCs w:val="20"/>
        </w:rPr>
      </w:pPr>
      <w:bookmarkStart w:id="63" w:name="a947466"/>
      <w:r w:rsidRPr="00C7122C">
        <w:rPr>
          <w:szCs w:val="20"/>
        </w:rPr>
        <w:t xml:space="preserve">A decision may not be taken in accordance with </w:t>
      </w:r>
      <w:r w:rsidR="00AA55FC">
        <w:rPr>
          <w:szCs w:val="20"/>
        </w:rPr>
        <w:t>Article 4.2</w:t>
      </w:r>
      <w:r w:rsidRPr="00C7122C">
        <w:rPr>
          <w:szCs w:val="20"/>
        </w:rPr>
        <w:t xml:space="preserve"> if the Eligible Directors would not have formed a quorum at a </w:t>
      </w:r>
      <w:proofErr w:type="gramStart"/>
      <w:r w:rsidRPr="00C7122C">
        <w:rPr>
          <w:szCs w:val="20"/>
        </w:rPr>
        <w:t>Directors'</w:t>
      </w:r>
      <w:proofErr w:type="gramEnd"/>
      <w:r w:rsidRPr="00C7122C">
        <w:rPr>
          <w:szCs w:val="20"/>
        </w:rPr>
        <w:t xml:space="preserve"> meeting to vote on the matter in accordance with </w:t>
      </w:r>
      <w:r w:rsidR="00AA55FC">
        <w:rPr>
          <w:szCs w:val="20"/>
        </w:rPr>
        <w:t>Article 4.6</w:t>
      </w:r>
      <w:r w:rsidRPr="00C7122C">
        <w:rPr>
          <w:szCs w:val="20"/>
        </w:rPr>
        <w:t xml:space="preserve"> and </w:t>
      </w:r>
      <w:r w:rsidR="00AA55FC">
        <w:rPr>
          <w:szCs w:val="20"/>
        </w:rPr>
        <w:t>Article 4.7</w:t>
      </w:r>
      <w:r w:rsidRPr="00C7122C">
        <w:rPr>
          <w:szCs w:val="20"/>
        </w:rPr>
        <w:t>.</w:t>
      </w:r>
      <w:bookmarkEnd w:id="63"/>
      <w:r w:rsidR="00826A32" w:rsidRPr="00C7122C">
        <w:rPr>
          <w:szCs w:val="20"/>
        </w:rPr>
        <w:t xml:space="preserve"> </w:t>
      </w:r>
    </w:p>
    <w:p w14:paraId="7BB7CD29" w14:textId="4BD75315" w:rsidR="00900B09" w:rsidRPr="00C7122C" w:rsidRDefault="00A35BEC" w:rsidP="00E12420">
      <w:pPr>
        <w:pStyle w:val="Level2"/>
        <w:rPr>
          <w:szCs w:val="20"/>
        </w:rPr>
      </w:pPr>
      <w:bookmarkStart w:id="64" w:name="a349920"/>
      <w:r w:rsidRPr="00C7122C">
        <w:rPr>
          <w:szCs w:val="20"/>
        </w:rPr>
        <w:lastRenderedPageBreak/>
        <w:t xml:space="preserve">Meetings of the Directors shall take place at least </w:t>
      </w:r>
      <w:r w:rsidR="00B84826" w:rsidRPr="00C7122C">
        <w:rPr>
          <w:szCs w:val="20"/>
        </w:rPr>
        <w:t>once a month</w:t>
      </w:r>
      <w:r w:rsidRPr="00C7122C">
        <w:rPr>
          <w:szCs w:val="20"/>
        </w:rPr>
        <w:t xml:space="preserve">. Any Director may call a meeting of the Directors. At least </w:t>
      </w:r>
      <w:r w:rsidR="005803D6">
        <w:rPr>
          <w:szCs w:val="20"/>
        </w:rPr>
        <w:t>10</w:t>
      </w:r>
      <w:r w:rsidRPr="00C7122C">
        <w:rPr>
          <w:szCs w:val="20"/>
        </w:rPr>
        <w:t xml:space="preserve"> Business Days</w:t>
      </w:r>
      <w:r w:rsidR="00622048">
        <w:rPr>
          <w:szCs w:val="20"/>
        </w:rPr>
        <w:t xml:space="preserve"> </w:t>
      </w:r>
      <w:r w:rsidRPr="00C7122C">
        <w:rPr>
          <w:szCs w:val="20"/>
        </w:rPr>
        <w:t>advance notice of each such meeting shall be given to each Director.</w:t>
      </w:r>
      <w:bookmarkEnd w:id="64"/>
    </w:p>
    <w:p w14:paraId="5C4AB1A9" w14:textId="5AE0CAB9" w:rsidR="00900B09" w:rsidRPr="00C7122C" w:rsidRDefault="00A35BEC" w:rsidP="00B84826">
      <w:pPr>
        <w:pStyle w:val="Level2"/>
        <w:rPr>
          <w:szCs w:val="20"/>
        </w:rPr>
      </w:pPr>
      <w:bookmarkStart w:id="65" w:name="a873305"/>
      <w:r w:rsidRPr="00C7122C">
        <w:rPr>
          <w:szCs w:val="20"/>
        </w:rPr>
        <w:t>The quorum for any meeting (or, where specified below, part of a meeting) of the Directors shall be two Eligible Directors</w:t>
      </w:r>
      <w:bookmarkEnd w:id="65"/>
      <w:r w:rsidRPr="00C7122C">
        <w:rPr>
          <w:szCs w:val="20"/>
        </w:rPr>
        <w:t xml:space="preserve">. If the necessary quorum is not present within 30 minutes from the time appointed for the meeting, or if, during a meeting, such quorum ceases to be present, the meeting shall stand adjourned to such time and place as the Directors determine. </w:t>
      </w:r>
    </w:p>
    <w:p w14:paraId="388E7C55" w14:textId="5E949816" w:rsidR="00900B09" w:rsidRPr="00C7122C" w:rsidRDefault="00A35BEC" w:rsidP="00E12420">
      <w:pPr>
        <w:pStyle w:val="Level2"/>
        <w:rPr>
          <w:szCs w:val="20"/>
        </w:rPr>
      </w:pPr>
      <w:bookmarkStart w:id="66" w:name="a86827"/>
      <w:r w:rsidRPr="00C7122C">
        <w:rPr>
          <w:szCs w:val="20"/>
        </w:rPr>
        <w:t xml:space="preserve">For the purposes of any meeting (or part of a meeting) held pursuant to </w:t>
      </w:r>
      <w:r w:rsidR="00622048">
        <w:rPr>
          <w:szCs w:val="20"/>
        </w:rPr>
        <w:t>Article 7</w:t>
      </w:r>
      <w:r w:rsidRPr="00C7122C">
        <w:rPr>
          <w:szCs w:val="20"/>
        </w:rPr>
        <w:t xml:space="preserve"> to authorise a Conflict (as defined in </w:t>
      </w:r>
      <w:r w:rsidR="00622048">
        <w:rPr>
          <w:szCs w:val="20"/>
        </w:rPr>
        <w:t>Article 7.1</w:t>
      </w:r>
      <w:r w:rsidRPr="00C7122C">
        <w:rPr>
          <w:szCs w:val="20"/>
        </w:rPr>
        <w:t>), if there is only one Eligible Director in office other than the conflicted Director(s), the quorum for such meeting (or part of a meeting) shall be one Eligible Director.</w:t>
      </w:r>
      <w:bookmarkEnd w:id="66"/>
    </w:p>
    <w:p w14:paraId="4D449DD9" w14:textId="6E39A21C" w:rsidR="00900B09" w:rsidRPr="00C7122C" w:rsidRDefault="00A35BEC" w:rsidP="00E12420">
      <w:pPr>
        <w:pStyle w:val="Level2"/>
        <w:rPr>
          <w:szCs w:val="20"/>
        </w:rPr>
      </w:pPr>
      <w:bookmarkStart w:id="67" w:name="a158054"/>
      <w:r w:rsidRPr="00C7122C">
        <w:rPr>
          <w:szCs w:val="20"/>
        </w:rPr>
        <w:t>If the number of Directors in office for the time being is less than two, the Director in office must not take any decision other than a decision to:</w:t>
      </w:r>
      <w:bookmarkEnd w:id="67"/>
    </w:p>
    <w:p w14:paraId="5C6866EC" w14:textId="77777777" w:rsidR="00900B09" w:rsidRPr="00C7122C" w:rsidRDefault="00A35BEC" w:rsidP="00E12420">
      <w:pPr>
        <w:pStyle w:val="Level3"/>
        <w:rPr>
          <w:szCs w:val="20"/>
        </w:rPr>
      </w:pPr>
      <w:bookmarkStart w:id="68" w:name="a866771"/>
      <w:r w:rsidRPr="00C7122C">
        <w:rPr>
          <w:szCs w:val="20"/>
        </w:rPr>
        <w:t>appoint further Directors; or</w:t>
      </w:r>
      <w:bookmarkEnd w:id="68"/>
    </w:p>
    <w:p w14:paraId="2C414473" w14:textId="77777777" w:rsidR="00900B09" w:rsidRPr="00C7122C" w:rsidRDefault="00A35BEC" w:rsidP="00E12420">
      <w:pPr>
        <w:pStyle w:val="Level3"/>
        <w:rPr>
          <w:szCs w:val="20"/>
        </w:rPr>
      </w:pPr>
      <w:bookmarkStart w:id="69" w:name="a264254"/>
      <w:r w:rsidRPr="00C7122C">
        <w:rPr>
          <w:szCs w:val="20"/>
        </w:rPr>
        <w:t xml:space="preserve">call a general meeting </w:t>
      </w:r>
      <w:proofErr w:type="gramStart"/>
      <w:r w:rsidRPr="00C7122C">
        <w:rPr>
          <w:szCs w:val="20"/>
        </w:rPr>
        <w:t>so as to</w:t>
      </w:r>
      <w:proofErr w:type="gramEnd"/>
      <w:r w:rsidRPr="00C7122C">
        <w:rPr>
          <w:szCs w:val="20"/>
        </w:rPr>
        <w:t xml:space="preserve"> enable the Shareholders to appoint further Directors.</w:t>
      </w:r>
      <w:bookmarkEnd w:id="69"/>
    </w:p>
    <w:p w14:paraId="5EEBCC03" w14:textId="0CD81A0F" w:rsidR="00900B09" w:rsidRPr="00C7122C" w:rsidRDefault="00A35BEC" w:rsidP="00E12420">
      <w:pPr>
        <w:pStyle w:val="Level2"/>
        <w:rPr>
          <w:szCs w:val="20"/>
        </w:rPr>
      </w:pPr>
      <w:bookmarkStart w:id="70" w:name="a463370"/>
      <w:r w:rsidRPr="00C7122C">
        <w:rPr>
          <w:szCs w:val="20"/>
        </w:rPr>
        <w:t>Questions arising at any meeting of the Directors shall be decided by a majority of votes. If there is an equality of votes, the chair of the meeting shall not have a second or casting vote.</w:t>
      </w:r>
      <w:bookmarkEnd w:id="70"/>
    </w:p>
    <w:p w14:paraId="16FE7FEF" w14:textId="77777777" w:rsidR="00900B09" w:rsidRPr="00C7122C" w:rsidRDefault="00A35BEC" w:rsidP="00E12420">
      <w:pPr>
        <w:pStyle w:val="Level2"/>
        <w:rPr>
          <w:szCs w:val="20"/>
        </w:rPr>
      </w:pPr>
      <w:bookmarkStart w:id="71" w:name="a694601"/>
      <w:r w:rsidRPr="00C7122C">
        <w:rPr>
          <w:szCs w:val="20"/>
        </w:rPr>
        <w:t>Where decisions of the Directors are taken by electronic means, such decisions shall be recorded by the Directors in permanent form, so that they may be read with the naked eye.</w:t>
      </w:r>
      <w:bookmarkEnd w:id="71"/>
    </w:p>
    <w:p w14:paraId="650FA22C" w14:textId="699FD5F5" w:rsidR="00900B09" w:rsidRPr="00C7122C" w:rsidRDefault="00A35BEC" w:rsidP="00E12420">
      <w:pPr>
        <w:pStyle w:val="Level1"/>
        <w:rPr>
          <w:sz w:val="20"/>
          <w:szCs w:val="20"/>
        </w:rPr>
      </w:pPr>
      <w:bookmarkStart w:id="72" w:name="_Toc256000004"/>
      <w:bookmarkStart w:id="73" w:name="a606272"/>
      <w:bookmarkStart w:id="74" w:name="_Toc149833873"/>
      <w:r w:rsidRPr="00C7122C">
        <w:rPr>
          <w:sz w:val="20"/>
          <w:szCs w:val="20"/>
        </w:rPr>
        <w:t>Appointment and removal of directors</w:t>
      </w:r>
      <w:bookmarkEnd w:id="72"/>
      <w:bookmarkEnd w:id="73"/>
      <w:bookmarkEnd w:id="74"/>
    </w:p>
    <w:p w14:paraId="19E20149" w14:textId="03D85BBB" w:rsidR="00900B09" w:rsidRPr="00C7122C" w:rsidRDefault="00A35BEC" w:rsidP="00E12420">
      <w:pPr>
        <w:pStyle w:val="Level2"/>
        <w:rPr>
          <w:szCs w:val="20"/>
        </w:rPr>
      </w:pPr>
      <w:r w:rsidRPr="00C7122C">
        <w:rPr>
          <w:szCs w:val="20"/>
        </w:rPr>
        <w:fldChar w:fldCharType="begin"/>
      </w:r>
      <w:r w:rsidRPr="00C7122C">
        <w:rPr>
          <w:szCs w:val="20"/>
        </w:rPr>
        <w:fldChar w:fldCharType="end"/>
      </w:r>
      <w:bookmarkStart w:id="75" w:name="a875896"/>
      <w:r w:rsidRPr="00C7122C">
        <w:rPr>
          <w:szCs w:val="20"/>
        </w:rPr>
        <w:t>Model article 18 shall be modified by the addition of the following events upon the occurrence of which a person shall cease to be a Director:</w:t>
      </w:r>
      <w:bookmarkEnd w:id="75"/>
      <w:r w:rsidR="00A670C5">
        <w:rPr>
          <w:szCs w:val="20"/>
        </w:rPr>
        <w:t xml:space="preserve">  </w:t>
      </w:r>
    </w:p>
    <w:p w14:paraId="0E581D9F" w14:textId="77777777" w:rsidR="00900B09" w:rsidRPr="00235186" w:rsidRDefault="00A35BEC" w:rsidP="00E12420">
      <w:pPr>
        <w:pStyle w:val="Level3"/>
        <w:rPr>
          <w:szCs w:val="20"/>
        </w:rPr>
      </w:pPr>
      <w:bookmarkStart w:id="76" w:name="a826535"/>
      <w:r w:rsidRPr="00C7122C">
        <w:rPr>
          <w:szCs w:val="20"/>
        </w:rPr>
        <w:t xml:space="preserve">they are convicted of a criminal offence (other than a minor motoring offence) and a </w:t>
      </w:r>
      <w:r w:rsidRPr="00235186">
        <w:rPr>
          <w:szCs w:val="20"/>
        </w:rPr>
        <w:t xml:space="preserve">majority of the other Directors resolve that they cease to be a </w:t>
      </w:r>
      <w:proofErr w:type="gramStart"/>
      <w:r w:rsidRPr="00235186">
        <w:rPr>
          <w:szCs w:val="20"/>
        </w:rPr>
        <w:t>Director;</w:t>
      </w:r>
      <w:bookmarkEnd w:id="76"/>
      <w:proofErr w:type="gramEnd"/>
    </w:p>
    <w:p w14:paraId="657516E7" w14:textId="196E93BA" w:rsidR="00900B09" w:rsidRPr="00235186" w:rsidRDefault="00235186" w:rsidP="00E12420">
      <w:pPr>
        <w:pStyle w:val="Level3"/>
        <w:rPr>
          <w:szCs w:val="20"/>
        </w:rPr>
      </w:pPr>
      <w:bookmarkStart w:id="77" w:name="a709040"/>
      <w:r w:rsidRPr="00235186">
        <w:rPr>
          <w:szCs w:val="20"/>
        </w:rPr>
        <w:t>the holders of 7</w:t>
      </w:r>
      <w:r w:rsidR="001F0C69">
        <w:rPr>
          <w:szCs w:val="20"/>
        </w:rPr>
        <w:t>6</w:t>
      </w:r>
      <w:r w:rsidRPr="00235186">
        <w:rPr>
          <w:szCs w:val="20"/>
        </w:rPr>
        <w:t xml:space="preserve">% of the </w:t>
      </w:r>
      <w:r w:rsidR="005447DF">
        <w:rPr>
          <w:szCs w:val="20"/>
        </w:rPr>
        <w:t xml:space="preserve">A </w:t>
      </w:r>
      <w:r w:rsidR="00092D22">
        <w:rPr>
          <w:szCs w:val="20"/>
        </w:rPr>
        <w:t>Shares</w:t>
      </w:r>
      <w:r w:rsidR="00A35BEC" w:rsidRPr="00235186">
        <w:rPr>
          <w:szCs w:val="20"/>
        </w:rPr>
        <w:t xml:space="preserve"> resolve that they cease to be a </w:t>
      </w:r>
      <w:proofErr w:type="gramStart"/>
      <w:r w:rsidR="00A35BEC" w:rsidRPr="00235186">
        <w:rPr>
          <w:szCs w:val="20"/>
        </w:rPr>
        <w:t>Director</w:t>
      </w:r>
      <w:proofErr w:type="gramEnd"/>
      <w:r w:rsidR="005803D6">
        <w:rPr>
          <w:szCs w:val="20"/>
        </w:rPr>
        <w:t>; and</w:t>
      </w:r>
      <w:bookmarkEnd w:id="77"/>
    </w:p>
    <w:p w14:paraId="57FC9A52" w14:textId="4085B2A1" w:rsidR="00900B09" w:rsidRPr="00C7122C" w:rsidRDefault="00A35BEC" w:rsidP="00E12420">
      <w:pPr>
        <w:pStyle w:val="Level3"/>
        <w:rPr>
          <w:szCs w:val="20"/>
        </w:rPr>
      </w:pPr>
      <w:bookmarkStart w:id="78" w:name="a61525"/>
      <w:r w:rsidRPr="00C7122C">
        <w:rPr>
          <w:szCs w:val="20"/>
        </w:rPr>
        <w:t>in the case of an executive Director only</w:t>
      </w:r>
      <w:r w:rsidR="001F0C69">
        <w:rPr>
          <w:szCs w:val="20"/>
        </w:rPr>
        <w:t xml:space="preserve"> who is not the holder of A Shares</w:t>
      </w:r>
      <w:r w:rsidRPr="00C7122C">
        <w:rPr>
          <w:szCs w:val="20"/>
        </w:rPr>
        <w:t>, they shall cease to be employed by the Company.</w:t>
      </w:r>
      <w:bookmarkEnd w:id="78"/>
    </w:p>
    <w:p w14:paraId="0341648F" w14:textId="33E00434" w:rsidR="00900B09" w:rsidRPr="00C7122C" w:rsidRDefault="00A35BEC" w:rsidP="00E12420">
      <w:pPr>
        <w:pStyle w:val="Level1"/>
        <w:rPr>
          <w:sz w:val="20"/>
          <w:szCs w:val="20"/>
        </w:rPr>
      </w:pPr>
      <w:bookmarkStart w:id="79" w:name="_Toc256000006"/>
      <w:bookmarkStart w:id="80" w:name="a168790"/>
      <w:bookmarkStart w:id="81" w:name="_Toc149833874"/>
      <w:r w:rsidRPr="00C7122C">
        <w:rPr>
          <w:sz w:val="20"/>
          <w:szCs w:val="20"/>
        </w:rPr>
        <w:t>Transactions or other arrangements with the Company</w:t>
      </w:r>
      <w:bookmarkEnd w:id="79"/>
      <w:bookmarkEnd w:id="80"/>
      <w:bookmarkEnd w:id="81"/>
    </w:p>
    <w:p w14:paraId="7EBB6CCF" w14:textId="77777777" w:rsidR="00900B09" w:rsidRPr="00C7122C" w:rsidRDefault="00A35BEC" w:rsidP="00E12420">
      <w:pPr>
        <w:pStyle w:val="Level2"/>
        <w:rPr>
          <w:szCs w:val="20"/>
        </w:rPr>
      </w:pPr>
      <w:bookmarkStart w:id="82" w:name="a212868"/>
      <w:r w:rsidRPr="00C7122C">
        <w:rPr>
          <w:szCs w:val="20"/>
        </w:rPr>
        <w:t>Subject to sections 177(5) and 177(6) and sections 182(5) and 182(6) of the Act and provided they have declared the nature and extent of their interest in accordance with the requirements of the Act, a Director who is in any way, whether directly or indirectly, interested in an existing or proposed transaction or arrangement with the Company:</w:t>
      </w:r>
      <w:bookmarkEnd w:id="82"/>
    </w:p>
    <w:p w14:paraId="774A2E23" w14:textId="77777777" w:rsidR="00900B09" w:rsidRPr="00C7122C" w:rsidRDefault="00A35BEC" w:rsidP="00E12420">
      <w:pPr>
        <w:pStyle w:val="Level3"/>
        <w:rPr>
          <w:szCs w:val="20"/>
        </w:rPr>
      </w:pPr>
      <w:bookmarkStart w:id="83" w:name="a505308"/>
      <w:r w:rsidRPr="00C7122C">
        <w:rPr>
          <w:szCs w:val="20"/>
        </w:rPr>
        <w:t xml:space="preserve">may be a party to, or otherwise interested in, any transaction or arrangement with the Company or in which the Company is otherwise (directly or indirectly) </w:t>
      </w:r>
      <w:proofErr w:type="gramStart"/>
      <w:r w:rsidRPr="00C7122C">
        <w:rPr>
          <w:szCs w:val="20"/>
        </w:rPr>
        <w:t>interested;</w:t>
      </w:r>
      <w:bookmarkEnd w:id="83"/>
      <w:proofErr w:type="gramEnd"/>
    </w:p>
    <w:p w14:paraId="73D8F178" w14:textId="77777777" w:rsidR="00900B09" w:rsidRPr="00C7122C" w:rsidRDefault="00A35BEC" w:rsidP="00E12420">
      <w:pPr>
        <w:pStyle w:val="Level3"/>
        <w:rPr>
          <w:szCs w:val="20"/>
        </w:rPr>
      </w:pPr>
      <w:bookmarkStart w:id="84" w:name="a362406"/>
      <w:r w:rsidRPr="00C7122C">
        <w:rPr>
          <w:szCs w:val="20"/>
        </w:rPr>
        <w:t xml:space="preserve">shall be an Eligible Director for the purposes of any proposed decision of the Directors (or committee of the Directors) in respect of such existing or proposed transaction or arrangement in which they are </w:t>
      </w:r>
      <w:proofErr w:type="gramStart"/>
      <w:r w:rsidRPr="00C7122C">
        <w:rPr>
          <w:szCs w:val="20"/>
        </w:rPr>
        <w:t>interested;</w:t>
      </w:r>
      <w:bookmarkEnd w:id="84"/>
      <w:proofErr w:type="gramEnd"/>
    </w:p>
    <w:p w14:paraId="64B47311" w14:textId="77777777" w:rsidR="00900B09" w:rsidRPr="00C7122C" w:rsidRDefault="00A35BEC" w:rsidP="00E12420">
      <w:pPr>
        <w:pStyle w:val="Level3"/>
        <w:rPr>
          <w:szCs w:val="20"/>
        </w:rPr>
      </w:pPr>
      <w:bookmarkStart w:id="85" w:name="a56693"/>
      <w:r w:rsidRPr="00C7122C">
        <w:rPr>
          <w:szCs w:val="20"/>
        </w:rPr>
        <w:lastRenderedPageBreak/>
        <w:t xml:space="preserve">shall be entitled to vote at a meeting of Directors (or of a committee of the Directors) or participate in any unanimous decision, in respect of such existing or proposed transaction or arrangement in which they are </w:t>
      </w:r>
      <w:proofErr w:type="gramStart"/>
      <w:r w:rsidRPr="00C7122C">
        <w:rPr>
          <w:szCs w:val="20"/>
        </w:rPr>
        <w:t>interested;</w:t>
      </w:r>
      <w:bookmarkEnd w:id="85"/>
      <w:proofErr w:type="gramEnd"/>
    </w:p>
    <w:p w14:paraId="79AF315C" w14:textId="77777777" w:rsidR="00900B09" w:rsidRPr="00C7122C" w:rsidRDefault="00A35BEC" w:rsidP="00E12420">
      <w:pPr>
        <w:pStyle w:val="Level3"/>
        <w:rPr>
          <w:szCs w:val="20"/>
        </w:rPr>
      </w:pPr>
      <w:bookmarkStart w:id="86" w:name="a708253"/>
      <w:r w:rsidRPr="00C7122C">
        <w:rPr>
          <w:szCs w:val="20"/>
        </w:rPr>
        <w:t xml:space="preserve">may act by themselves, or their firm in a professional capacity for the Company (otherwise than as auditor) and they, or their firm shall be entitled to remuneration for professional services as if they were not a </w:t>
      </w:r>
      <w:proofErr w:type="gramStart"/>
      <w:r w:rsidRPr="00C7122C">
        <w:rPr>
          <w:szCs w:val="20"/>
        </w:rPr>
        <w:t>Director;</w:t>
      </w:r>
      <w:bookmarkEnd w:id="86"/>
      <w:proofErr w:type="gramEnd"/>
    </w:p>
    <w:p w14:paraId="51057CA0" w14:textId="77777777" w:rsidR="00900B09" w:rsidRPr="00C7122C" w:rsidRDefault="00A35BEC" w:rsidP="00E12420">
      <w:pPr>
        <w:pStyle w:val="Level3"/>
        <w:rPr>
          <w:szCs w:val="20"/>
        </w:rPr>
      </w:pPr>
      <w:bookmarkStart w:id="87" w:name="a753570"/>
      <w:r w:rsidRPr="00C7122C">
        <w:rPr>
          <w:szCs w:val="20"/>
        </w:rPr>
        <w:t xml:space="preserve">may be a </w:t>
      </w:r>
      <w:proofErr w:type="gramStart"/>
      <w:r w:rsidRPr="00C7122C">
        <w:rPr>
          <w:szCs w:val="20"/>
        </w:rPr>
        <w:t>Director</w:t>
      </w:r>
      <w:proofErr w:type="gramEnd"/>
      <w:r w:rsidRPr="00C7122C">
        <w:rPr>
          <w:szCs w:val="20"/>
        </w:rPr>
        <w:t xml:space="preserve"> or other officer of, or employed by, or a party to a transaction or arrangement with, or otherwise interested in, </w:t>
      </w:r>
      <w:proofErr w:type="spellStart"/>
      <w:r w:rsidRPr="00C7122C">
        <w:rPr>
          <w:szCs w:val="20"/>
        </w:rPr>
        <w:t>any body</w:t>
      </w:r>
      <w:proofErr w:type="spellEnd"/>
      <w:r w:rsidRPr="00C7122C">
        <w:rPr>
          <w:szCs w:val="20"/>
        </w:rPr>
        <w:t xml:space="preserve"> corporate in which the Company is otherwise (directly or indirectly) interested; and</w:t>
      </w:r>
      <w:bookmarkEnd w:id="87"/>
    </w:p>
    <w:p w14:paraId="5A8AD6AC" w14:textId="77777777" w:rsidR="00900B09" w:rsidRPr="00C7122C" w:rsidRDefault="00A35BEC" w:rsidP="00E12420">
      <w:pPr>
        <w:pStyle w:val="Level3"/>
        <w:rPr>
          <w:szCs w:val="20"/>
        </w:rPr>
      </w:pPr>
      <w:bookmarkStart w:id="88" w:name="a148780"/>
      <w:r w:rsidRPr="00C7122C">
        <w:rPr>
          <w:szCs w:val="20"/>
        </w:rPr>
        <w:t>shall not, save as they may otherwise agree, be accountable to the Company for any benefit which they (or a person connected with them) derives from any such transaction or arrangement or from any such office or employment or from any interest in any such body corporate and no such transaction or arrangement shall be liable to be avoided on the grounds of any such interest or benefit nor shall the receipt of any such remuneration or other benefit constitute a breach of their duty under section 176 of the Act.</w:t>
      </w:r>
      <w:bookmarkEnd w:id="88"/>
    </w:p>
    <w:p w14:paraId="1B5A6871" w14:textId="340DFD75" w:rsidR="00900B09" w:rsidRPr="00C7122C" w:rsidRDefault="00A35BEC" w:rsidP="00E12420">
      <w:pPr>
        <w:pStyle w:val="Level1"/>
        <w:rPr>
          <w:sz w:val="20"/>
          <w:szCs w:val="20"/>
        </w:rPr>
      </w:pPr>
      <w:bookmarkStart w:id="89" w:name="_Toc256000007"/>
      <w:bookmarkStart w:id="90" w:name="a1004072"/>
      <w:bookmarkStart w:id="91" w:name="_Toc149833875"/>
      <w:r w:rsidRPr="00C7122C">
        <w:rPr>
          <w:sz w:val="20"/>
          <w:szCs w:val="20"/>
        </w:rPr>
        <w:t>Directors' conflicts</w:t>
      </w:r>
      <w:bookmarkEnd w:id="89"/>
      <w:bookmarkEnd w:id="90"/>
      <w:bookmarkEnd w:id="91"/>
    </w:p>
    <w:p w14:paraId="7665765D" w14:textId="72655DCA" w:rsidR="00900B09" w:rsidRPr="00C7122C" w:rsidRDefault="00A35BEC" w:rsidP="00E12420">
      <w:pPr>
        <w:pStyle w:val="Level2"/>
        <w:rPr>
          <w:szCs w:val="20"/>
        </w:rPr>
      </w:pPr>
      <w:bookmarkStart w:id="92" w:name="a442007"/>
      <w:r w:rsidRPr="00C7122C">
        <w:rPr>
          <w:szCs w:val="20"/>
        </w:rPr>
        <w:t xml:space="preserve">The Directors may, in accordance with the requirements set out in this </w:t>
      </w:r>
      <w:r w:rsidR="00622048">
        <w:rPr>
          <w:szCs w:val="20"/>
        </w:rPr>
        <w:t>Article 7</w:t>
      </w:r>
      <w:r w:rsidRPr="00C7122C">
        <w:rPr>
          <w:szCs w:val="20"/>
        </w:rPr>
        <w:t xml:space="preserve">, authorise any matter or situation proposed to them by any Director which would, if not authorised, involve a Director (an </w:t>
      </w:r>
      <w:r w:rsidRPr="00DC406E">
        <w:rPr>
          <w:b/>
          <w:bCs/>
          <w:szCs w:val="20"/>
        </w:rPr>
        <w:t>Interested Director</w:t>
      </w:r>
      <w:r w:rsidRPr="00C7122C">
        <w:rPr>
          <w:szCs w:val="20"/>
        </w:rPr>
        <w:t>) breaching their duty under section 175 of the Act to avoid conflicts of interest (</w:t>
      </w:r>
      <w:r w:rsidRPr="00C7122C">
        <w:rPr>
          <w:b/>
          <w:bCs/>
          <w:szCs w:val="20"/>
        </w:rPr>
        <w:t>Conflict</w:t>
      </w:r>
      <w:r w:rsidRPr="00C7122C">
        <w:rPr>
          <w:szCs w:val="20"/>
        </w:rPr>
        <w:t>).</w:t>
      </w:r>
      <w:bookmarkEnd w:id="92"/>
      <w:r w:rsidR="00F52371">
        <w:rPr>
          <w:szCs w:val="20"/>
        </w:rPr>
        <w:t xml:space="preserve"> </w:t>
      </w:r>
    </w:p>
    <w:p w14:paraId="2D7ABA48" w14:textId="5EF90433" w:rsidR="00900B09" w:rsidRPr="00C7122C" w:rsidRDefault="00A35BEC" w:rsidP="00E12420">
      <w:pPr>
        <w:pStyle w:val="Level2"/>
        <w:rPr>
          <w:szCs w:val="20"/>
        </w:rPr>
      </w:pPr>
      <w:bookmarkStart w:id="93" w:name="a85930"/>
      <w:r w:rsidRPr="00C7122C">
        <w:rPr>
          <w:szCs w:val="20"/>
        </w:rPr>
        <w:t>Any authorisation under this</w:t>
      </w:r>
      <w:r w:rsidR="00622048">
        <w:rPr>
          <w:szCs w:val="20"/>
        </w:rPr>
        <w:t xml:space="preserve"> Article 7 </w:t>
      </w:r>
      <w:r w:rsidRPr="00C7122C">
        <w:rPr>
          <w:szCs w:val="20"/>
        </w:rPr>
        <w:t>will be effective only if:</w:t>
      </w:r>
      <w:bookmarkEnd w:id="93"/>
    </w:p>
    <w:p w14:paraId="58493698" w14:textId="74FEC8C2" w:rsidR="00900B09" w:rsidRPr="00C7122C" w:rsidRDefault="00A35BEC" w:rsidP="00E12420">
      <w:pPr>
        <w:pStyle w:val="Level3"/>
        <w:rPr>
          <w:szCs w:val="20"/>
        </w:rPr>
      </w:pPr>
      <w:bookmarkStart w:id="94" w:name="a66556"/>
      <w:r w:rsidRPr="00C7122C">
        <w:rPr>
          <w:szCs w:val="20"/>
        </w:rPr>
        <w:t xml:space="preserve">the matter in question shall have been proposed by any Director for consideration in the same way that any other matter may be proposed to the Directors under the provisions of these Articles or in such other manner as the Directors may </w:t>
      </w:r>
      <w:proofErr w:type="gramStart"/>
      <w:r w:rsidRPr="00C7122C">
        <w:rPr>
          <w:szCs w:val="20"/>
        </w:rPr>
        <w:t>determine;</w:t>
      </w:r>
      <w:bookmarkEnd w:id="94"/>
      <w:proofErr w:type="gramEnd"/>
    </w:p>
    <w:p w14:paraId="0BC04847" w14:textId="77777777" w:rsidR="00900B09" w:rsidRPr="00C7122C" w:rsidRDefault="00A35BEC" w:rsidP="00E12420">
      <w:pPr>
        <w:pStyle w:val="Level3"/>
        <w:rPr>
          <w:szCs w:val="20"/>
        </w:rPr>
      </w:pPr>
      <w:bookmarkStart w:id="95" w:name="a995846"/>
      <w:r w:rsidRPr="00C7122C">
        <w:rPr>
          <w:szCs w:val="20"/>
        </w:rPr>
        <w:t>any requirement as to the quorum for consideration of the relevant matter is met without counting the Interested Director; and</w:t>
      </w:r>
      <w:bookmarkEnd w:id="95"/>
    </w:p>
    <w:p w14:paraId="6AA18436" w14:textId="77777777" w:rsidR="00900B09" w:rsidRPr="00C7122C" w:rsidRDefault="00A35BEC" w:rsidP="00E12420">
      <w:pPr>
        <w:pStyle w:val="Level3"/>
        <w:rPr>
          <w:szCs w:val="20"/>
        </w:rPr>
      </w:pPr>
      <w:bookmarkStart w:id="96" w:name="a703705"/>
      <w:r w:rsidRPr="00C7122C">
        <w:rPr>
          <w:szCs w:val="20"/>
        </w:rPr>
        <w:t>the matter was agreed to without the Interested Director voting or would have been agreed to if the Interested Director's vote had not been counted.</w:t>
      </w:r>
      <w:bookmarkEnd w:id="96"/>
    </w:p>
    <w:p w14:paraId="515A0334" w14:textId="5F8A4748" w:rsidR="00900B09" w:rsidRPr="00C7122C" w:rsidRDefault="00A35BEC" w:rsidP="00E12420">
      <w:pPr>
        <w:pStyle w:val="Level2"/>
        <w:rPr>
          <w:szCs w:val="20"/>
        </w:rPr>
      </w:pPr>
      <w:bookmarkStart w:id="97" w:name="a865667"/>
      <w:r w:rsidRPr="00C7122C">
        <w:rPr>
          <w:szCs w:val="20"/>
        </w:rPr>
        <w:t xml:space="preserve">Any authorisation of a Conflict under this </w:t>
      </w:r>
      <w:r w:rsidR="00622048">
        <w:rPr>
          <w:szCs w:val="20"/>
        </w:rPr>
        <w:t>Article 7</w:t>
      </w:r>
      <w:r w:rsidRPr="00C7122C">
        <w:rPr>
          <w:szCs w:val="20"/>
        </w:rPr>
        <w:t xml:space="preserve"> may (whether at the time of giving the authorisation or subsequently):</w:t>
      </w:r>
      <w:bookmarkEnd w:id="97"/>
    </w:p>
    <w:p w14:paraId="0539B7D6" w14:textId="7A7D22EA" w:rsidR="00900B09" w:rsidRPr="00C7122C" w:rsidRDefault="00A35BEC" w:rsidP="00E12420">
      <w:pPr>
        <w:pStyle w:val="Level3"/>
        <w:rPr>
          <w:szCs w:val="20"/>
        </w:rPr>
      </w:pPr>
      <w:bookmarkStart w:id="98" w:name="a447428"/>
      <w:r w:rsidRPr="00C7122C">
        <w:rPr>
          <w:szCs w:val="20"/>
        </w:rPr>
        <w:t xml:space="preserve">extend to any actual or potential </w:t>
      </w:r>
      <w:r w:rsidR="000B1F19">
        <w:rPr>
          <w:szCs w:val="20"/>
        </w:rPr>
        <w:t>Conflict</w:t>
      </w:r>
      <w:r w:rsidRPr="00C7122C">
        <w:rPr>
          <w:szCs w:val="20"/>
        </w:rPr>
        <w:t xml:space="preserve"> which may reasonably be expected to arise out of the matter or situation so </w:t>
      </w:r>
      <w:proofErr w:type="gramStart"/>
      <w:r w:rsidRPr="00C7122C">
        <w:rPr>
          <w:szCs w:val="20"/>
        </w:rPr>
        <w:t>authorised;</w:t>
      </w:r>
      <w:bookmarkEnd w:id="98"/>
      <w:proofErr w:type="gramEnd"/>
    </w:p>
    <w:p w14:paraId="124E4D55" w14:textId="77777777" w:rsidR="00900B09" w:rsidRPr="00C7122C" w:rsidRDefault="00A35BEC" w:rsidP="00E12420">
      <w:pPr>
        <w:pStyle w:val="Level3"/>
        <w:rPr>
          <w:szCs w:val="20"/>
        </w:rPr>
      </w:pPr>
      <w:bookmarkStart w:id="99" w:name="a106958"/>
      <w:r w:rsidRPr="00C7122C">
        <w:rPr>
          <w:szCs w:val="20"/>
        </w:rPr>
        <w:t xml:space="preserve">provide that the Interested Director be excluded from the receipt of documents and information and the participation in discussions (whether at meetings of the Directors or otherwise) related to the </w:t>
      </w:r>
      <w:proofErr w:type="gramStart"/>
      <w:r w:rsidRPr="00C7122C">
        <w:rPr>
          <w:szCs w:val="20"/>
        </w:rPr>
        <w:t>Conflict;</w:t>
      </w:r>
      <w:bookmarkEnd w:id="99"/>
      <w:proofErr w:type="gramEnd"/>
    </w:p>
    <w:p w14:paraId="60F97F62" w14:textId="6D68A998" w:rsidR="00900B09" w:rsidRPr="00C7122C" w:rsidRDefault="00A35BEC" w:rsidP="00E12420">
      <w:pPr>
        <w:pStyle w:val="Level3"/>
        <w:rPr>
          <w:szCs w:val="20"/>
        </w:rPr>
      </w:pPr>
      <w:bookmarkStart w:id="100" w:name="a899464"/>
      <w:r w:rsidRPr="00C7122C">
        <w:rPr>
          <w:szCs w:val="20"/>
        </w:rPr>
        <w:t xml:space="preserve">provide that the Interested Director shall or shall not be an Eligible Director in respect of any future decision of the Directors in relation to any resolution related to the </w:t>
      </w:r>
      <w:proofErr w:type="gramStart"/>
      <w:r w:rsidRPr="00C7122C">
        <w:rPr>
          <w:szCs w:val="20"/>
        </w:rPr>
        <w:t>Conflict;</w:t>
      </w:r>
      <w:bookmarkEnd w:id="100"/>
      <w:proofErr w:type="gramEnd"/>
    </w:p>
    <w:p w14:paraId="5E98B3B5" w14:textId="77777777" w:rsidR="00900B09" w:rsidRPr="00C7122C" w:rsidRDefault="00A35BEC" w:rsidP="00E12420">
      <w:pPr>
        <w:pStyle w:val="Level3"/>
        <w:rPr>
          <w:szCs w:val="20"/>
        </w:rPr>
      </w:pPr>
      <w:bookmarkStart w:id="101" w:name="a130069"/>
      <w:r w:rsidRPr="00C7122C">
        <w:rPr>
          <w:szCs w:val="20"/>
        </w:rPr>
        <w:t xml:space="preserve">impose upon the Interested Director such other terms for the purposes of dealing with the Conflict as the Directors think </w:t>
      </w:r>
      <w:proofErr w:type="gramStart"/>
      <w:r w:rsidRPr="00C7122C">
        <w:rPr>
          <w:szCs w:val="20"/>
        </w:rPr>
        <w:t>fit;</w:t>
      </w:r>
      <w:bookmarkEnd w:id="101"/>
      <w:proofErr w:type="gramEnd"/>
    </w:p>
    <w:p w14:paraId="2333102E" w14:textId="77777777" w:rsidR="00900B09" w:rsidRPr="00C7122C" w:rsidRDefault="00A35BEC" w:rsidP="00E12420">
      <w:pPr>
        <w:pStyle w:val="Level3"/>
        <w:rPr>
          <w:szCs w:val="20"/>
        </w:rPr>
      </w:pPr>
      <w:bookmarkStart w:id="102" w:name="a462961"/>
      <w:r w:rsidRPr="00C7122C">
        <w:rPr>
          <w:szCs w:val="20"/>
        </w:rPr>
        <w:lastRenderedPageBreak/>
        <w:t>provide that, where the Interested Director obtains, or has obtained (through their involvement in the Conflict and otherwise than through the Interested Director's position as a Director of the Company) information that is confidential to a third party, they will not be obliged to disclose that information to the Company, or to use it in relation to the Company's affairs where to do so would amount to a breach of that confidence; and</w:t>
      </w:r>
      <w:bookmarkEnd w:id="102"/>
    </w:p>
    <w:p w14:paraId="79007DFD" w14:textId="77777777" w:rsidR="00900B09" w:rsidRPr="00C7122C" w:rsidRDefault="00A35BEC" w:rsidP="00E12420">
      <w:pPr>
        <w:pStyle w:val="Level3"/>
        <w:rPr>
          <w:szCs w:val="20"/>
        </w:rPr>
      </w:pPr>
      <w:bookmarkStart w:id="103" w:name="a215017"/>
      <w:r w:rsidRPr="00C7122C">
        <w:rPr>
          <w:szCs w:val="20"/>
        </w:rPr>
        <w:t>permit the Interested Director to absent themselves from the discussion of matters relating to the Conflict at any meeting of the Directors and be excused from reviewing papers prepared by, or for, the Directors to the extent they relate to such matters.</w:t>
      </w:r>
      <w:bookmarkEnd w:id="103"/>
    </w:p>
    <w:p w14:paraId="22EE457A" w14:textId="77777777" w:rsidR="00900B09" w:rsidRPr="00C7122C" w:rsidRDefault="00A35BEC" w:rsidP="00E12420">
      <w:pPr>
        <w:pStyle w:val="Level2"/>
        <w:rPr>
          <w:szCs w:val="20"/>
        </w:rPr>
      </w:pPr>
      <w:bookmarkStart w:id="104" w:name="a260877"/>
      <w:r w:rsidRPr="00C7122C">
        <w:rPr>
          <w:szCs w:val="20"/>
        </w:rPr>
        <w:t>Where the Directors authorise a Conflict, the Interested Director will be obliged to conduct themselves in accordance with any terms and conditions imposed by the Directors in relation to the Conflict.</w:t>
      </w:r>
      <w:bookmarkEnd w:id="104"/>
    </w:p>
    <w:p w14:paraId="29EC28D2" w14:textId="77777777" w:rsidR="00900B09" w:rsidRPr="00C7122C" w:rsidRDefault="00A35BEC" w:rsidP="00E12420">
      <w:pPr>
        <w:pStyle w:val="Level2"/>
        <w:rPr>
          <w:szCs w:val="20"/>
        </w:rPr>
      </w:pPr>
      <w:bookmarkStart w:id="105" w:name="a75249"/>
      <w:r w:rsidRPr="00C7122C">
        <w:rPr>
          <w:szCs w:val="20"/>
        </w:rPr>
        <w:t>The Directors may revoke or vary such authorisation at any time, but this will not affect anything done by the Interested Director, prior to such revocation or variation, in accordance with the terms of such authorisation.</w:t>
      </w:r>
      <w:bookmarkEnd w:id="105"/>
    </w:p>
    <w:p w14:paraId="63E6CF69" w14:textId="51112374" w:rsidR="00900B09" w:rsidRPr="00C7122C" w:rsidRDefault="00A35BEC" w:rsidP="00E12420">
      <w:pPr>
        <w:pStyle w:val="Level2"/>
        <w:rPr>
          <w:szCs w:val="20"/>
        </w:rPr>
      </w:pPr>
      <w:bookmarkStart w:id="106" w:name="a897711"/>
      <w:r w:rsidRPr="00C7122C">
        <w:rPr>
          <w:szCs w:val="20"/>
        </w:rPr>
        <w:t xml:space="preserve">A Director, notwithstanding their office, may be a Director or other officer of, employed by, or otherwise interested (including by the holding of shares) in their appointor(s) and no authorisation under </w:t>
      </w:r>
      <w:r w:rsidR="00622048">
        <w:rPr>
          <w:szCs w:val="20"/>
        </w:rPr>
        <w:t>Article 7.1</w:t>
      </w:r>
      <w:r w:rsidRPr="00C7122C">
        <w:rPr>
          <w:szCs w:val="20"/>
        </w:rPr>
        <w:t xml:space="preserve"> shall be necessary in respect of any such interest.</w:t>
      </w:r>
      <w:bookmarkEnd w:id="106"/>
    </w:p>
    <w:p w14:paraId="7F6A076A" w14:textId="77777777" w:rsidR="00900B09" w:rsidRPr="00C7122C" w:rsidRDefault="00A35BEC" w:rsidP="00E12420">
      <w:pPr>
        <w:pStyle w:val="Level2"/>
        <w:rPr>
          <w:szCs w:val="20"/>
        </w:rPr>
      </w:pPr>
      <w:bookmarkStart w:id="107" w:name="a363645"/>
      <w:r w:rsidRPr="00C7122C">
        <w:rPr>
          <w:szCs w:val="20"/>
        </w:rPr>
        <w:t>A Director is not required, by reason of being a Director (or because of the fiduciary relationship established by reason of being a Director), to account to the Company for any remuneration, profit or other benefit which they derive from or in connection with a relationship involving a Conflict which has been authorised by the Directors in accordance with these Articles or by the Company in general meeting (subject in each case to any terms and conditions attaching to that authorisation) and no contract shall be liable to be avoided on such grounds.</w:t>
      </w:r>
      <w:bookmarkEnd w:id="107"/>
    </w:p>
    <w:p w14:paraId="2B0B34B2" w14:textId="77777777" w:rsidR="000B1F19" w:rsidRDefault="000B1F19" w:rsidP="00A211F7">
      <w:pPr>
        <w:pStyle w:val="Subtitle"/>
        <w:rPr>
          <w:sz w:val="20"/>
        </w:rPr>
      </w:pPr>
    </w:p>
    <w:p w14:paraId="1495A1CF" w14:textId="31C699E8" w:rsidR="00900B09" w:rsidRPr="00EF29B2" w:rsidRDefault="00A35BEC" w:rsidP="00A211F7">
      <w:pPr>
        <w:pStyle w:val="Subtitle"/>
        <w:rPr>
          <w:spacing w:val="-3"/>
          <w:sz w:val="20"/>
        </w:rPr>
      </w:pPr>
      <w:r w:rsidRPr="00EF29B2">
        <w:rPr>
          <w:sz w:val="20"/>
        </w:rPr>
        <w:t>SHAR</w:t>
      </w:r>
      <w:r w:rsidR="002C2039" w:rsidRPr="00EF29B2">
        <w:rPr>
          <w:sz w:val="20"/>
        </w:rPr>
        <w:t xml:space="preserve">E RIGHTS </w:t>
      </w:r>
    </w:p>
    <w:p w14:paraId="6B8E767F" w14:textId="77777777" w:rsidR="00912FC9" w:rsidRPr="005447DF" w:rsidRDefault="002C2039" w:rsidP="00E12420">
      <w:pPr>
        <w:pStyle w:val="Level1"/>
        <w:rPr>
          <w:b w:val="0"/>
          <w:bCs/>
          <w:sz w:val="20"/>
          <w:szCs w:val="20"/>
        </w:rPr>
      </w:pPr>
      <w:bookmarkStart w:id="108" w:name="_Toc149833876"/>
      <w:r w:rsidRPr="00EF29B2">
        <w:rPr>
          <w:sz w:val="20"/>
          <w:szCs w:val="20"/>
        </w:rPr>
        <w:t>Voting</w:t>
      </w:r>
      <w:bookmarkEnd w:id="108"/>
      <w:r w:rsidRPr="00EF29B2">
        <w:rPr>
          <w:sz w:val="20"/>
          <w:szCs w:val="20"/>
        </w:rPr>
        <w:t xml:space="preserve"> </w:t>
      </w:r>
    </w:p>
    <w:p w14:paraId="16AD6A09" w14:textId="74BFE98B" w:rsidR="005447DF" w:rsidRPr="005447DF" w:rsidRDefault="005447DF" w:rsidP="005447DF">
      <w:pPr>
        <w:pStyle w:val="Level2"/>
      </w:pPr>
      <w:r>
        <w:t xml:space="preserve">Each </w:t>
      </w:r>
      <w:r w:rsidRPr="00C7122C">
        <w:rPr>
          <w:szCs w:val="20"/>
        </w:rPr>
        <w:t>of the</w:t>
      </w:r>
      <w:r>
        <w:rPr>
          <w:szCs w:val="20"/>
        </w:rPr>
        <w:t xml:space="preserve"> A</w:t>
      </w:r>
      <w:r w:rsidRPr="00C7122C">
        <w:rPr>
          <w:szCs w:val="20"/>
        </w:rPr>
        <w:t xml:space="preserve"> </w:t>
      </w:r>
      <w:proofErr w:type="gramStart"/>
      <w:r w:rsidRPr="00C7122C">
        <w:rPr>
          <w:szCs w:val="20"/>
        </w:rPr>
        <w:t xml:space="preserve">Shares </w:t>
      </w:r>
      <w:r>
        <w:rPr>
          <w:szCs w:val="20"/>
        </w:rPr>
        <w:t xml:space="preserve"> </w:t>
      </w:r>
      <w:r w:rsidRPr="00C7122C">
        <w:rPr>
          <w:szCs w:val="20"/>
        </w:rPr>
        <w:t>shall</w:t>
      </w:r>
      <w:proofErr w:type="gramEnd"/>
      <w:r w:rsidRPr="00C7122C">
        <w:rPr>
          <w:szCs w:val="20"/>
        </w:rPr>
        <w:t xml:space="preserve"> confer on their holders the right to receive notice of and to attend, speak, and vote at all general meetings of the Company and to vote on and sign written resolutions of the Company</w:t>
      </w:r>
      <w:r>
        <w:rPr>
          <w:szCs w:val="20"/>
        </w:rPr>
        <w:t>.</w:t>
      </w:r>
    </w:p>
    <w:p w14:paraId="2ABF6F3E" w14:textId="6982C885" w:rsidR="005447DF" w:rsidRPr="00EF29B2" w:rsidRDefault="005447DF" w:rsidP="005447DF">
      <w:pPr>
        <w:pStyle w:val="Level2"/>
      </w:pPr>
      <w:r>
        <w:t xml:space="preserve">Neither the holders of the B Shares nor the holders of the Deferred Shares shall have any rights </w:t>
      </w:r>
      <w:r w:rsidRPr="00C7122C">
        <w:rPr>
          <w:szCs w:val="20"/>
        </w:rPr>
        <w:t>to receive notice of</w:t>
      </w:r>
      <w:r>
        <w:rPr>
          <w:szCs w:val="20"/>
        </w:rPr>
        <w:t>,</w:t>
      </w:r>
      <w:r w:rsidRPr="00C7122C">
        <w:rPr>
          <w:szCs w:val="20"/>
        </w:rPr>
        <w:t xml:space="preserve"> attend, speak</w:t>
      </w:r>
      <w:r>
        <w:rPr>
          <w:szCs w:val="20"/>
        </w:rPr>
        <w:t xml:space="preserve"> or</w:t>
      </w:r>
      <w:r w:rsidRPr="00C7122C">
        <w:rPr>
          <w:szCs w:val="20"/>
        </w:rPr>
        <w:t xml:space="preserve"> vote at a</w:t>
      </w:r>
      <w:r>
        <w:rPr>
          <w:szCs w:val="20"/>
        </w:rPr>
        <w:t>ny</w:t>
      </w:r>
      <w:r w:rsidRPr="00C7122C">
        <w:rPr>
          <w:szCs w:val="20"/>
        </w:rPr>
        <w:t xml:space="preserve"> general meetings of the Company </w:t>
      </w:r>
      <w:r>
        <w:rPr>
          <w:szCs w:val="20"/>
        </w:rPr>
        <w:t xml:space="preserve">or </w:t>
      </w:r>
      <w:r w:rsidRPr="00C7122C">
        <w:rPr>
          <w:szCs w:val="20"/>
        </w:rPr>
        <w:t xml:space="preserve">to vote on </w:t>
      </w:r>
      <w:r>
        <w:rPr>
          <w:szCs w:val="20"/>
        </w:rPr>
        <w:t xml:space="preserve">or </w:t>
      </w:r>
      <w:r w:rsidRPr="00C7122C">
        <w:rPr>
          <w:szCs w:val="20"/>
        </w:rPr>
        <w:t xml:space="preserve">sign written resolutions of the </w:t>
      </w:r>
      <w:proofErr w:type="gramStart"/>
      <w:r w:rsidRPr="00C7122C">
        <w:rPr>
          <w:szCs w:val="20"/>
        </w:rPr>
        <w:t>Company</w:t>
      </w:r>
      <w:proofErr w:type="gramEnd"/>
      <w:r>
        <w:t xml:space="preserve"> </w:t>
      </w:r>
    </w:p>
    <w:p w14:paraId="4CD45121" w14:textId="77777777" w:rsidR="005447DF" w:rsidRPr="00C7122C" w:rsidRDefault="005447DF" w:rsidP="000077D6">
      <w:pPr>
        <w:pStyle w:val="Body2"/>
        <w:rPr>
          <w:b/>
          <w:szCs w:val="20"/>
        </w:rPr>
      </w:pPr>
    </w:p>
    <w:p w14:paraId="4B6D3945" w14:textId="629E2DF7" w:rsidR="00900B09" w:rsidRPr="00C7122C" w:rsidRDefault="00A35BEC" w:rsidP="00E12420">
      <w:pPr>
        <w:pStyle w:val="Level1"/>
        <w:rPr>
          <w:sz w:val="20"/>
          <w:szCs w:val="20"/>
        </w:rPr>
      </w:pPr>
      <w:bookmarkStart w:id="109" w:name="_Toc256000009"/>
      <w:bookmarkStart w:id="110" w:name="a862624"/>
      <w:bookmarkStart w:id="111" w:name="_Toc149833877"/>
      <w:r w:rsidRPr="00C7122C">
        <w:rPr>
          <w:sz w:val="20"/>
          <w:szCs w:val="20"/>
        </w:rPr>
        <w:t>Dividends</w:t>
      </w:r>
      <w:bookmarkEnd w:id="109"/>
      <w:bookmarkEnd w:id="110"/>
      <w:bookmarkEnd w:id="111"/>
    </w:p>
    <w:p w14:paraId="383AF950" w14:textId="19DCFC65" w:rsidR="00900B09" w:rsidRPr="00C7122C" w:rsidRDefault="00A35BEC" w:rsidP="00E12420">
      <w:pPr>
        <w:pStyle w:val="Level2"/>
        <w:rPr>
          <w:szCs w:val="20"/>
        </w:rPr>
      </w:pPr>
      <w:bookmarkStart w:id="112" w:name="a652637"/>
      <w:r w:rsidRPr="00C7122C">
        <w:rPr>
          <w:szCs w:val="20"/>
        </w:rPr>
        <w:t xml:space="preserve">In respect of any Financial Year, the Available Profits of the Company shall be used to pay dividends as set out in this </w:t>
      </w:r>
      <w:r w:rsidR="00622048">
        <w:rPr>
          <w:szCs w:val="20"/>
        </w:rPr>
        <w:t>Article 9</w:t>
      </w:r>
      <w:r w:rsidRPr="00C7122C">
        <w:rPr>
          <w:szCs w:val="20"/>
        </w:rPr>
        <w:t>.</w:t>
      </w:r>
      <w:bookmarkEnd w:id="112"/>
    </w:p>
    <w:p w14:paraId="304E5A6B" w14:textId="0C579158" w:rsidR="002C2039" w:rsidRDefault="002C2039" w:rsidP="002C2039">
      <w:pPr>
        <w:pStyle w:val="Level2"/>
        <w:rPr>
          <w:szCs w:val="20"/>
        </w:rPr>
      </w:pPr>
      <w:bookmarkStart w:id="113" w:name="_Ref266776866"/>
      <w:bookmarkStart w:id="114" w:name="_Ref266776375"/>
      <w:r w:rsidRPr="0017407B">
        <w:rPr>
          <w:szCs w:val="20"/>
        </w:rPr>
        <w:t xml:space="preserve">Subject to </w:t>
      </w:r>
      <w:r w:rsidR="00B33789">
        <w:rPr>
          <w:szCs w:val="20"/>
        </w:rPr>
        <w:t>model articles</w:t>
      </w:r>
      <w:r w:rsidRPr="0017407B">
        <w:rPr>
          <w:szCs w:val="20"/>
        </w:rPr>
        <w:t xml:space="preserve"> 30 to 35, dividends may be declared and/or paid to</w:t>
      </w:r>
      <w:bookmarkEnd w:id="113"/>
      <w:r w:rsidR="0017407B" w:rsidRPr="0017407B">
        <w:rPr>
          <w:szCs w:val="20"/>
        </w:rPr>
        <w:t xml:space="preserve"> </w:t>
      </w:r>
      <w:r w:rsidRPr="0017407B">
        <w:rPr>
          <w:szCs w:val="20"/>
        </w:rPr>
        <w:t xml:space="preserve">the holders of </w:t>
      </w:r>
      <w:r w:rsidR="005447DF">
        <w:rPr>
          <w:szCs w:val="20"/>
        </w:rPr>
        <w:t xml:space="preserve">A </w:t>
      </w:r>
      <w:r w:rsidRPr="0017407B">
        <w:rPr>
          <w:szCs w:val="20"/>
        </w:rPr>
        <w:t>Shares</w:t>
      </w:r>
      <w:r w:rsidR="005447DF">
        <w:rPr>
          <w:szCs w:val="20"/>
        </w:rPr>
        <w:t xml:space="preserve"> only</w:t>
      </w:r>
      <w:r w:rsidRPr="0017407B">
        <w:rPr>
          <w:szCs w:val="20"/>
        </w:rPr>
        <w:t xml:space="preserve"> </w:t>
      </w:r>
      <w:r w:rsidR="005447DF">
        <w:rPr>
          <w:szCs w:val="20"/>
        </w:rPr>
        <w:t>and shall be paid</w:t>
      </w:r>
      <w:r w:rsidR="00577AF3">
        <w:rPr>
          <w:szCs w:val="20"/>
        </w:rPr>
        <w:t xml:space="preserve"> </w:t>
      </w:r>
      <w:r w:rsidRPr="0017407B">
        <w:rPr>
          <w:szCs w:val="20"/>
        </w:rPr>
        <w:t>in proportion to the number of</w:t>
      </w:r>
      <w:r w:rsidR="005447DF">
        <w:rPr>
          <w:szCs w:val="20"/>
        </w:rPr>
        <w:t xml:space="preserve"> A</w:t>
      </w:r>
      <w:r w:rsidRPr="0017407B">
        <w:rPr>
          <w:szCs w:val="20"/>
        </w:rPr>
        <w:t xml:space="preserve"> Shares held by them respectively</w:t>
      </w:r>
      <w:bookmarkEnd w:id="114"/>
      <w:r w:rsidR="0017407B" w:rsidRPr="0017407B">
        <w:rPr>
          <w:szCs w:val="20"/>
        </w:rPr>
        <w:t>.</w:t>
      </w:r>
    </w:p>
    <w:p w14:paraId="63230457" w14:textId="548A21AA" w:rsidR="005447DF" w:rsidRPr="0017407B" w:rsidRDefault="005447DF" w:rsidP="002C2039">
      <w:pPr>
        <w:pStyle w:val="Level2"/>
        <w:rPr>
          <w:szCs w:val="20"/>
        </w:rPr>
      </w:pPr>
      <w:r>
        <w:rPr>
          <w:szCs w:val="20"/>
        </w:rPr>
        <w:lastRenderedPageBreak/>
        <w:t xml:space="preserve">Neither the holders of the B Shares nor the holders of the Deferred Shares shall have any rights to dividends. </w:t>
      </w:r>
    </w:p>
    <w:p w14:paraId="6E2C9E62" w14:textId="695639CA" w:rsidR="00900B09" w:rsidRDefault="002C2039" w:rsidP="00E12420">
      <w:pPr>
        <w:pStyle w:val="Level1"/>
        <w:rPr>
          <w:sz w:val="20"/>
          <w:szCs w:val="20"/>
        </w:rPr>
      </w:pPr>
      <w:bookmarkStart w:id="115" w:name="_Ref142318422"/>
      <w:bookmarkStart w:id="116" w:name="_Ref142318644"/>
      <w:bookmarkStart w:id="117" w:name="_Ref142318662"/>
      <w:bookmarkStart w:id="118" w:name="_Ref142319988"/>
      <w:bookmarkStart w:id="119" w:name="_Toc149833878"/>
      <w:r w:rsidRPr="00C7122C">
        <w:rPr>
          <w:sz w:val="20"/>
          <w:szCs w:val="20"/>
        </w:rPr>
        <w:t>Return of Capital</w:t>
      </w:r>
      <w:bookmarkEnd w:id="115"/>
      <w:bookmarkEnd w:id="116"/>
      <w:bookmarkEnd w:id="117"/>
      <w:bookmarkEnd w:id="118"/>
      <w:bookmarkEnd w:id="119"/>
    </w:p>
    <w:p w14:paraId="0F237283" w14:textId="77777777" w:rsidR="005447DF" w:rsidRDefault="005447DF" w:rsidP="005447DF">
      <w:pPr>
        <w:pStyle w:val="Level2"/>
      </w:pPr>
      <w:r>
        <w:t xml:space="preserve">On </w:t>
      </w:r>
      <w:r w:rsidRPr="005447DF">
        <w:rPr>
          <w:szCs w:val="20"/>
        </w:rPr>
        <w:t>a return of assets on liquidation, capital reduction or otherwise (other than a conversion or purchase of Shares)</w:t>
      </w:r>
      <w:r>
        <w:rPr>
          <w:szCs w:val="20"/>
        </w:rPr>
        <w:t xml:space="preserve"> </w:t>
      </w:r>
      <w:r w:rsidRPr="00C7122C">
        <w:t>the assets of the Company remaining after the payment of its liabilities</w:t>
      </w:r>
      <w:r>
        <w:t>:</w:t>
      </w:r>
    </w:p>
    <w:p w14:paraId="40790DCC" w14:textId="379746BB" w:rsidR="005447DF" w:rsidRDefault="005447DF" w:rsidP="005447DF">
      <w:pPr>
        <w:pStyle w:val="Level3"/>
      </w:pPr>
      <w:r w:rsidRPr="00C7122C">
        <w:t>shall be applied (to the extent that the Company is lawfully able to do so) among the holders of the</w:t>
      </w:r>
      <w:r>
        <w:t xml:space="preserve"> A Shares and the B Shares</w:t>
      </w:r>
      <w:r w:rsidRPr="00C7122C">
        <w:t xml:space="preserve"> pro rata to the number of</w:t>
      </w:r>
      <w:r>
        <w:t xml:space="preserve"> A </w:t>
      </w:r>
      <w:r w:rsidRPr="00C7122C">
        <w:t xml:space="preserve">Shares </w:t>
      </w:r>
      <w:r>
        <w:t xml:space="preserve">and B Shares </w:t>
      </w:r>
      <w:r w:rsidRPr="00C7122C">
        <w:t>held</w:t>
      </w:r>
      <w:r>
        <w:t xml:space="preserve"> by them</w:t>
      </w:r>
      <w:r w:rsidRPr="00C7122C">
        <w:t>, as if they all constituted shares of the same class</w:t>
      </w:r>
      <w:r>
        <w:t>; and</w:t>
      </w:r>
    </w:p>
    <w:p w14:paraId="7B92EC6A" w14:textId="7F274C2C" w:rsidR="005447DF" w:rsidRPr="00C7122C" w:rsidRDefault="005447DF" w:rsidP="005447DF">
      <w:pPr>
        <w:pStyle w:val="Level3"/>
      </w:pPr>
      <w:r>
        <w:t>shall not be applied to the holders of the Deferred Shares.</w:t>
      </w:r>
    </w:p>
    <w:p w14:paraId="51E82367" w14:textId="2BF3EB27" w:rsidR="00900B09" w:rsidRPr="00C7122C" w:rsidRDefault="008042C0" w:rsidP="00E12420">
      <w:pPr>
        <w:pStyle w:val="Level1"/>
        <w:rPr>
          <w:sz w:val="20"/>
          <w:szCs w:val="20"/>
        </w:rPr>
      </w:pPr>
      <w:bookmarkStart w:id="120" w:name="_Toc149833879"/>
      <w:r w:rsidRPr="00C7122C">
        <w:rPr>
          <w:sz w:val="20"/>
          <w:szCs w:val="20"/>
        </w:rPr>
        <w:t>Share Sale</w:t>
      </w:r>
      <w:bookmarkEnd w:id="120"/>
      <w:r w:rsidRPr="00C7122C">
        <w:rPr>
          <w:sz w:val="20"/>
          <w:szCs w:val="20"/>
        </w:rPr>
        <w:t xml:space="preserve"> </w:t>
      </w:r>
    </w:p>
    <w:p w14:paraId="51A307C0" w14:textId="66A27140" w:rsidR="00900B09" w:rsidRPr="00C7122C" w:rsidRDefault="00A35BEC" w:rsidP="00E12420">
      <w:pPr>
        <w:pStyle w:val="Level2"/>
        <w:rPr>
          <w:szCs w:val="20"/>
        </w:rPr>
      </w:pPr>
      <w:bookmarkStart w:id="121" w:name="a263857"/>
      <w:r w:rsidRPr="00C7122C">
        <w:rPr>
          <w:szCs w:val="20"/>
        </w:rPr>
        <w:t xml:space="preserve">On a Share Sale, the Sale Proceeds shall be distributed in the order of priority set out in </w:t>
      </w:r>
      <w:r w:rsidR="00306D20">
        <w:rPr>
          <w:szCs w:val="20"/>
        </w:rPr>
        <w:t>A</w:t>
      </w:r>
      <w:r w:rsidR="00D90415" w:rsidRPr="00C7122C">
        <w:rPr>
          <w:szCs w:val="20"/>
        </w:rPr>
        <w:t>r</w:t>
      </w:r>
      <w:r w:rsidR="00622048">
        <w:rPr>
          <w:szCs w:val="20"/>
        </w:rPr>
        <w:t>ticle 10</w:t>
      </w:r>
      <w:r w:rsidRPr="00C7122C">
        <w:rPr>
          <w:szCs w:val="20"/>
        </w:rPr>
        <w:t>. The Directors shall not register any transfer of Shares if the Sale Proceeds are not distributed in that manner (save in respect of any Shares not sold in connection with that Share Sale) provided that, if the Sale Proceeds are not settled in their entirety upon completion of the Share Sale:</w:t>
      </w:r>
      <w:bookmarkEnd w:id="121"/>
    </w:p>
    <w:p w14:paraId="766D28B6" w14:textId="5831D9B4" w:rsidR="00900B09" w:rsidRPr="00C7122C" w:rsidRDefault="00A35BEC" w:rsidP="00E12420">
      <w:pPr>
        <w:pStyle w:val="Level3"/>
        <w:rPr>
          <w:szCs w:val="20"/>
        </w:rPr>
      </w:pPr>
      <w:bookmarkStart w:id="122" w:name="a438405"/>
      <w:r w:rsidRPr="00C7122C">
        <w:rPr>
          <w:szCs w:val="20"/>
        </w:rPr>
        <w:t>the Directors may register the transfer of the relevant Shares, provided that the Sale Proceeds due on the date of completion of the Share Sale have been distributed in the order of priority set out in</w:t>
      </w:r>
      <w:r w:rsidR="00622048">
        <w:rPr>
          <w:szCs w:val="20"/>
        </w:rPr>
        <w:t xml:space="preserve"> Article 10</w:t>
      </w:r>
      <w:r w:rsidRPr="00C7122C">
        <w:rPr>
          <w:szCs w:val="20"/>
        </w:rPr>
        <w:t>; and</w:t>
      </w:r>
      <w:bookmarkEnd w:id="122"/>
    </w:p>
    <w:p w14:paraId="54BFD7C2" w14:textId="72F19E12" w:rsidR="00900B09" w:rsidRPr="00C7122C" w:rsidRDefault="00A35BEC" w:rsidP="00E12420">
      <w:pPr>
        <w:pStyle w:val="Level3"/>
        <w:rPr>
          <w:szCs w:val="20"/>
        </w:rPr>
      </w:pPr>
      <w:bookmarkStart w:id="123" w:name="a175418"/>
      <w:r w:rsidRPr="00C7122C">
        <w:rPr>
          <w:szCs w:val="20"/>
        </w:rPr>
        <w:t>each Shareholder shall take any</w:t>
      </w:r>
      <w:r w:rsidR="006661A3" w:rsidRPr="00C7122C">
        <w:rPr>
          <w:szCs w:val="20"/>
        </w:rPr>
        <w:t xml:space="preserve"> </w:t>
      </w:r>
      <w:r w:rsidRPr="00C7122C">
        <w:rPr>
          <w:szCs w:val="20"/>
        </w:rPr>
        <w:t>reasonable action to the extent lawful and within its control</w:t>
      </w:r>
      <w:r w:rsidR="006661A3" w:rsidRPr="00C7122C">
        <w:rPr>
          <w:szCs w:val="20"/>
        </w:rPr>
        <w:t xml:space="preserve"> </w:t>
      </w:r>
      <w:r w:rsidRPr="00C7122C">
        <w:rPr>
          <w:szCs w:val="20"/>
        </w:rPr>
        <w:t xml:space="preserve">to ensure that the balance of the Sale Proceeds </w:t>
      </w:r>
      <w:proofErr w:type="gramStart"/>
      <w:r w:rsidRPr="00C7122C">
        <w:rPr>
          <w:szCs w:val="20"/>
        </w:rPr>
        <w:t>are</w:t>
      </w:r>
      <w:proofErr w:type="gramEnd"/>
      <w:r w:rsidRPr="00C7122C">
        <w:rPr>
          <w:szCs w:val="20"/>
        </w:rPr>
        <w:t xml:space="preserve"> distributed in the order of priority set out in </w:t>
      </w:r>
      <w:r w:rsidR="00622048">
        <w:rPr>
          <w:szCs w:val="20"/>
        </w:rPr>
        <w:t>Article 10</w:t>
      </w:r>
      <w:r w:rsidRPr="00C7122C">
        <w:rPr>
          <w:szCs w:val="20"/>
        </w:rPr>
        <w:t>.</w:t>
      </w:r>
      <w:bookmarkEnd w:id="123"/>
    </w:p>
    <w:p w14:paraId="020B7D73" w14:textId="5D03523C" w:rsidR="00900B09" w:rsidRPr="00C7122C" w:rsidRDefault="00A35BEC" w:rsidP="00E12420">
      <w:pPr>
        <w:pStyle w:val="Level1"/>
        <w:rPr>
          <w:sz w:val="20"/>
          <w:szCs w:val="20"/>
        </w:rPr>
      </w:pPr>
      <w:bookmarkStart w:id="124" w:name="_Toc256000012"/>
      <w:bookmarkStart w:id="125" w:name="a907328"/>
      <w:bookmarkStart w:id="126" w:name="_Toc149833880"/>
      <w:r w:rsidRPr="00C7122C">
        <w:rPr>
          <w:sz w:val="20"/>
          <w:szCs w:val="20"/>
        </w:rPr>
        <w:t>Variation of class rights</w:t>
      </w:r>
      <w:bookmarkEnd w:id="124"/>
      <w:bookmarkEnd w:id="125"/>
      <w:bookmarkEnd w:id="126"/>
      <w:r w:rsidR="00577AF3">
        <w:rPr>
          <w:sz w:val="20"/>
          <w:szCs w:val="20"/>
        </w:rPr>
        <w:t xml:space="preserve"> and Deferred Shares</w:t>
      </w:r>
    </w:p>
    <w:p w14:paraId="27656973" w14:textId="4952D4C7" w:rsidR="00577AF3" w:rsidRPr="00577AF3" w:rsidRDefault="00A35BEC" w:rsidP="00181D75">
      <w:pPr>
        <w:pStyle w:val="Level2"/>
      </w:pPr>
      <w:bookmarkStart w:id="127" w:name="a242495"/>
      <w:r w:rsidRPr="00C7122C">
        <w:t>Whenever the share capital of the Company is divided into different classes of Shares</w:t>
      </w:r>
      <w:r w:rsidR="001F0C69">
        <w:t xml:space="preserve"> and save to the extent of Shares being converted into Deferred Shares</w:t>
      </w:r>
      <w:r w:rsidRPr="00C7122C">
        <w:t xml:space="preserve">, the special rights attached to any such class may only be varied or abrogated (either whilst the Company is a going concern or during or in contemplation of a winding up) with the consent in writing of the </w:t>
      </w:r>
      <w:r w:rsidRPr="00EF29B2">
        <w:t>holders of at least 7</w:t>
      </w:r>
      <w:r w:rsidR="001F0C69">
        <w:t>6</w:t>
      </w:r>
      <w:r w:rsidRPr="00EF29B2">
        <w:t>% in nominal value of the issued Shares of that clas</w:t>
      </w:r>
      <w:bookmarkEnd w:id="127"/>
      <w:r w:rsidR="006661A3" w:rsidRPr="00EF29B2">
        <w:t>s.</w:t>
      </w:r>
    </w:p>
    <w:p w14:paraId="788B18AC" w14:textId="77777777" w:rsidR="00577AF3" w:rsidRPr="00145C68" w:rsidRDefault="00577AF3" w:rsidP="00577AF3">
      <w:pPr>
        <w:pStyle w:val="Level2"/>
        <w:rPr>
          <w:szCs w:val="20"/>
        </w:rPr>
      </w:pPr>
      <w:r w:rsidRPr="00145C68">
        <w:rPr>
          <w:szCs w:val="20"/>
        </w:rPr>
        <w:t>Subject to the Act, any Deferred Shares may be purchased by the Company at any time at its option for the aggregate sum of one p</w:t>
      </w:r>
      <w:r>
        <w:rPr>
          <w:szCs w:val="20"/>
        </w:rPr>
        <w:t>ound</w:t>
      </w:r>
      <w:r w:rsidRPr="00145C68">
        <w:rPr>
          <w:szCs w:val="20"/>
        </w:rPr>
        <w:t xml:space="preserve"> for all the Deferred Shares registered in the name of all holder(s) without obtaining the sanction of the holder(s) and such one p</w:t>
      </w:r>
      <w:r>
        <w:rPr>
          <w:szCs w:val="20"/>
        </w:rPr>
        <w:t>ound</w:t>
      </w:r>
      <w:r w:rsidRPr="00145C68">
        <w:rPr>
          <w:szCs w:val="20"/>
        </w:rPr>
        <w:t xml:space="preserve"> shall be the full value of all such Deferred Shares if paid to any one holder of Deferred Shares and no additional proceeds shall apply from any subsequent event.</w:t>
      </w:r>
    </w:p>
    <w:p w14:paraId="0B3E6BA9" w14:textId="77777777" w:rsidR="00577AF3" w:rsidRPr="00145C68" w:rsidRDefault="00577AF3" w:rsidP="00577AF3">
      <w:pPr>
        <w:pStyle w:val="Level2"/>
        <w:rPr>
          <w:szCs w:val="20"/>
        </w:rPr>
      </w:pPr>
      <w:r w:rsidRPr="00145C68">
        <w:rPr>
          <w:szCs w:val="20"/>
        </w:rPr>
        <w:t xml:space="preserve">The allotment or issue of Deferred Shares or the conversion or redesignation of B Shares into Deferred Shares shall be deemed to confer irrevocable authority on the Company at any time after their allotment, issue, </w:t>
      </w:r>
      <w:proofErr w:type="gramStart"/>
      <w:r w:rsidRPr="00145C68">
        <w:rPr>
          <w:szCs w:val="20"/>
        </w:rPr>
        <w:t>conversion</w:t>
      </w:r>
      <w:proofErr w:type="gramEnd"/>
      <w:r w:rsidRPr="00145C68">
        <w:rPr>
          <w:szCs w:val="20"/>
        </w:rPr>
        <w:t xml:space="preserve"> or redesignation, without obtaining the sanction of such holder(s), to:</w:t>
      </w:r>
    </w:p>
    <w:p w14:paraId="74B4D888" w14:textId="77777777" w:rsidR="00577AF3" w:rsidRPr="00181D75" w:rsidRDefault="00577AF3" w:rsidP="00577AF3">
      <w:pPr>
        <w:pStyle w:val="Heading3"/>
        <w:numPr>
          <w:ilvl w:val="0"/>
          <w:numId w:val="0"/>
        </w:numPr>
        <w:ind w:left="720"/>
        <w:rPr>
          <w:rFonts w:ascii="Arial" w:hAnsi="Arial" w:cs="Arial"/>
          <w:b w:val="0"/>
          <w:bCs w:val="0"/>
          <w:sz w:val="20"/>
        </w:rPr>
      </w:pPr>
      <w:r w:rsidRPr="00181D75">
        <w:rPr>
          <w:rFonts w:ascii="Arial" w:hAnsi="Arial" w:cs="Arial"/>
          <w:b w:val="0"/>
          <w:bCs w:val="0"/>
          <w:sz w:val="20"/>
        </w:rPr>
        <w:lastRenderedPageBreak/>
        <w:t>(i) appoint any person to execute any transfer (or any agreement to transfer) of such Deferred Shares to such person(s) as the Company may determine (as nominee or custodian thereof or otherwise), including (subject to the Act) to the Company itself, in any such case for a price being not more than an aggregate sum of one penny for all the Deferred Shares registered in the name of such holder(s); and/or</w:t>
      </w:r>
    </w:p>
    <w:p w14:paraId="58E3C4B4" w14:textId="77777777" w:rsidR="00577AF3" w:rsidRPr="00181D75" w:rsidRDefault="00577AF3" w:rsidP="00577AF3">
      <w:pPr>
        <w:pStyle w:val="Heading3"/>
        <w:numPr>
          <w:ilvl w:val="0"/>
          <w:numId w:val="0"/>
        </w:numPr>
        <w:ind w:left="720"/>
        <w:rPr>
          <w:rFonts w:ascii="Arial" w:hAnsi="Arial" w:cs="Arial"/>
          <w:b w:val="0"/>
          <w:bCs w:val="0"/>
          <w:sz w:val="20"/>
        </w:rPr>
      </w:pPr>
      <w:r w:rsidRPr="00181D75">
        <w:rPr>
          <w:rFonts w:ascii="Arial" w:hAnsi="Arial" w:cs="Arial"/>
          <w:b w:val="0"/>
          <w:bCs w:val="0"/>
          <w:sz w:val="20"/>
        </w:rPr>
        <w:t>(ii) receive the consideration for such a transfer or purchase (and give a good discharge for it) and hold the same on trust for the transferor(s); and/or</w:t>
      </w:r>
    </w:p>
    <w:p w14:paraId="34FE0B6D" w14:textId="77777777" w:rsidR="00577AF3" w:rsidRPr="00181D75" w:rsidRDefault="00577AF3" w:rsidP="00577AF3">
      <w:pPr>
        <w:pStyle w:val="Heading3"/>
        <w:numPr>
          <w:ilvl w:val="0"/>
          <w:numId w:val="0"/>
        </w:numPr>
        <w:ind w:left="720"/>
        <w:rPr>
          <w:rFonts w:ascii="Arial" w:hAnsi="Arial" w:cs="Arial"/>
          <w:b w:val="0"/>
          <w:bCs w:val="0"/>
          <w:sz w:val="20"/>
        </w:rPr>
      </w:pPr>
      <w:r w:rsidRPr="00181D75">
        <w:rPr>
          <w:rFonts w:ascii="Arial" w:hAnsi="Arial" w:cs="Arial"/>
          <w:b w:val="0"/>
          <w:bCs w:val="0"/>
          <w:sz w:val="20"/>
        </w:rPr>
        <w:t>(iii) give, on behalf of such holder(s), consent to the cancellation of such Deferred Shares; and/or</w:t>
      </w:r>
    </w:p>
    <w:p w14:paraId="11092CDE" w14:textId="37FB2EB0" w:rsidR="00577AF3" w:rsidRPr="00181D75" w:rsidRDefault="00577AF3" w:rsidP="00577AF3">
      <w:pPr>
        <w:pStyle w:val="Heading3"/>
        <w:numPr>
          <w:ilvl w:val="0"/>
          <w:numId w:val="0"/>
        </w:numPr>
        <w:ind w:left="720"/>
        <w:rPr>
          <w:rFonts w:ascii="Arial" w:hAnsi="Arial" w:cs="Arial"/>
          <w:b w:val="0"/>
          <w:bCs w:val="0"/>
          <w:sz w:val="20"/>
        </w:rPr>
      </w:pPr>
      <w:r w:rsidRPr="00181D75">
        <w:rPr>
          <w:rFonts w:ascii="Arial" w:hAnsi="Arial" w:cs="Arial"/>
          <w:b w:val="0"/>
          <w:bCs w:val="0"/>
          <w:sz w:val="20"/>
        </w:rPr>
        <w:t xml:space="preserve">(iv) retain the certificate(s) (if any) in respect of such Deferred Shares pending the </w:t>
      </w:r>
      <w:r>
        <w:rPr>
          <w:rFonts w:ascii="Arial" w:hAnsi="Arial" w:cs="Arial"/>
          <w:b w:val="0"/>
          <w:bCs w:val="0"/>
          <w:sz w:val="20"/>
        </w:rPr>
        <w:t>T</w:t>
      </w:r>
      <w:r w:rsidRPr="00181D75">
        <w:rPr>
          <w:rFonts w:ascii="Arial" w:hAnsi="Arial" w:cs="Arial"/>
          <w:b w:val="0"/>
          <w:bCs w:val="0"/>
          <w:sz w:val="20"/>
        </w:rPr>
        <w:t>ransfer, cancellation and/or purchase thereof.</w:t>
      </w:r>
    </w:p>
    <w:p w14:paraId="280AF314" w14:textId="1FE2370D" w:rsidR="00577AF3" w:rsidRPr="00181D75" w:rsidRDefault="00577AF3" w:rsidP="00577AF3">
      <w:pPr>
        <w:pStyle w:val="Heading2"/>
        <w:numPr>
          <w:ilvl w:val="0"/>
          <w:numId w:val="0"/>
        </w:numPr>
        <w:ind w:left="720" w:hanging="720"/>
        <w:rPr>
          <w:rFonts w:ascii="Arial" w:hAnsi="Arial" w:cs="Arial"/>
          <w:b w:val="0"/>
          <w:bCs w:val="0"/>
          <w:sz w:val="20"/>
        </w:rPr>
      </w:pPr>
      <w:r w:rsidRPr="00181D75">
        <w:rPr>
          <w:rFonts w:ascii="Arial" w:hAnsi="Arial" w:cs="Arial"/>
          <w:b w:val="0"/>
          <w:bCs w:val="0"/>
          <w:sz w:val="20"/>
        </w:rPr>
        <w:t>1</w:t>
      </w:r>
      <w:r>
        <w:rPr>
          <w:rFonts w:ascii="Arial" w:hAnsi="Arial" w:cs="Arial"/>
          <w:b w:val="0"/>
          <w:bCs w:val="0"/>
          <w:sz w:val="20"/>
        </w:rPr>
        <w:t>2.4</w:t>
      </w:r>
      <w:r>
        <w:rPr>
          <w:rFonts w:ascii="Arial" w:hAnsi="Arial" w:cs="Arial"/>
          <w:b w:val="0"/>
          <w:bCs w:val="0"/>
          <w:sz w:val="20"/>
        </w:rPr>
        <w:tab/>
      </w:r>
      <w:r w:rsidRPr="00181D75">
        <w:rPr>
          <w:rFonts w:ascii="Arial" w:hAnsi="Arial" w:cs="Arial"/>
          <w:b w:val="0"/>
          <w:bCs w:val="0"/>
          <w:sz w:val="20"/>
        </w:rPr>
        <w:t xml:space="preserve">Unless the </w:t>
      </w:r>
      <w:r>
        <w:rPr>
          <w:rFonts w:ascii="Arial" w:hAnsi="Arial" w:cs="Arial"/>
          <w:b w:val="0"/>
          <w:bCs w:val="0"/>
          <w:sz w:val="20"/>
        </w:rPr>
        <w:t>Directors</w:t>
      </w:r>
      <w:r w:rsidRPr="00181D75">
        <w:rPr>
          <w:rFonts w:ascii="Arial" w:hAnsi="Arial" w:cs="Arial"/>
          <w:b w:val="0"/>
          <w:bCs w:val="0"/>
          <w:sz w:val="20"/>
        </w:rPr>
        <w:t xml:space="preserve"> determine that this </w:t>
      </w:r>
      <w:r>
        <w:rPr>
          <w:rFonts w:ascii="Arial" w:hAnsi="Arial" w:cs="Arial"/>
          <w:b w:val="0"/>
          <w:bCs w:val="0"/>
          <w:sz w:val="20"/>
        </w:rPr>
        <w:t>Article 12.4</w:t>
      </w:r>
      <w:r w:rsidRPr="00181D75">
        <w:rPr>
          <w:rFonts w:ascii="Arial" w:hAnsi="Arial" w:cs="Arial"/>
          <w:b w:val="0"/>
          <w:bCs w:val="0"/>
          <w:sz w:val="20"/>
        </w:rPr>
        <w:t xml:space="preserve"> shall not apply, and subject to </w:t>
      </w:r>
      <w:r>
        <w:rPr>
          <w:rFonts w:ascii="Arial" w:hAnsi="Arial" w:cs="Arial"/>
          <w:b w:val="0"/>
          <w:bCs w:val="0"/>
          <w:sz w:val="20"/>
        </w:rPr>
        <w:t xml:space="preserve">Article </w:t>
      </w:r>
      <w:r w:rsidRPr="00181D75">
        <w:rPr>
          <w:rFonts w:ascii="Arial" w:hAnsi="Arial" w:cs="Arial"/>
          <w:b w:val="0"/>
          <w:bCs w:val="0"/>
          <w:sz w:val="20"/>
        </w:rPr>
        <w:t>1</w:t>
      </w:r>
      <w:r>
        <w:rPr>
          <w:rFonts w:ascii="Arial" w:hAnsi="Arial" w:cs="Arial"/>
          <w:b w:val="0"/>
          <w:bCs w:val="0"/>
          <w:sz w:val="20"/>
        </w:rPr>
        <w:t>2</w:t>
      </w:r>
      <w:r w:rsidRPr="00181D75">
        <w:rPr>
          <w:rFonts w:ascii="Arial" w:hAnsi="Arial" w:cs="Arial"/>
          <w:b w:val="0"/>
          <w:bCs w:val="0"/>
          <w:sz w:val="20"/>
        </w:rPr>
        <w:t>.</w:t>
      </w:r>
      <w:r>
        <w:rPr>
          <w:rFonts w:ascii="Arial" w:hAnsi="Arial" w:cs="Arial"/>
          <w:b w:val="0"/>
          <w:bCs w:val="0"/>
          <w:sz w:val="20"/>
        </w:rPr>
        <w:t>5</w:t>
      </w:r>
      <w:r w:rsidRPr="00181D75">
        <w:rPr>
          <w:rFonts w:ascii="Arial" w:hAnsi="Arial" w:cs="Arial"/>
          <w:b w:val="0"/>
          <w:bCs w:val="0"/>
          <w:sz w:val="20"/>
        </w:rPr>
        <w:t xml:space="preserve">, if at any time an Employee is holding any B Shares and that Employee ceases to be an Employee of the Company or any </w:t>
      </w:r>
      <w:r>
        <w:rPr>
          <w:rFonts w:ascii="Arial" w:hAnsi="Arial" w:cs="Arial"/>
          <w:b w:val="0"/>
          <w:bCs w:val="0"/>
          <w:sz w:val="20"/>
        </w:rPr>
        <w:t>g</w:t>
      </w:r>
      <w:r w:rsidRPr="00181D75">
        <w:rPr>
          <w:rFonts w:ascii="Arial" w:hAnsi="Arial" w:cs="Arial"/>
          <w:b w:val="0"/>
          <w:bCs w:val="0"/>
          <w:sz w:val="20"/>
        </w:rPr>
        <w:t xml:space="preserve">roup company and is a Leaver (as determined by the </w:t>
      </w:r>
      <w:r>
        <w:rPr>
          <w:rFonts w:ascii="Arial" w:hAnsi="Arial" w:cs="Arial"/>
          <w:b w:val="0"/>
          <w:bCs w:val="0"/>
          <w:sz w:val="20"/>
        </w:rPr>
        <w:t>Directors</w:t>
      </w:r>
      <w:r w:rsidRPr="00181D75">
        <w:rPr>
          <w:rFonts w:ascii="Arial" w:hAnsi="Arial" w:cs="Arial"/>
          <w:b w:val="0"/>
          <w:bCs w:val="0"/>
          <w:sz w:val="20"/>
        </w:rPr>
        <w:t xml:space="preserve">), or, subsequent to them leaving and only where the </w:t>
      </w:r>
      <w:r>
        <w:rPr>
          <w:rFonts w:ascii="Arial" w:hAnsi="Arial" w:cs="Arial"/>
          <w:b w:val="0"/>
          <w:bCs w:val="0"/>
          <w:sz w:val="20"/>
        </w:rPr>
        <w:t>Directors</w:t>
      </w:r>
      <w:r w:rsidRPr="00181D75">
        <w:rPr>
          <w:rFonts w:ascii="Arial" w:hAnsi="Arial" w:cs="Arial"/>
          <w:b w:val="0"/>
          <w:bCs w:val="0"/>
          <w:sz w:val="20"/>
        </w:rPr>
        <w:t xml:space="preserve"> have allowed them to retain any B Shares not being converted into Deferred Shares, they then breach any ongoing restrictive covenants or confidentiality obligations contained within any agreement that they have to the Company or any group company, all of the Employee B Shares relating to such Employee (as applicable) shall be automatically redesignated as Deferred Shares (on the basis of one Deferred Share for each one B Share held), effective either on the effective termination date of their Employee status, or, if they, subsequent to them being a Leaver, are found by the </w:t>
      </w:r>
      <w:r>
        <w:rPr>
          <w:rFonts w:ascii="Arial" w:hAnsi="Arial" w:cs="Arial"/>
          <w:b w:val="0"/>
          <w:bCs w:val="0"/>
          <w:sz w:val="20"/>
        </w:rPr>
        <w:t>Directors</w:t>
      </w:r>
      <w:r w:rsidRPr="00181D75">
        <w:rPr>
          <w:rFonts w:ascii="Arial" w:hAnsi="Arial" w:cs="Arial"/>
          <w:b w:val="0"/>
          <w:bCs w:val="0"/>
          <w:sz w:val="20"/>
        </w:rPr>
        <w:t xml:space="preserve"> to have breached their restrictive covenants or confidentiality obligations to the Company or any group company, at such later date, if the </w:t>
      </w:r>
      <w:r>
        <w:rPr>
          <w:rFonts w:ascii="Arial" w:hAnsi="Arial" w:cs="Arial"/>
          <w:b w:val="0"/>
          <w:bCs w:val="0"/>
          <w:sz w:val="20"/>
        </w:rPr>
        <w:t>Directors</w:t>
      </w:r>
      <w:r w:rsidRPr="00181D75">
        <w:rPr>
          <w:rFonts w:ascii="Arial" w:hAnsi="Arial" w:cs="Arial"/>
          <w:b w:val="0"/>
          <w:bCs w:val="0"/>
          <w:sz w:val="20"/>
        </w:rPr>
        <w:t xml:space="preserve"> so determine.  </w:t>
      </w:r>
    </w:p>
    <w:p w14:paraId="471C031B" w14:textId="3A727D72" w:rsidR="00577AF3" w:rsidRPr="00181D75" w:rsidRDefault="00577AF3" w:rsidP="00577AF3">
      <w:pPr>
        <w:pStyle w:val="Heading2"/>
        <w:numPr>
          <w:ilvl w:val="0"/>
          <w:numId w:val="0"/>
        </w:numPr>
        <w:ind w:left="720" w:hanging="720"/>
        <w:rPr>
          <w:rFonts w:ascii="Arial" w:hAnsi="Arial" w:cs="Arial"/>
          <w:b w:val="0"/>
          <w:bCs w:val="0"/>
          <w:sz w:val="20"/>
        </w:rPr>
      </w:pPr>
      <w:r w:rsidRPr="00181D75">
        <w:rPr>
          <w:rFonts w:ascii="Arial" w:hAnsi="Arial" w:cs="Arial"/>
          <w:b w:val="0"/>
          <w:bCs w:val="0"/>
          <w:sz w:val="20"/>
        </w:rPr>
        <w:t>1</w:t>
      </w:r>
      <w:r>
        <w:rPr>
          <w:rFonts w:ascii="Arial" w:hAnsi="Arial" w:cs="Arial"/>
          <w:b w:val="0"/>
          <w:bCs w:val="0"/>
          <w:sz w:val="20"/>
        </w:rPr>
        <w:t>2.5</w:t>
      </w:r>
      <w:r>
        <w:rPr>
          <w:rFonts w:ascii="Arial" w:hAnsi="Arial" w:cs="Arial"/>
          <w:b w:val="0"/>
          <w:bCs w:val="0"/>
          <w:sz w:val="20"/>
        </w:rPr>
        <w:tab/>
      </w:r>
      <w:r w:rsidRPr="00181D75">
        <w:rPr>
          <w:rFonts w:ascii="Arial" w:hAnsi="Arial" w:cs="Arial"/>
          <w:b w:val="0"/>
          <w:bCs w:val="0"/>
          <w:sz w:val="20"/>
        </w:rPr>
        <w:t xml:space="preserve">Upon such conversion into Deferred Shares, the Company shall be entitled to enter the holder of the Deferred Shares on the register of members of the Company as the holder of the appropriate number of Deferred Shares as from the Deferred Shares conversion date. Upon the Deferred Shares conversion date, the Employee as applicable shall deliver to the Company at its registered office the shares certificate(s) (to the extent not already in the possession of the Company) (or an indemnity for lost certificate in a form acceptable to the </w:t>
      </w:r>
      <w:r>
        <w:rPr>
          <w:rFonts w:ascii="Arial" w:hAnsi="Arial" w:cs="Arial"/>
          <w:b w:val="0"/>
          <w:bCs w:val="0"/>
          <w:sz w:val="20"/>
        </w:rPr>
        <w:t>Directors</w:t>
      </w:r>
      <w:r w:rsidRPr="00181D75">
        <w:rPr>
          <w:rFonts w:ascii="Arial" w:hAnsi="Arial" w:cs="Arial"/>
          <w:b w:val="0"/>
          <w:bCs w:val="0"/>
          <w:sz w:val="20"/>
        </w:rPr>
        <w:t>) for the Shares so converting and upon such delivery there shall be issued to them share certificate(s) for the number of Deferred Shares resulting from the relevant conversion and any remaining Shares (if any) not redesignated as Deferred Shares.</w:t>
      </w:r>
    </w:p>
    <w:p w14:paraId="18B00F88" w14:textId="06CBDE46" w:rsidR="00577AF3" w:rsidRPr="00181D75" w:rsidRDefault="00577AF3" w:rsidP="00577AF3">
      <w:pPr>
        <w:pStyle w:val="Heading2"/>
        <w:numPr>
          <w:ilvl w:val="0"/>
          <w:numId w:val="0"/>
        </w:numPr>
        <w:ind w:left="720" w:hanging="720"/>
        <w:rPr>
          <w:rFonts w:ascii="Arial" w:hAnsi="Arial" w:cs="Arial"/>
          <w:b w:val="0"/>
          <w:bCs w:val="0"/>
          <w:sz w:val="20"/>
        </w:rPr>
      </w:pPr>
      <w:r w:rsidRPr="00181D75">
        <w:rPr>
          <w:rFonts w:ascii="Arial" w:hAnsi="Arial" w:cs="Arial"/>
          <w:b w:val="0"/>
          <w:bCs w:val="0"/>
          <w:sz w:val="20"/>
        </w:rPr>
        <w:t>1</w:t>
      </w:r>
      <w:r w:rsidR="007418BC">
        <w:rPr>
          <w:rFonts w:ascii="Arial" w:hAnsi="Arial" w:cs="Arial"/>
          <w:b w:val="0"/>
          <w:bCs w:val="0"/>
          <w:sz w:val="20"/>
        </w:rPr>
        <w:t>2.6</w:t>
      </w:r>
      <w:r w:rsidR="007418BC">
        <w:rPr>
          <w:rFonts w:ascii="Arial" w:hAnsi="Arial" w:cs="Arial"/>
          <w:b w:val="0"/>
          <w:bCs w:val="0"/>
          <w:sz w:val="20"/>
        </w:rPr>
        <w:tab/>
      </w:r>
      <w:r w:rsidRPr="00181D75">
        <w:rPr>
          <w:rFonts w:ascii="Arial" w:hAnsi="Arial" w:cs="Arial"/>
          <w:b w:val="0"/>
          <w:bCs w:val="0"/>
          <w:sz w:val="20"/>
        </w:rPr>
        <w:t>The Company may at any time pay to all the holders of the Deferred Shares a total of £1.00 for the entire class of Deferred Shares (which payment shall be deemed satisfied by payment to any one holder of Deferred Shares) and all such Deferred Shares shall then be transferred to the Company and registered in its name, upon that payment.</w:t>
      </w:r>
    </w:p>
    <w:p w14:paraId="35509D63" w14:textId="33C9087C" w:rsidR="00577AF3" w:rsidRPr="00181D75" w:rsidRDefault="00577AF3" w:rsidP="00577AF3">
      <w:pPr>
        <w:pStyle w:val="Heading2"/>
        <w:numPr>
          <w:ilvl w:val="0"/>
          <w:numId w:val="0"/>
        </w:numPr>
        <w:ind w:left="720" w:hanging="720"/>
        <w:rPr>
          <w:rFonts w:ascii="Arial" w:hAnsi="Arial" w:cs="Arial"/>
          <w:b w:val="0"/>
          <w:bCs w:val="0"/>
          <w:sz w:val="20"/>
        </w:rPr>
      </w:pPr>
      <w:r w:rsidRPr="00181D75">
        <w:rPr>
          <w:rFonts w:ascii="Arial" w:hAnsi="Arial" w:cs="Arial"/>
          <w:b w:val="0"/>
          <w:bCs w:val="0"/>
          <w:sz w:val="20"/>
        </w:rPr>
        <w:t>1</w:t>
      </w:r>
      <w:r w:rsidR="007418BC">
        <w:rPr>
          <w:rFonts w:ascii="Arial" w:hAnsi="Arial" w:cs="Arial"/>
          <w:b w:val="0"/>
          <w:bCs w:val="0"/>
          <w:sz w:val="20"/>
        </w:rPr>
        <w:t>2.7</w:t>
      </w:r>
      <w:r w:rsidR="007418BC">
        <w:rPr>
          <w:rFonts w:ascii="Arial" w:hAnsi="Arial" w:cs="Arial"/>
          <w:b w:val="0"/>
          <w:bCs w:val="0"/>
          <w:sz w:val="20"/>
        </w:rPr>
        <w:tab/>
      </w:r>
      <w:r w:rsidRPr="00181D75">
        <w:rPr>
          <w:rFonts w:ascii="Arial" w:hAnsi="Arial" w:cs="Arial"/>
          <w:b w:val="0"/>
          <w:bCs w:val="0"/>
          <w:sz w:val="20"/>
        </w:rPr>
        <w:t>The Deferred Shares (if any) shall not entitle the holders of them to receive notice of or to attend, speak or have any voting rights at any general meeting of the Company nor to receive any documents otherwise sent to Shareholders or to vote upon, or otherwise constitute an eligible member for the purposes of proposed written resolutions of the Company, nor to receive any dividends from the Company.</w:t>
      </w:r>
    </w:p>
    <w:p w14:paraId="3D36AC1A" w14:textId="77777777" w:rsidR="00577AF3" w:rsidRPr="00EF29B2" w:rsidRDefault="00577AF3" w:rsidP="00181D75">
      <w:pPr>
        <w:pStyle w:val="Level2"/>
        <w:numPr>
          <w:ilvl w:val="0"/>
          <w:numId w:val="0"/>
        </w:numPr>
        <w:ind w:left="680" w:hanging="680"/>
      </w:pPr>
    </w:p>
    <w:p w14:paraId="04A8EF26" w14:textId="77777777" w:rsidR="00EF29B2" w:rsidRPr="00EF29B2" w:rsidRDefault="00A35BEC" w:rsidP="00E12420">
      <w:pPr>
        <w:pStyle w:val="Level1"/>
        <w:rPr>
          <w:b w:val="0"/>
          <w:bCs/>
          <w:sz w:val="20"/>
          <w:szCs w:val="20"/>
        </w:rPr>
      </w:pPr>
      <w:bookmarkStart w:id="128" w:name="_Toc256000015"/>
      <w:bookmarkStart w:id="129" w:name="a544163"/>
      <w:bookmarkStart w:id="130" w:name="_Toc149833881"/>
      <w:r w:rsidRPr="00EF29B2">
        <w:rPr>
          <w:sz w:val="20"/>
          <w:szCs w:val="20"/>
        </w:rPr>
        <w:t>Pre-emption rights on the issue of further shares</w:t>
      </w:r>
      <w:bookmarkEnd w:id="128"/>
      <w:bookmarkEnd w:id="129"/>
      <w:bookmarkEnd w:id="130"/>
    </w:p>
    <w:p w14:paraId="01EE7CE1" w14:textId="26824726" w:rsidR="00900B09" w:rsidRPr="00C7122C" w:rsidRDefault="00A35BEC" w:rsidP="00E12420">
      <w:pPr>
        <w:pStyle w:val="Level2"/>
        <w:rPr>
          <w:szCs w:val="20"/>
        </w:rPr>
      </w:pPr>
      <w:bookmarkStart w:id="131" w:name="a312508"/>
      <w:r w:rsidRPr="00C7122C">
        <w:rPr>
          <w:szCs w:val="20"/>
        </w:rPr>
        <w:t xml:space="preserve">Subject to the remaining provisions of this </w:t>
      </w:r>
      <w:r w:rsidR="00622048">
        <w:rPr>
          <w:szCs w:val="20"/>
        </w:rPr>
        <w:t>Article 13</w:t>
      </w:r>
      <w:r w:rsidRPr="00C7122C">
        <w:rPr>
          <w:szCs w:val="20"/>
        </w:rPr>
        <w:t>, the Directors are generally and unconditionally authorised, for the purposes of section 551 of the Act, to exercise any power of the Company to:</w:t>
      </w:r>
      <w:bookmarkEnd w:id="131"/>
    </w:p>
    <w:p w14:paraId="35396322" w14:textId="77777777" w:rsidR="00900B09" w:rsidRPr="00C7122C" w:rsidRDefault="00A35BEC" w:rsidP="00E12420">
      <w:pPr>
        <w:pStyle w:val="Level3"/>
        <w:rPr>
          <w:szCs w:val="20"/>
        </w:rPr>
      </w:pPr>
      <w:bookmarkStart w:id="132" w:name="a391323"/>
      <w:r w:rsidRPr="00C7122C">
        <w:rPr>
          <w:szCs w:val="20"/>
        </w:rPr>
        <w:t xml:space="preserve">offer or </w:t>
      </w:r>
      <w:proofErr w:type="gramStart"/>
      <w:r w:rsidRPr="00C7122C">
        <w:rPr>
          <w:szCs w:val="20"/>
        </w:rPr>
        <w:t>allot;</w:t>
      </w:r>
      <w:bookmarkEnd w:id="132"/>
      <w:proofErr w:type="gramEnd"/>
    </w:p>
    <w:p w14:paraId="759CED50" w14:textId="77777777" w:rsidR="00900B09" w:rsidRPr="00C7122C" w:rsidRDefault="00A35BEC" w:rsidP="00E12420">
      <w:pPr>
        <w:pStyle w:val="Level3"/>
        <w:rPr>
          <w:szCs w:val="20"/>
        </w:rPr>
      </w:pPr>
      <w:bookmarkStart w:id="133" w:name="a889300"/>
      <w:r w:rsidRPr="00C7122C">
        <w:rPr>
          <w:szCs w:val="20"/>
        </w:rPr>
        <w:t>grant rights to subscribe for or to convert any security into; and</w:t>
      </w:r>
      <w:bookmarkEnd w:id="133"/>
    </w:p>
    <w:p w14:paraId="2048FE5D" w14:textId="77777777" w:rsidR="00900B09" w:rsidRPr="00C7122C" w:rsidRDefault="00A35BEC" w:rsidP="00E12420">
      <w:pPr>
        <w:pStyle w:val="Level3"/>
        <w:rPr>
          <w:szCs w:val="20"/>
        </w:rPr>
      </w:pPr>
      <w:bookmarkStart w:id="134" w:name="a660947"/>
      <w:r w:rsidRPr="00C7122C">
        <w:rPr>
          <w:szCs w:val="20"/>
        </w:rPr>
        <w:lastRenderedPageBreak/>
        <w:t>otherwise deal in, or dispose of,</w:t>
      </w:r>
      <w:bookmarkEnd w:id="134"/>
    </w:p>
    <w:p w14:paraId="2B5309A2" w14:textId="77777777" w:rsidR="00900B09" w:rsidRPr="00C7122C" w:rsidRDefault="00A35BEC" w:rsidP="00924108">
      <w:pPr>
        <w:pStyle w:val="Body2"/>
        <w:rPr>
          <w:szCs w:val="20"/>
        </w:rPr>
      </w:pPr>
      <w:r w:rsidRPr="00C7122C">
        <w:rPr>
          <w:szCs w:val="20"/>
        </w:rPr>
        <w:t>any Shares (or any options, warrants, conversion rights and all other rights to acquire or subscribe for Shares) to any person, at any time and subject to any terms and conditions as the Directors think proper.</w:t>
      </w:r>
    </w:p>
    <w:p w14:paraId="2BA54925" w14:textId="7E014789" w:rsidR="00900B09" w:rsidRPr="00C7122C" w:rsidRDefault="00A35BEC" w:rsidP="00E12420">
      <w:pPr>
        <w:pStyle w:val="Level2"/>
        <w:rPr>
          <w:szCs w:val="20"/>
        </w:rPr>
      </w:pPr>
      <w:bookmarkStart w:id="135" w:name="a611585"/>
      <w:r w:rsidRPr="00C7122C">
        <w:rPr>
          <w:szCs w:val="20"/>
        </w:rPr>
        <w:t xml:space="preserve">The authority referred to in </w:t>
      </w:r>
      <w:r w:rsidR="00622048">
        <w:rPr>
          <w:szCs w:val="20"/>
        </w:rPr>
        <w:t>Article 13.1</w:t>
      </w:r>
      <w:r w:rsidRPr="00C7122C">
        <w:rPr>
          <w:szCs w:val="20"/>
        </w:rPr>
        <w:t>:</w:t>
      </w:r>
      <w:bookmarkEnd w:id="135"/>
    </w:p>
    <w:p w14:paraId="7EF3DA3E" w14:textId="6EA995D0" w:rsidR="00900B09" w:rsidRPr="00C7122C" w:rsidRDefault="00A35BEC" w:rsidP="00E12420">
      <w:pPr>
        <w:pStyle w:val="Level3"/>
        <w:rPr>
          <w:szCs w:val="20"/>
        </w:rPr>
      </w:pPr>
      <w:bookmarkStart w:id="136" w:name="a494091"/>
      <w:r w:rsidRPr="00C7122C">
        <w:rPr>
          <w:szCs w:val="20"/>
        </w:rPr>
        <w:t>shall be limited to a maximum nominal amount of £</w:t>
      </w:r>
      <w:r w:rsidR="00D74A87" w:rsidRPr="00C7122C">
        <w:rPr>
          <w:szCs w:val="20"/>
        </w:rPr>
        <w:t>200</w:t>
      </w:r>
      <w:r w:rsidRPr="00C7122C">
        <w:rPr>
          <w:szCs w:val="20"/>
        </w:rPr>
        <w:t xml:space="preserve"> of</w:t>
      </w:r>
      <w:r w:rsidR="00092D22">
        <w:rPr>
          <w:szCs w:val="20"/>
        </w:rPr>
        <w:t xml:space="preserve"> </w:t>
      </w:r>
      <w:r w:rsidR="003A3A5A">
        <w:rPr>
          <w:szCs w:val="20"/>
        </w:rPr>
        <w:t xml:space="preserve">A </w:t>
      </w:r>
      <w:r w:rsidRPr="00C7122C">
        <w:rPr>
          <w:szCs w:val="20"/>
        </w:rPr>
        <w:t>Shares</w:t>
      </w:r>
      <w:bookmarkEnd w:id="136"/>
      <w:r w:rsidR="003A3A5A">
        <w:rPr>
          <w:szCs w:val="20"/>
        </w:rPr>
        <w:t xml:space="preserve"> and £</w:t>
      </w:r>
      <w:r w:rsidR="00046AAD">
        <w:rPr>
          <w:szCs w:val="20"/>
        </w:rPr>
        <w:t>18</w:t>
      </w:r>
      <w:r w:rsidR="003A3A5A">
        <w:rPr>
          <w:szCs w:val="20"/>
        </w:rPr>
        <w:t xml:space="preserve"> of B Shares</w:t>
      </w:r>
      <w:r w:rsidR="001F0C69">
        <w:rPr>
          <w:szCs w:val="20"/>
        </w:rPr>
        <w:t xml:space="preserve"> unless otherwise consented in writing by the holders of </w:t>
      </w:r>
      <w:r w:rsidR="001F0C69" w:rsidRPr="00EF29B2">
        <w:rPr>
          <w:szCs w:val="20"/>
        </w:rPr>
        <w:t>at least 7</w:t>
      </w:r>
      <w:r w:rsidR="001F0C69">
        <w:rPr>
          <w:szCs w:val="20"/>
        </w:rPr>
        <w:t>6</w:t>
      </w:r>
      <w:r w:rsidR="001F0C69" w:rsidRPr="00EF29B2">
        <w:rPr>
          <w:szCs w:val="20"/>
        </w:rPr>
        <w:t>% in nominal value of the issued</w:t>
      </w:r>
      <w:r w:rsidR="005035D9">
        <w:rPr>
          <w:szCs w:val="20"/>
        </w:rPr>
        <w:t xml:space="preserve"> A</w:t>
      </w:r>
      <w:r w:rsidR="001F0C69" w:rsidRPr="00EF29B2">
        <w:rPr>
          <w:szCs w:val="20"/>
        </w:rPr>
        <w:t xml:space="preserve"> </w:t>
      </w:r>
      <w:proofErr w:type="gramStart"/>
      <w:r w:rsidR="001F0C69" w:rsidRPr="00EF29B2">
        <w:rPr>
          <w:szCs w:val="20"/>
        </w:rPr>
        <w:t>Shares</w:t>
      </w:r>
      <w:r w:rsidR="001070AA" w:rsidRPr="00C7122C">
        <w:rPr>
          <w:szCs w:val="20"/>
        </w:rPr>
        <w:t>;</w:t>
      </w:r>
      <w:proofErr w:type="gramEnd"/>
    </w:p>
    <w:p w14:paraId="6C087980" w14:textId="77777777" w:rsidR="00900B09" w:rsidRPr="00C7122C" w:rsidRDefault="00A35BEC" w:rsidP="00E12420">
      <w:pPr>
        <w:pStyle w:val="Level3"/>
        <w:rPr>
          <w:szCs w:val="20"/>
        </w:rPr>
      </w:pPr>
      <w:bookmarkStart w:id="137" w:name="a846574"/>
      <w:r w:rsidRPr="00C7122C">
        <w:rPr>
          <w:szCs w:val="20"/>
        </w:rPr>
        <w:t xml:space="preserve">shall only apply insofar as the Company has not, subject to these Articles, renewed, </w:t>
      </w:r>
      <w:proofErr w:type="gramStart"/>
      <w:r w:rsidRPr="00C7122C">
        <w:rPr>
          <w:szCs w:val="20"/>
        </w:rPr>
        <w:t>waived</w:t>
      </w:r>
      <w:proofErr w:type="gramEnd"/>
      <w:r w:rsidRPr="00C7122C">
        <w:rPr>
          <w:szCs w:val="20"/>
        </w:rPr>
        <w:t xml:space="preserve"> or revoked it by ordinary resolution; and</w:t>
      </w:r>
      <w:bookmarkEnd w:id="137"/>
    </w:p>
    <w:p w14:paraId="1C2A22CE" w14:textId="77777777" w:rsidR="00900B09" w:rsidRPr="00C7122C" w:rsidRDefault="00A35BEC" w:rsidP="00E12420">
      <w:pPr>
        <w:pStyle w:val="Level3"/>
        <w:rPr>
          <w:szCs w:val="20"/>
        </w:rPr>
      </w:pPr>
      <w:bookmarkStart w:id="138" w:name="a789123"/>
      <w:r w:rsidRPr="00C7122C">
        <w:rPr>
          <w:szCs w:val="20"/>
        </w:rPr>
        <w:t>may only be exercised for a period of five years from the Adoption Date save that, subject to these Articles, the Directors may make an offer or agreement which would, or might, require any Shares to be allotted after the expiry of such authority (and the Directors may allot Shares in pursuance of an offer or agreement as if such authority had not expired).</w:t>
      </w:r>
      <w:bookmarkEnd w:id="138"/>
    </w:p>
    <w:p w14:paraId="178603B1" w14:textId="77777777" w:rsidR="00900B09" w:rsidRPr="00C7122C" w:rsidRDefault="00A35BEC" w:rsidP="00E12420">
      <w:pPr>
        <w:pStyle w:val="Level2"/>
        <w:rPr>
          <w:szCs w:val="20"/>
        </w:rPr>
      </w:pPr>
      <w:bookmarkStart w:id="139" w:name="a227058"/>
      <w:r w:rsidRPr="00C7122C">
        <w:rPr>
          <w:szCs w:val="20"/>
        </w:rPr>
        <w:t>In accordance with section 567(1) of the Act, sections 561 and 562 of the Act shall not apply to an allotment of equity securities (as defined in section 560(1) of the Act) made by the Company.</w:t>
      </w:r>
      <w:bookmarkEnd w:id="139"/>
    </w:p>
    <w:p w14:paraId="0B486263" w14:textId="01E99A50" w:rsidR="00900B09" w:rsidRPr="00C7122C" w:rsidRDefault="00E74B2E" w:rsidP="00E12420">
      <w:pPr>
        <w:pStyle w:val="Level2"/>
        <w:rPr>
          <w:szCs w:val="20"/>
        </w:rPr>
      </w:pPr>
      <w:bookmarkStart w:id="140" w:name="a647674"/>
      <w:r w:rsidRPr="00C7122C">
        <w:rPr>
          <w:szCs w:val="20"/>
        </w:rPr>
        <w:t>I</w:t>
      </w:r>
      <w:r w:rsidR="00A35BEC" w:rsidRPr="00C7122C">
        <w:rPr>
          <w:szCs w:val="20"/>
        </w:rPr>
        <w:t>f the Company proposes to allot any Relevant Securities</w:t>
      </w:r>
      <w:r w:rsidR="0047012C">
        <w:rPr>
          <w:szCs w:val="20"/>
        </w:rPr>
        <w:t xml:space="preserve"> (except pursuant to a Share Option Plan)</w:t>
      </w:r>
      <w:r w:rsidR="00A35BEC" w:rsidRPr="00C7122C">
        <w:rPr>
          <w:szCs w:val="20"/>
        </w:rPr>
        <w:t xml:space="preserve">, those Relevant Securities shall not be allotted to any person unless the Company has first offered them to the holders (on the date of the offer) of the </w:t>
      </w:r>
      <w:r w:rsidR="005035D9">
        <w:rPr>
          <w:szCs w:val="20"/>
        </w:rPr>
        <w:t xml:space="preserve">A </w:t>
      </w:r>
      <w:r w:rsidR="00092D22">
        <w:rPr>
          <w:szCs w:val="20"/>
        </w:rPr>
        <w:t>Shares</w:t>
      </w:r>
      <w:r w:rsidR="0047012C">
        <w:rPr>
          <w:szCs w:val="20"/>
        </w:rPr>
        <w:t xml:space="preserve"> </w:t>
      </w:r>
      <w:r w:rsidR="00A35BEC" w:rsidRPr="00C7122C">
        <w:rPr>
          <w:szCs w:val="20"/>
        </w:rPr>
        <w:t xml:space="preserve">(each an </w:t>
      </w:r>
      <w:r w:rsidR="00A35BEC" w:rsidRPr="00882D2C">
        <w:rPr>
          <w:b/>
          <w:bCs/>
          <w:szCs w:val="20"/>
        </w:rPr>
        <w:t>Offeree</w:t>
      </w:r>
      <w:r w:rsidR="00A35BEC" w:rsidRPr="00C7122C">
        <w:rPr>
          <w:szCs w:val="20"/>
        </w:rPr>
        <w:t xml:space="preserve">) on a </w:t>
      </w:r>
      <w:proofErr w:type="spellStart"/>
      <w:r w:rsidR="00A35BEC" w:rsidRPr="00C7122C">
        <w:rPr>
          <w:szCs w:val="20"/>
        </w:rPr>
        <w:t>pari</w:t>
      </w:r>
      <w:proofErr w:type="spellEnd"/>
      <w:r w:rsidR="00A35BEC" w:rsidRPr="00C7122C">
        <w:rPr>
          <w:szCs w:val="20"/>
        </w:rPr>
        <w:t xml:space="preserve"> passu basis and in the respective proportions that the number of </w:t>
      </w:r>
      <w:r w:rsidR="005035D9">
        <w:rPr>
          <w:szCs w:val="20"/>
        </w:rPr>
        <w:t xml:space="preserve">A </w:t>
      </w:r>
      <w:r w:rsidR="00092D22">
        <w:rPr>
          <w:szCs w:val="20"/>
        </w:rPr>
        <w:t>Shares</w:t>
      </w:r>
      <w:r w:rsidR="00A35BEC" w:rsidRPr="00C7122C">
        <w:rPr>
          <w:szCs w:val="20"/>
        </w:rPr>
        <w:t xml:space="preserve"> held by each such holder bears to the total number of</w:t>
      </w:r>
      <w:r w:rsidR="005035D9">
        <w:rPr>
          <w:szCs w:val="20"/>
        </w:rPr>
        <w:t xml:space="preserve"> A</w:t>
      </w:r>
      <w:r w:rsidR="00A35BEC" w:rsidRPr="00C7122C">
        <w:rPr>
          <w:szCs w:val="20"/>
        </w:rPr>
        <w:t xml:space="preserve"> </w:t>
      </w:r>
      <w:r w:rsidR="00092D22">
        <w:rPr>
          <w:szCs w:val="20"/>
        </w:rPr>
        <w:t>Shares</w:t>
      </w:r>
      <w:r w:rsidR="00A35BEC" w:rsidRPr="00C7122C">
        <w:rPr>
          <w:szCs w:val="20"/>
        </w:rPr>
        <w:t xml:space="preserve"> held by all such holders (as nearly as possible without involving fractions) and on the same terms, and at the same price, as those Relevant Securities are being, or are to be, offered to any other person.</w:t>
      </w:r>
      <w:bookmarkEnd w:id="140"/>
      <w:r w:rsidR="0047012C">
        <w:rPr>
          <w:szCs w:val="20"/>
        </w:rPr>
        <w:t xml:space="preserve"> None of the foregoing shall give a right to a holder of B Shares to be </w:t>
      </w:r>
      <w:r w:rsidR="0083653B">
        <w:rPr>
          <w:szCs w:val="20"/>
        </w:rPr>
        <w:t>offered subscription to A Shares unless the Directors determine otherwise.</w:t>
      </w:r>
    </w:p>
    <w:p w14:paraId="72F33592" w14:textId="5FBBFAD3" w:rsidR="00900B09" w:rsidRPr="00C7122C" w:rsidRDefault="00A35BEC" w:rsidP="00E12420">
      <w:pPr>
        <w:pStyle w:val="Level2"/>
        <w:rPr>
          <w:szCs w:val="20"/>
        </w:rPr>
      </w:pPr>
      <w:bookmarkStart w:id="141" w:name="a120245"/>
      <w:r w:rsidRPr="00C7122C">
        <w:rPr>
          <w:szCs w:val="20"/>
        </w:rPr>
        <w:t xml:space="preserve">An offer made under </w:t>
      </w:r>
      <w:r w:rsidR="00622048">
        <w:rPr>
          <w:szCs w:val="20"/>
        </w:rPr>
        <w:t>Article 13.4</w:t>
      </w:r>
      <w:r w:rsidRPr="00C7122C">
        <w:rPr>
          <w:szCs w:val="20"/>
        </w:rPr>
        <w:t xml:space="preserve"> shall:</w:t>
      </w:r>
      <w:bookmarkEnd w:id="141"/>
    </w:p>
    <w:p w14:paraId="775B186C" w14:textId="77777777" w:rsidR="00900B09" w:rsidRPr="00C7122C" w:rsidRDefault="00A35BEC" w:rsidP="00E12420">
      <w:pPr>
        <w:pStyle w:val="Level3"/>
        <w:rPr>
          <w:szCs w:val="20"/>
        </w:rPr>
      </w:pPr>
      <w:bookmarkStart w:id="142" w:name="a233694"/>
      <w:r w:rsidRPr="00C7122C">
        <w:rPr>
          <w:szCs w:val="20"/>
        </w:rPr>
        <w:t xml:space="preserve">be in writing and give details of the number, class and subscription price (including any share premium) of the Relevant Securities being </w:t>
      </w:r>
      <w:proofErr w:type="gramStart"/>
      <w:r w:rsidRPr="00C7122C">
        <w:rPr>
          <w:szCs w:val="20"/>
        </w:rPr>
        <w:t>offered;</w:t>
      </w:r>
      <w:bookmarkEnd w:id="142"/>
      <w:proofErr w:type="gramEnd"/>
    </w:p>
    <w:p w14:paraId="7CC4E722" w14:textId="22F9C1C6" w:rsidR="00900B09" w:rsidRPr="00C7122C" w:rsidRDefault="00A35BEC" w:rsidP="00E12420">
      <w:pPr>
        <w:pStyle w:val="Level3"/>
        <w:rPr>
          <w:szCs w:val="20"/>
        </w:rPr>
      </w:pPr>
      <w:bookmarkStart w:id="143" w:name="a158925"/>
      <w:r w:rsidRPr="00C7122C">
        <w:rPr>
          <w:szCs w:val="20"/>
        </w:rPr>
        <w:t>remain open for a period of at least</w:t>
      </w:r>
      <w:r w:rsidR="009B0CD8" w:rsidRPr="00C7122C">
        <w:rPr>
          <w:szCs w:val="20"/>
        </w:rPr>
        <w:t xml:space="preserve"> 30 </w:t>
      </w:r>
      <w:r w:rsidRPr="00C7122C">
        <w:rPr>
          <w:szCs w:val="20"/>
        </w:rPr>
        <w:t>Business Days from the date of service of the offer; and</w:t>
      </w:r>
      <w:bookmarkEnd w:id="143"/>
    </w:p>
    <w:p w14:paraId="28E405F4" w14:textId="16D88035" w:rsidR="00900B09" w:rsidRPr="00C7122C" w:rsidRDefault="00A35BEC" w:rsidP="00E12420">
      <w:pPr>
        <w:pStyle w:val="Level3"/>
        <w:rPr>
          <w:szCs w:val="20"/>
        </w:rPr>
      </w:pPr>
      <w:bookmarkStart w:id="144" w:name="a196282"/>
      <w:r w:rsidRPr="00C7122C">
        <w:rPr>
          <w:szCs w:val="20"/>
        </w:rPr>
        <w:t xml:space="preserve">stipulate that any Offeree who wishes to subscribe for </w:t>
      </w:r>
      <w:proofErr w:type="gramStart"/>
      <w:r w:rsidRPr="00C7122C">
        <w:rPr>
          <w:szCs w:val="20"/>
        </w:rPr>
        <w:t>a number of</w:t>
      </w:r>
      <w:proofErr w:type="gramEnd"/>
      <w:r w:rsidRPr="00C7122C">
        <w:rPr>
          <w:szCs w:val="20"/>
        </w:rPr>
        <w:t xml:space="preserve"> Relevant Securities in excess of the number to which they are entitled under </w:t>
      </w:r>
      <w:r w:rsidR="00622048">
        <w:rPr>
          <w:szCs w:val="20"/>
        </w:rPr>
        <w:t>Article 13.4</w:t>
      </w:r>
      <w:r w:rsidRPr="00C7122C">
        <w:rPr>
          <w:szCs w:val="20"/>
        </w:rPr>
        <w:t xml:space="preserve"> shall, in their acceptance, state the number of excess Relevant Securities (</w:t>
      </w:r>
      <w:r w:rsidRPr="00C7122C">
        <w:rPr>
          <w:b/>
          <w:szCs w:val="20"/>
        </w:rPr>
        <w:t>Excess Securities</w:t>
      </w:r>
      <w:r w:rsidRPr="00C7122C">
        <w:rPr>
          <w:szCs w:val="20"/>
        </w:rPr>
        <w:t>) for which they wish to subscribe.</w:t>
      </w:r>
      <w:bookmarkEnd w:id="144"/>
    </w:p>
    <w:p w14:paraId="4EC52C32" w14:textId="56734520" w:rsidR="00900B09" w:rsidRPr="00C7122C" w:rsidRDefault="00A35BEC" w:rsidP="00E12420">
      <w:pPr>
        <w:pStyle w:val="Level2"/>
        <w:rPr>
          <w:szCs w:val="20"/>
        </w:rPr>
      </w:pPr>
      <w:bookmarkStart w:id="145" w:name="a257779"/>
      <w:r w:rsidRPr="00C7122C">
        <w:rPr>
          <w:szCs w:val="20"/>
        </w:rPr>
        <w:t xml:space="preserve">If, on the expiry of an offer made in accordance with </w:t>
      </w:r>
      <w:r w:rsidR="00622048">
        <w:rPr>
          <w:szCs w:val="20"/>
        </w:rPr>
        <w:t>Article 13.4</w:t>
      </w:r>
      <w:r w:rsidRPr="00C7122C">
        <w:rPr>
          <w:szCs w:val="20"/>
        </w:rPr>
        <w:t>, the total number of Relevant Securities applied for is less than the total number of Relevant Securities so offered, the Directors shall allot the Relevant Securities to the Offerees in accordance with their applications, subject to a maximum of each Offeree's proportionate entitlement.</w:t>
      </w:r>
      <w:bookmarkEnd w:id="145"/>
    </w:p>
    <w:p w14:paraId="7D3D49BC" w14:textId="25245CA2" w:rsidR="00900B09" w:rsidRPr="00C7122C" w:rsidRDefault="00A35BEC" w:rsidP="00E12420">
      <w:pPr>
        <w:pStyle w:val="Level2"/>
        <w:rPr>
          <w:szCs w:val="20"/>
        </w:rPr>
      </w:pPr>
      <w:bookmarkStart w:id="146" w:name="a542129"/>
      <w:r w:rsidRPr="00C7122C">
        <w:rPr>
          <w:szCs w:val="20"/>
        </w:rPr>
        <w:t xml:space="preserve">Any Relevant Securities not accepted by Offerees pursuant to an offer made in accordance with </w:t>
      </w:r>
      <w:r w:rsidR="00822E93">
        <w:rPr>
          <w:szCs w:val="20"/>
        </w:rPr>
        <w:t>Article 13.4</w:t>
      </w:r>
      <w:r w:rsidRPr="00C7122C">
        <w:rPr>
          <w:szCs w:val="20"/>
        </w:rPr>
        <w:t xml:space="preserve"> shall be used to satisfy any requests for Excess Securities made pursuant to </w:t>
      </w:r>
      <w:r w:rsidR="00822E93">
        <w:rPr>
          <w:szCs w:val="20"/>
        </w:rPr>
        <w:t>Article 13.5.3</w:t>
      </w:r>
      <w:r w:rsidRPr="00C7122C">
        <w:rPr>
          <w:szCs w:val="20"/>
        </w:rPr>
        <w:t xml:space="preserve">. If there are insufficient Excess Securities to satisfy such requests, the Excess Securities </w:t>
      </w:r>
      <w:r w:rsidRPr="00C7122C">
        <w:rPr>
          <w:szCs w:val="20"/>
        </w:rPr>
        <w:lastRenderedPageBreak/>
        <w:t xml:space="preserve">shall be allotted to the applicants in the respective proportions that the number of </w:t>
      </w:r>
      <w:r w:rsidR="005035D9">
        <w:rPr>
          <w:szCs w:val="20"/>
        </w:rPr>
        <w:t xml:space="preserve">A </w:t>
      </w:r>
      <w:r w:rsidR="00092D22">
        <w:rPr>
          <w:szCs w:val="20"/>
        </w:rPr>
        <w:t>Shares</w:t>
      </w:r>
      <w:r w:rsidRPr="00C7122C">
        <w:rPr>
          <w:szCs w:val="20"/>
        </w:rPr>
        <w:t xml:space="preserve"> held by each such applicant bears to the total number of such </w:t>
      </w:r>
      <w:r w:rsidR="005035D9">
        <w:rPr>
          <w:szCs w:val="20"/>
        </w:rPr>
        <w:t xml:space="preserve">A </w:t>
      </w:r>
      <w:r w:rsidR="00092D22">
        <w:rPr>
          <w:szCs w:val="20"/>
        </w:rPr>
        <w:t>Shares</w:t>
      </w:r>
      <w:r w:rsidRPr="00C7122C">
        <w:rPr>
          <w:szCs w:val="20"/>
        </w:rPr>
        <w:t xml:space="preserve"> held by all applicants (as nearly as possible without involving fractions or increasing the number of Excess Securities allotted to any Shareholder beyond that applied for by them).</w:t>
      </w:r>
      <w:bookmarkEnd w:id="146"/>
    </w:p>
    <w:p w14:paraId="201093B7" w14:textId="1174F3C9" w:rsidR="00900B09" w:rsidRPr="00C7122C" w:rsidRDefault="00A35BEC" w:rsidP="00E12420">
      <w:pPr>
        <w:pStyle w:val="Level2"/>
        <w:rPr>
          <w:szCs w:val="20"/>
        </w:rPr>
      </w:pPr>
      <w:r w:rsidRPr="00C7122C">
        <w:rPr>
          <w:szCs w:val="20"/>
        </w:rPr>
        <w:fldChar w:fldCharType="begin"/>
      </w:r>
      <w:r w:rsidRPr="00C7122C">
        <w:rPr>
          <w:szCs w:val="20"/>
        </w:rPr>
        <w:fldChar w:fldCharType="end"/>
      </w:r>
      <w:bookmarkStart w:id="147" w:name="a982655"/>
      <w:r w:rsidRPr="00C7122C">
        <w:rPr>
          <w:szCs w:val="20"/>
        </w:rPr>
        <w:t xml:space="preserve">If, after completion of the allotments referred to in </w:t>
      </w:r>
      <w:r w:rsidR="00D728CD">
        <w:rPr>
          <w:szCs w:val="20"/>
        </w:rPr>
        <w:t>A</w:t>
      </w:r>
      <w:r w:rsidR="00691A23" w:rsidRPr="00C7122C">
        <w:rPr>
          <w:szCs w:val="20"/>
        </w:rPr>
        <w:t>rticl</w:t>
      </w:r>
      <w:r w:rsidR="00822E93">
        <w:rPr>
          <w:szCs w:val="20"/>
        </w:rPr>
        <w:t>e 13.6</w:t>
      </w:r>
      <w:r w:rsidRPr="00C7122C">
        <w:rPr>
          <w:szCs w:val="20"/>
        </w:rPr>
        <w:t xml:space="preserve"> and </w:t>
      </w:r>
      <w:r w:rsidR="00D728CD">
        <w:rPr>
          <w:szCs w:val="20"/>
        </w:rPr>
        <w:t>A</w:t>
      </w:r>
      <w:r w:rsidR="00691A23" w:rsidRPr="00C7122C">
        <w:rPr>
          <w:szCs w:val="20"/>
        </w:rPr>
        <w:t>rticle</w:t>
      </w:r>
      <w:r w:rsidR="00822E93">
        <w:rPr>
          <w:szCs w:val="20"/>
        </w:rPr>
        <w:t xml:space="preserve"> 13.7</w:t>
      </w:r>
      <w:r w:rsidRPr="00C7122C">
        <w:rPr>
          <w:szCs w:val="20"/>
        </w:rPr>
        <w:t xml:space="preserve">, not </w:t>
      </w:r>
      <w:proofErr w:type="gramStart"/>
      <w:r w:rsidRPr="00C7122C">
        <w:rPr>
          <w:szCs w:val="20"/>
        </w:rPr>
        <w:t>all of</w:t>
      </w:r>
      <w:proofErr w:type="gramEnd"/>
      <w:r w:rsidRPr="00C7122C">
        <w:rPr>
          <w:szCs w:val="20"/>
        </w:rPr>
        <w:t xml:space="preserve"> the Relevant Securities have been allotted, the balance of such Relevant Securities shall</w:t>
      </w:r>
      <w:r w:rsidR="007C0587">
        <w:rPr>
          <w:szCs w:val="20"/>
        </w:rPr>
        <w:t xml:space="preserve"> </w:t>
      </w:r>
      <w:r w:rsidRPr="00C7122C">
        <w:rPr>
          <w:szCs w:val="20"/>
        </w:rPr>
        <w:t>be offered to any other person(s) as the Directors may, determine, at the same price and on the same terms as the offer to the Shareholders.</w:t>
      </w:r>
      <w:bookmarkEnd w:id="147"/>
    </w:p>
    <w:p w14:paraId="070572DB" w14:textId="5F7BC113" w:rsidR="00900B09" w:rsidRPr="00C7122C" w:rsidRDefault="00A35BEC" w:rsidP="00E12420">
      <w:pPr>
        <w:pStyle w:val="Level1"/>
        <w:rPr>
          <w:sz w:val="20"/>
          <w:szCs w:val="20"/>
        </w:rPr>
      </w:pPr>
      <w:bookmarkStart w:id="148" w:name="_Toc256000016"/>
      <w:bookmarkStart w:id="149" w:name="a977232"/>
      <w:bookmarkStart w:id="150" w:name="_Toc149833882"/>
      <w:r w:rsidRPr="00C7122C">
        <w:rPr>
          <w:sz w:val="20"/>
          <w:szCs w:val="20"/>
        </w:rPr>
        <w:t>Transfers of shares: general</w:t>
      </w:r>
      <w:bookmarkEnd w:id="148"/>
      <w:bookmarkEnd w:id="149"/>
      <w:bookmarkEnd w:id="150"/>
    </w:p>
    <w:p w14:paraId="7713F7F3" w14:textId="156BD0E1" w:rsidR="00900B09" w:rsidRDefault="00A35BEC" w:rsidP="00E12420">
      <w:pPr>
        <w:pStyle w:val="Level2"/>
        <w:rPr>
          <w:szCs w:val="20"/>
        </w:rPr>
      </w:pPr>
      <w:bookmarkStart w:id="151" w:name="a353911"/>
      <w:r w:rsidRPr="00C7122C">
        <w:rPr>
          <w:szCs w:val="20"/>
        </w:rPr>
        <w:t xml:space="preserve">In these Articles, reference to the </w:t>
      </w:r>
      <w:r w:rsidR="0083653B">
        <w:rPr>
          <w:szCs w:val="20"/>
        </w:rPr>
        <w:t>T</w:t>
      </w:r>
      <w:r w:rsidRPr="00C7122C">
        <w:rPr>
          <w:szCs w:val="20"/>
        </w:rPr>
        <w:t xml:space="preserve">ransfer of a Share includes the </w:t>
      </w:r>
      <w:r w:rsidR="0083653B">
        <w:rPr>
          <w:szCs w:val="20"/>
        </w:rPr>
        <w:t>T</w:t>
      </w:r>
      <w:r w:rsidRPr="00C7122C">
        <w:rPr>
          <w:szCs w:val="20"/>
        </w:rPr>
        <w:t xml:space="preserve">ransfer, </w:t>
      </w:r>
      <w:proofErr w:type="gramStart"/>
      <w:r w:rsidRPr="00C7122C">
        <w:rPr>
          <w:szCs w:val="20"/>
        </w:rPr>
        <w:t>assignment</w:t>
      </w:r>
      <w:proofErr w:type="gramEnd"/>
      <w:r w:rsidRPr="00C7122C">
        <w:rPr>
          <w:szCs w:val="20"/>
        </w:rPr>
        <w:t xml:space="preserve"> or other disposal of a beneficial or other interest in that Share, or the creation of a trust or encumbrance over that Share, and reference to a Share includes a beneficial or other interest in a Share.</w:t>
      </w:r>
      <w:bookmarkEnd w:id="151"/>
    </w:p>
    <w:p w14:paraId="1EF9D93D" w14:textId="078BB96A" w:rsidR="0083653B" w:rsidRDefault="00577AF3" w:rsidP="00E12420">
      <w:pPr>
        <w:pStyle w:val="Level2"/>
        <w:rPr>
          <w:szCs w:val="20"/>
        </w:rPr>
      </w:pPr>
      <w:bookmarkStart w:id="152" w:name="_Ref158033445"/>
      <w:r>
        <w:rPr>
          <w:szCs w:val="20"/>
        </w:rPr>
        <w:t xml:space="preserve">Article 15 </w:t>
      </w:r>
      <w:r w:rsidR="0083653B">
        <w:rPr>
          <w:szCs w:val="20"/>
        </w:rPr>
        <w:t>shall not apply to a Permitted Transfer, which for such purposes shall mean any Transfer of a Share as follows:</w:t>
      </w:r>
      <w:bookmarkEnd w:id="152"/>
    </w:p>
    <w:p w14:paraId="500A302F" w14:textId="77777777" w:rsidR="0083653B" w:rsidRPr="00181D75" w:rsidRDefault="0083653B" w:rsidP="0083653B">
      <w:pPr>
        <w:pStyle w:val="Heading4"/>
        <w:widowControl w:val="0"/>
        <w:numPr>
          <w:ilvl w:val="3"/>
          <w:numId w:val="33"/>
        </w:numPr>
        <w:tabs>
          <w:tab w:val="num" w:pos="360"/>
          <w:tab w:val="left" w:pos="720"/>
          <w:tab w:val="num" w:pos="2880"/>
        </w:tabs>
        <w:autoSpaceDE w:val="0"/>
        <w:autoSpaceDN w:val="0"/>
        <w:adjustRightInd w:val="0"/>
        <w:ind w:left="1418" w:hanging="709"/>
        <w:rPr>
          <w:rFonts w:ascii="Arial" w:eastAsia="SimSun" w:hAnsi="Arial" w:cs="Arial"/>
          <w:b w:val="0"/>
          <w:bCs w:val="0"/>
          <w:i w:val="0"/>
          <w:iCs w:val="0"/>
          <w:sz w:val="20"/>
        </w:rPr>
      </w:pPr>
      <w:bookmarkStart w:id="153" w:name="_DV_M227"/>
      <w:bookmarkEnd w:id="153"/>
      <w:r w:rsidRPr="00181D75">
        <w:rPr>
          <w:rFonts w:ascii="Arial" w:eastAsia="SimSun" w:hAnsi="Arial" w:cs="Arial"/>
          <w:b w:val="0"/>
          <w:bCs w:val="0"/>
          <w:i w:val="0"/>
          <w:iCs w:val="0"/>
          <w:sz w:val="20"/>
        </w:rPr>
        <w:t xml:space="preserve">Transfers of A Shares between the holders of the A </w:t>
      </w:r>
      <w:proofErr w:type="gramStart"/>
      <w:r w:rsidRPr="00181D75">
        <w:rPr>
          <w:rFonts w:ascii="Arial" w:eastAsia="SimSun" w:hAnsi="Arial" w:cs="Arial"/>
          <w:b w:val="0"/>
          <w:bCs w:val="0"/>
          <w:i w:val="0"/>
          <w:iCs w:val="0"/>
          <w:sz w:val="20"/>
        </w:rPr>
        <w:t>Shares;</w:t>
      </w:r>
      <w:proofErr w:type="gramEnd"/>
    </w:p>
    <w:p w14:paraId="31E767A6" w14:textId="77777777" w:rsidR="0083653B" w:rsidRPr="00181D75" w:rsidRDefault="0083653B" w:rsidP="0083653B">
      <w:pPr>
        <w:pStyle w:val="Heading4"/>
        <w:widowControl w:val="0"/>
        <w:numPr>
          <w:ilvl w:val="3"/>
          <w:numId w:val="33"/>
        </w:numPr>
        <w:tabs>
          <w:tab w:val="num" w:pos="360"/>
          <w:tab w:val="left" w:pos="720"/>
          <w:tab w:val="num" w:pos="2880"/>
        </w:tabs>
        <w:autoSpaceDE w:val="0"/>
        <w:autoSpaceDN w:val="0"/>
        <w:adjustRightInd w:val="0"/>
        <w:ind w:left="1418" w:hanging="709"/>
        <w:rPr>
          <w:rFonts w:ascii="Arial" w:eastAsia="SimSun" w:hAnsi="Arial" w:cs="Arial"/>
          <w:b w:val="0"/>
          <w:bCs w:val="0"/>
          <w:i w:val="0"/>
          <w:iCs w:val="0"/>
          <w:sz w:val="20"/>
        </w:rPr>
      </w:pPr>
      <w:r w:rsidRPr="00181D75">
        <w:rPr>
          <w:rFonts w:ascii="Arial" w:eastAsia="SimSun" w:hAnsi="Arial" w:cs="Arial"/>
          <w:b w:val="0"/>
          <w:bCs w:val="0"/>
          <w:i w:val="0"/>
          <w:iCs w:val="0"/>
          <w:sz w:val="20"/>
        </w:rPr>
        <w:t xml:space="preserve">Transfers of A Shares made pursuant to Family </w:t>
      </w:r>
      <w:proofErr w:type="gramStart"/>
      <w:r w:rsidRPr="00181D75">
        <w:rPr>
          <w:rFonts w:ascii="Arial" w:eastAsia="SimSun" w:hAnsi="Arial" w:cs="Arial"/>
          <w:b w:val="0"/>
          <w:bCs w:val="0"/>
          <w:i w:val="0"/>
          <w:iCs w:val="0"/>
          <w:sz w:val="20"/>
        </w:rPr>
        <w:t>Trusts;</w:t>
      </w:r>
      <w:proofErr w:type="gramEnd"/>
    </w:p>
    <w:p w14:paraId="1580065A" w14:textId="77777777" w:rsidR="0083653B" w:rsidRPr="00181D75" w:rsidRDefault="0083653B" w:rsidP="0083653B">
      <w:pPr>
        <w:pStyle w:val="Heading4"/>
        <w:widowControl w:val="0"/>
        <w:numPr>
          <w:ilvl w:val="3"/>
          <w:numId w:val="33"/>
        </w:numPr>
        <w:tabs>
          <w:tab w:val="num" w:pos="360"/>
          <w:tab w:val="left" w:pos="720"/>
          <w:tab w:val="num" w:pos="2880"/>
        </w:tabs>
        <w:autoSpaceDE w:val="0"/>
        <w:autoSpaceDN w:val="0"/>
        <w:adjustRightInd w:val="0"/>
        <w:ind w:left="1418" w:hanging="709"/>
        <w:rPr>
          <w:rFonts w:ascii="Arial" w:eastAsia="SimSun" w:hAnsi="Arial" w:cs="Arial"/>
          <w:b w:val="0"/>
          <w:bCs w:val="0"/>
          <w:i w:val="0"/>
          <w:iCs w:val="0"/>
          <w:sz w:val="20"/>
        </w:rPr>
      </w:pPr>
      <w:bookmarkStart w:id="154" w:name="_DV_M228"/>
      <w:bookmarkEnd w:id="154"/>
      <w:r w:rsidRPr="00181D75">
        <w:rPr>
          <w:rFonts w:ascii="Arial" w:eastAsia="SimSun" w:hAnsi="Arial" w:cs="Arial"/>
          <w:b w:val="0"/>
          <w:bCs w:val="0"/>
          <w:i w:val="0"/>
          <w:iCs w:val="0"/>
          <w:sz w:val="20"/>
        </w:rPr>
        <w:t>Transfers pursuant to conversion of B Shares into Deferred Shares.</w:t>
      </w:r>
      <w:bookmarkStart w:id="155" w:name="_DV_M229"/>
      <w:bookmarkStart w:id="156" w:name="_DV_M230"/>
      <w:bookmarkEnd w:id="155"/>
      <w:bookmarkEnd w:id="156"/>
    </w:p>
    <w:p w14:paraId="0D46C545" w14:textId="77777777" w:rsidR="0083653B" w:rsidRPr="00C7122C" w:rsidRDefault="0083653B" w:rsidP="00181D75">
      <w:pPr>
        <w:pStyle w:val="Level2"/>
        <w:numPr>
          <w:ilvl w:val="0"/>
          <w:numId w:val="0"/>
        </w:numPr>
        <w:ind w:left="680"/>
        <w:rPr>
          <w:szCs w:val="20"/>
        </w:rPr>
      </w:pPr>
    </w:p>
    <w:p w14:paraId="541C0E8D" w14:textId="07DE570E" w:rsidR="00900B09" w:rsidRPr="00C7122C" w:rsidRDefault="00A35BEC" w:rsidP="00E12420">
      <w:pPr>
        <w:pStyle w:val="Level2"/>
        <w:rPr>
          <w:szCs w:val="20"/>
        </w:rPr>
      </w:pPr>
      <w:bookmarkStart w:id="157" w:name="a253734"/>
      <w:r w:rsidRPr="00C7122C">
        <w:rPr>
          <w:szCs w:val="20"/>
        </w:rPr>
        <w:t>No Share shall be transferred, and the Directors shall refuse to register a transfer of any Share, unless it is made in accordance with these Articles. Subject to</w:t>
      </w:r>
      <w:r w:rsidR="00822E93">
        <w:rPr>
          <w:szCs w:val="20"/>
        </w:rPr>
        <w:t xml:space="preserve"> Article 14.4.</w:t>
      </w:r>
      <w:r w:rsidRPr="00C7122C">
        <w:rPr>
          <w:szCs w:val="20"/>
        </w:rPr>
        <w:t>, the Directors shall register any duly stamped transfer made in accordance with these Articles, unless they suspect that the proposed transfer may be fraudulent.</w:t>
      </w:r>
      <w:bookmarkEnd w:id="157"/>
    </w:p>
    <w:p w14:paraId="53671901" w14:textId="5BB3A277" w:rsidR="00900B09" w:rsidRPr="00C7122C" w:rsidRDefault="00A35BEC" w:rsidP="00E12420">
      <w:pPr>
        <w:pStyle w:val="Level2"/>
        <w:rPr>
          <w:szCs w:val="20"/>
        </w:rPr>
      </w:pPr>
      <w:bookmarkStart w:id="158" w:name="a482087"/>
      <w:r w:rsidRPr="00C7122C">
        <w:rPr>
          <w:szCs w:val="20"/>
        </w:rPr>
        <w:t xml:space="preserve">If a Shareholder transfers (or purports to transfer) a Share other than in accordance with these Articles, they shall be deemed to have immediately served a </w:t>
      </w:r>
      <w:r w:rsidR="00D74A87" w:rsidRPr="00C7122C">
        <w:rPr>
          <w:szCs w:val="20"/>
        </w:rPr>
        <w:t>Sale</w:t>
      </w:r>
      <w:r w:rsidRPr="00C7122C">
        <w:rPr>
          <w:szCs w:val="20"/>
        </w:rPr>
        <w:t xml:space="preserve"> Notice in respect of all Shares held by them.</w:t>
      </w:r>
      <w:bookmarkEnd w:id="158"/>
    </w:p>
    <w:bookmarkStart w:id="159" w:name="a926657"/>
    <w:p w14:paraId="5869C710" w14:textId="098904B8" w:rsidR="006661A3" w:rsidRPr="00C7122C" w:rsidRDefault="006661A3" w:rsidP="006661A3">
      <w:pPr>
        <w:pStyle w:val="Level2"/>
        <w:rPr>
          <w:szCs w:val="20"/>
        </w:rPr>
      </w:pPr>
      <w:r w:rsidRPr="00C7122C">
        <w:rPr>
          <w:szCs w:val="20"/>
        </w:rPr>
        <w:fldChar w:fldCharType="begin"/>
      </w:r>
      <w:r w:rsidRPr="00C7122C">
        <w:rPr>
          <w:szCs w:val="20"/>
        </w:rPr>
        <w:fldChar w:fldCharType="end"/>
      </w:r>
      <w:bookmarkStart w:id="160" w:name="a129603"/>
      <w:r w:rsidRPr="00C7122C">
        <w:rPr>
          <w:szCs w:val="20"/>
        </w:rPr>
        <w:t>Any transfer of a Share by way of sale which is required to be made under</w:t>
      </w:r>
      <w:r w:rsidR="00822E93">
        <w:rPr>
          <w:szCs w:val="20"/>
        </w:rPr>
        <w:t xml:space="preserve"> Article 17</w:t>
      </w:r>
      <w:r w:rsidR="00D728CD">
        <w:rPr>
          <w:szCs w:val="20"/>
        </w:rPr>
        <w:t xml:space="preserve"> </w:t>
      </w:r>
      <w:r w:rsidR="00882D2C">
        <w:rPr>
          <w:szCs w:val="20"/>
        </w:rPr>
        <w:t>(Compulsory Transfer)</w:t>
      </w:r>
      <w:r w:rsidRPr="00C7122C">
        <w:rPr>
          <w:szCs w:val="20"/>
        </w:rPr>
        <w:t xml:space="preserve">, or </w:t>
      </w:r>
      <w:r w:rsidR="00822E93">
        <w:rPr>
          <w:szCs w:val="20"/>
        </w:rPr>
        <w:t>Article 19</w:t>
      </w:r>
      <w:r w:rsidRPr="00C7122C">
        <w:rPr>
          <w:szCs w:val="20"/>
        </w:rPr>
        <w:t xml:space="preserve"> </w:t>
      </w:r>
      <w:r w:rsidR="00882D2C">
        <w:rPr>
          <w:szCs w:val="20"/>
        </w:rPr>
        <w:t xml:space="preserve">(Drag Along) </w:t>
      </w:r>
      <w:r w:rsidRPr="00C7122C">
        <w:rPr>
          <w:szCs w:val="20"/>
        </w:rPr>
        <w:t>shall be deemed to include a warranty that the Seller sells the Share with full title guarantee.</w:t>
      </w:r>
      <w:bookmarkEnd w:id="160"/>
    </w:p>
    <w:p w14:paraId="1D719AD9" w14:textId="13F729D8" w:rsidR="00900B09" w:rsidRPr="00C7122C" w:rsidRDefault="00A35BEC" w:rsidP="00E12420">
      <w:pPr>
        <w:pStyle w:val="Level2"/>
        <w:rPr>
          <w:szCs w:val="20"/>
        </w:rPr>
      </w:pPr>
      <w:bookmarkStart w:id="161" w:name="_Ref142318831"/>
      <w:r w:rsidRPr="00C7122C">
        <w:rPr>
          <w:szCs w:val="20"/>
        </w:rPr>
        <w:t xml:space="preserve">The Directors may, as a condition to the registration of any transfer of Shares, require the transferee to execute and deliver to the Company a deed, in favour of the Company agreeing to be bound by the terms of any shareholders' agreement (or similar document) in force between any of the Shareholders and the Company, in such form as the Directors may reasonably require (but not so as to oblige the transferee to have any obligations or liabilities greater than those of the proposed transferor). If any condition is imposed in accordance with this </w:t>
      </w:r>
      <w:r w:rsidR="00822E93">
        <w:rPr>
          <w:szCs w:val="20"/>
        </w:rPr>
        <w:t>Article 14.5</w:t>
      </w:r>
      <w:r w:rsidRPr="00C7122C">
        <w:rPr>
          <w:szCs w:val="20"/>
        </w:rPr>
        <w:t>, the transfer may not be registered unless and until that deed has been executed and delivered to the Company's registered office by the transferee.</w:t>
      </w:r>
      <w:bookmarkEnd w:id="159"/>
      <w:bookmarkEnd w:id="161"/>
    </w:p>
    <w:p w14:paraId="2A4E4668" w14:textId="3CF9E8C1" w:rsidR="00900B09" w:rsidRPr="00C7122C" w:rsidRDefault="00A35BEC" w:rsidP="00E12420">
      <w:pPr>
        <w:pStyle w:val="Level2"/>
        <w:rPr>
          <w:szCs w:val="20"/>
        </w:rPr>
      </w:pPr>
      <w:bookmarkStart w:id="162" w:name="a719667"/>
      <w:r w:rsidRPr="00C7122C">
        <w:rPr>
          <w:szCs w:val="20"/>
        </w:rPr>
        <w:t xml:space="preserve">To enable the Directors to determine </w:t>
      </w:r>
      <w:proofErr w:type="gramStart"/>
      <w:r w:rsidRPr="00C7122C">
        <w:rPr>
          <w:szCs w:val="20"/>
        </w:rPr>
        <w:t>whether or not</w:t>
      </w:r>
      <w:proofErr w:type="gramEnd"/>
      <w:r w:rsidRPr="00C7122C">
        <w:rPr>
          <w:szCs w:val="20"/>
        </w:rPr>
        <w:t xml:space="preserve"> there has been any transfer (or purported transfer) of Shares the Directors may require: </w:t>
      </w:r>
      <w:bookmarkEnd w:id="162"/>
    </w:p>
    <w:p w14:paraId="17EFD9E0" w14:textId="36A92448" w:rsidR="00900B09" w:rsidRPr="00C7122C" w:rsidRDefault="00A35BEC" w:rsidP="00E12420">
      <w:pPr>
        <w:pStyle w:val="Level3"/>
        <w:rPr>
          <w:szCs w:val="20"/>
        </w:rPr>
      </w:pPr>
      <w:bookmarkStart w:id="163" w:name="a687623"/>
      <w:r w:rsidRPr="00C7122C">
        <w:rPr>
          <w:szCs w:val="20"/>
        </w:rPr>
        <w:t>any holder (or the legal representatives of a deceased holder</w:t>
      </w:r>
      <w:proofErr w:type="gramStart"/>
      <w:r w:rsidRPr="00C7122C">
        <w:rPr>
          <w:szCs w:val="20"/>
        </w:rPr>
        <w:t>);</w:t>
      </w:r>
      <w:proofErr w:type="gramEnd"/>
      <w:r w:rsidRPr="00C7122C">
        <w:rPr>
          <w:szCs w:val="20"/>
        </w:rPr>
        <w:t xml:space="preserve"> </w:t>
      </w:r>
      <w:bookmarkEnd w:id="163"/>
    </w:p>
    <w:p w14:paraId="678634E6" w14:textId="25809378" w:rsidR="00900B09" w:rsidRPr="00C7122C" w:rsidRDefault="00A35BEC" w:rsidP="00E12420">
      <w:pPr>
        <w:pStyle w:val="Level3"/>
        <w:rPr>
          <w:szCs w:val="20"/>
        </w:rPr>
      </w:pPr>
      <w:bookmarkStart w:id="164" w:name="a783755"/>
      <w:r w:rsidRPr="00C7122C">
        <w:rPr>
          <w:szCs w:val="20"/>
        </w:rPr>
        <w:lastRenderedPageBreak/>
        <w:t xml:space="preserve">any person named as a transferee in a transfer lodged for registration; or </w:t>
      </w:r>
      <w:bookmarkEnd w:id="164"/>
    </w:p>
    <w:p w14:paraId="22A8432F" w14:textId="5A6303FC" w:rsidR="00900B09" w:rsidRPr="00C7122C" w:rsidRDefault="00A35BEC" w:rsidP="00E12420">
      <w:pPr>
        <w:pStyle w:val="Level3"/>
        <w:rPr>
          <w:szCs w:val="20"/>
        </w:rPr>
      </w:pPr>
      <w:bookmarkStart w:id="165" w:name="a495359"/>
      <w:r w:rsidRPr="00C7122C">
        <w:rPr>
          <w:szCs w:val="20"/>
        </w:rPr>
        <w:t>such other person as the Directors may reasonably believe to have information relevant to that purpose,</w:t>
      </w:r>
      <w:bookmarkEnd w:id="165"/>
    </w:p>
    <w:p w14:paraId="2C261D92" w14:textId="77777777" w:rsidR="00900B09" w:rsidRPr="00C7122C" w:rsidRDefault="00A35BEC" w:rsidP="00911869">
      <w:pPr>
        <w:pStyle w:val="Body2"/>
        <w:rPr>
          <w:szCs w:val="20"/>
        </w:rPr>
      </w:pPr>
      <w:r w:rsidRPr="00C7122C">
        <w:rPr>
          <w:szCs w:val="20"/>
        </w:rPr>
        <w:t>to provide the Company with any information and evidence that the Directors think fit regarding any matter which they deem relevant to that purpose.</w:t>
      </w:r>
    </w:p>
    <w:p w14:paraId="7E9186C7" w14:textId="77777777" w:rsidR="006661A3" w:rsidRPr="00C7122C" w:rsidRDefault="006661A3" w:rsidP="006661A3">
      <w:pPr>
        <w:pStyle w:val="Level2"/>
        <w:rPr>
          <w:szCs w:val="20"/>
        </w:rPr>
      </w:pPr>
      <w:bookmarkStart w:id="166" w:name="a653808"/>
      <w:r w:rsidRPr="00C7122C">
        <w:rPr>
          <w:szCs w:val="20"/>
        </w:rPr>
        <w:t>Unless expressly provided otherwise in these Articles, if a Sale Notice is deemed to have been given under these Articles, the Deemed Sale Notice shall be treated as having specified that</w:t>
      </w:r>
      <w:bookmarkStart w:id="167" w:name="a165244"/>
      <w:bookmarkEnd w:id="166"/>
      <w:r w:rsidRPr="00C7122C">
        <w:rPr>
          <w:szCs w:val="20"/>
        </w:rPr>
        <w:t xml:space="preserve"> the Seller wishes to transfer all the Shares held by them (including any Shares acquired after the date the relevant Sale Notice is deemed given but before completion of the transfer of Shares pursuant to the relevant Sale Notice).</w:t>
      </w:r>
      <w:bookmarkEnd w:id="167"/>
    </w:p>
    <w:p w14:paraId="2FEC6D17" w14:textId="0AEFAA0E" w:rsidR="006661A3" w:rsidRPr="003C373E" w:rsidRDefault="006661A3" w:rsidP="006661A3">
      <w:pPr>
        <w:pStyle w:val="Level2"/>
        <w:rPr>
          <w:szCs w:val="20"/>
        </w:rPr>
      </w:pPr>
      <w:bookmarkStart w:id="168" w:name="a125468"/>
      <w:r w:rsidRPr="00C7122C">
        <w:rPr>
          <w:szCs w:val="20"/>
        </w:rPr>
        <w:t xml:space="preserve">Any Sale Notice (but not an Offer Notice (as defined in </w:t>
      </w:r>
      <w:r w:rsidR="00822E93">
        <w:rPr>
          <w:szCs w:val="20"/>
        </w:rPr>
        <w:t>Article 18.3</w:t>
      </w:r>
      <w:r w:rsidRPr="00C7122C">
        <w:rPr>
          <w:szCs w:val="20"/>
        </w:rPr>
        <w:t xml:space="preserve">) or a Drag Along Notice (as defined in </w:t>
      </w:r>
      <w:r w:rsidR="00822E93">
        <w:rPr>
          <w:szCs w:val="20"/>
        </w:rPr>
        <w:t>Article 19.2</w:t>
      </w:r>
      <w:r w:rsidRPr="00C7122C">
        <w:rPr>
          <w:szCs w:val="20"/>
        </w:rPr>
        <w:t xml:space="preserve">) served in respect of the transfer of any Share which has not completed before the date of service of a Deemed Sale Notice shall automatically be revoked by the service </w:t>
      </w:r>
      <w:r w:rsidRPr="003C373E">
        <w:rPr>
          <w:szCs w:val="20"/>
        </w:rPr>
        <w:t>of a Deemed Sale Notice.</w:t>
      </w:r>
      <w:bookmarkEnd w:id="168"/>
    </w:p>
    <w:p w14:paraId="4A7F3A20" w14:textId="1B4F0269" w:rsidR="00900B09" w:rsidRPr="003C373E" w:rsidRDefault="00A35BEC" w:rsidP="00E12420">
      <w:pPr>
        <w:pStyle w:val="Level1"/>
        <w:rPr>
          <w:sz w:val="20"/>
          <w:szCs w:val="20"/>
        </w:rPr>
      </w:pPr>
      <w:bookmarkStart w:id="169" w:name="_Toc149833883"/>
      <w:bookmarkStart w:id="170" w:name="_Toc149833884"/>
      <w:bookmarkStart w:id="171" w:name="_Toc149833885"/>
      <w:bookmarkStart w:id="172" w:name="_Toc149833886"/>
      <w:bookmarkStart w:id="173" w:name="_Toc149833887"/>
      <w:bookmarkStart w:id="174" w:name="_Toc149833888"/>
      <w:bookmarkStart w:id="175" w:name="_Toc149833889"/>
      <w:bookmarkStart w:id="176" w:name="_Toc149833890"/>
      <w:bookmarkStart w:id="177" w:name="_Toc149833891"/>
      <w:bookmarkStart w:id="178" w:name="_Toc149833892"/>
      <w:bookmarkStart w:id="179" w:name="_Toc149833893"/>
      <w:bookmarkStart w:id="180" w:name="_Toc149833894"/>
      <w:bookmarkStart w:id="181" w:name="_Toc149833895"/>
      <w:bookmarkStart w:id="182" w:name="_Toc149833896"/>
      <w:bookmarkStart w:id="183" w:name="_Toc149833897"/>
      <w:bookmarkStart w:id="184" w:name="_Toc149833898"/>
      <w:bookmarkStart w:id="185" w:name="_Toc149833899"/>
      <w:bookmarkStart w:id="186" w:name="_Toc256000018"/>
      <w:bookmarkStart w:id="187" w:name="a73365"/>
      <w:bookmarkStart w:id="188" w:name="_Toc149833900"/>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3C373E">
        <w:rPr>
          <w:sz w:val="20"/>
          <w:szCs w:val="20"/>
        </w:rPr>
        <w:t>Pre-emption rights on the transfer of shares</w:t>
      </w:r>
      <w:bookmarkEnd w:id="186"/>
      <w:bookmarkEnd w:id="187"/>
      <w:bookmarkEnd w:id="188"/>
    </w:p>
    <w:p w14:paraId="213439BF" w14:textId="6B6E4671" w:rsidR="003C373E" w:rsidRPr="003C373E" w:rsidRDefault="003C373E" w:rsidP="003C373E">
      <w:pPr>
        <w:pStyle w:val="Level2"/>
        <w:rPr>
          <w:spacing w:val="-3"/>
          <w:szCs w:val="20"/>
        </w:rPr>
      </w:pPr>
      <w:r w:rsidRPr="003C373E">
        <w:rPr>
          <w:spacing w:val="-3"/>
          <w:szCs w:val="20"/>
        </w:rPr>
        <w:t>Save as provided in Article 17 (Compulsory Transfers) and Article 19 (Drag Along), the Shareholders shall not be entitled to transfer any shares or any interest in any such Shares except in accordance with the following provisions of this Article 15.</w:t>
      </w:r>
    </w:p>
    <w:p w14:paraId="239B91FB" w14:textId="5471BD81" w:rsidR="007F2EF3" w:rsidRPr="003C373E" w:rsidRDefault="007F2EF3" w:rsidP="007F2EF3">
      <w:pPr>
        <w:pStyle w:val="Level2"/>
        <w:rPr>
          <w:spacing w:val="-3"/>
          <w:szCs w:val="20"/>
        </w:rPr>
      </w:pPr>
      <w:bookmarkStart w:id="189" w:name="_Ref233029961"/>
      <w:bookmarkStart w:id="190" w:name="_Ref113876429"/>
      <w:r w:rsidRPr="00C7122C">
        <w:rPr>
          <w:szCs w:val="20"/>
        </w:rPr>
        <w:t xml:space="preserve">Any Shareholder wishing to transfer part or all of the Shares held by him or any interest in such </w:t>
      </w:r>
      <w:r w:rsidR="00E03057">
        <w:rPr>
          <w:szCs w:val="20"/>
        </w:rPr>
        <w:t>S</w:t>
      </w:r>
      <w:r w:rsidRPr="00C7122C">
        <w:rPr>
          <w:szCs w:val="20"/>
        </w:rPr>
        <w:t xml:space="preserve">hares (the </w:t>
      </w:r>
      <w:r w:rsidRPr="00C7122C">
        <w:rPr>
          <w:b/>
          <w:szCs w:val="20"/>
        </w:rPr>
        <w:t>Seller</w:t>
      </w:r>
      <w:r w:rsidRPr="00C7122C">
        <w:rPr>
          <w:szCs w:val="20"/>
        </w:rPr>
        <w:t xml:space="preserve">) shall first give a notice in writing (a </w:t>
      </w:r>
      <w:r w:rsidRPr="00C7122C">
        <w:rPr>
          <w:b/>
          <w:szCs w:val="20"/>
        </w:rPr>
        <w:t>Sale Notice</w:t>
      </w:r>
      <w:r w:rsidRPr="00C7122C">
        <w:rPr>
          <w:szCs w:val="20"/>
        </w:rPr>
        <w:t>) to the Company specifying the number, class and de-noting numbers (if any) of the shares which, or the interest in which, the Seller wishes to transfer (</w:t>
      </w:r>
      <w:r w:rsidRPr="00C7122C">
        <w:rPr>
          <w:b/>
          <w:szCs w:val="20"/>
        </w:rPr>
        <w:t>Sale Shares</w:t>
      </w:r>
      <w:r w:rsidRPr="00C7122C">
        <w:rPr>
          <w:szCs w:val="20"/>
        </w:rPr>
        <w:t xml:space="preserve">) which notice shall constitute the Company the agent of the Seller for the transfer of the Sale Shares at the price per Sale Share determined in accordance with </w:t>
      </w:r>
      <w:r w:rsidR="00822E93">
        <w:rPr>
          <w:szCs w:val="20"/>
        </w:rPr>
        <w:t>Article 16</w:t>
      </w:r>
      <w:r w:rsidR="00A97AAC" w:rsidRPr="00C7122C">
        <w:rPr>
          <w:szCs w:val="20"/>
        </w:rPr>
        <w:t xml:space="preserve"> </w:t>
      </w:r>
      <w:r w:rsidRPr="00C7122C">
        <w:rPr>
          <w:szCs w:val="20"/>
        </w:rPr>
        <w:t xml:space="preserve">(the </w:t>
      </w:r>
      <w:r w:rsidRPr="00C7122C">
        <w:rPr>
          <w:b/>
          <w:szCs w:val="20"/>
        </w:rPr>
        <w:t>Price</w:t>
      </w:r>
      <w:r w:rsidRPr="00C7122C">
        <w:rPr>
          <w:szCs w:val="20"/>
        </w:rPr>
        <w:t xml:space="preserve">) and otherwise in accordance with the provisions of this </w:t>
      </w:r>
      <w:r w:rsidR="00A97AAC">
        <w:rPr>
          <w:szCs w:val="20"/>
        </w:rPr>
        <w:t>A</w:t>
      </w:r>
      <w:r w:rsidRPr="00C7122C">
        <w:rPr>
          <w:szCs w:val="20"/>
        </w:rPr>
        <w:t>rticle</w:t>
      </w:r>
      <w:r w:rsidR="00A97AAC">
        <w:rPr>
          <w:szCs w:val="20"/>
        </w:rPr>
        <w:t xml:space="preserve"> </w:t>
      </w:r>
      <w:bookmarkEnd w:id="189"/>
      <w:r w:rsidR="00A97AAC">
        <w:rPr>
          <w:szCs w:val="20"/>
        </w:rPr>
        <w:t>15</w:t>
      </w:r>
      <w:r w:rsidRPr="00C7122C">
        <w:rPr>
          <w:szCs w:val="20"/>
        </w:rPr>
        <w:t>.</w:t>
      </w:r>
      <w:bookmarkEnd w:id="190"/>
      <w:r w:rsidRPr="00C7122C">
        <w:rPr>
          <w:szCs w:val="20"/>
        </w:rPr>
        <w:t xml:space="preserve"> </w:t>
      </w:r>
    </w:p>
    <w:p w14:paraId="223C168A" w14:textId="30ADFCE8" w:rsidR="007F2EF3" w:rsidRPr="00C7122C" w:rsidRDefault="007F2EF3" w:rsidP="007F2EF3">
      <w:pPr>
        <w:pStyle w:val="Level2"/>
        <w:rPr>
          <w:spacing w:val="-3"/>
          <w:szCs w:val="20"/>
        </w:rPr>
      </w:pPr>
      <w:r w:rsidRPr="00C7122C">
        <w:rPr>
          <w:szCs w:val="20"/>
        </w:rPr>
        <w:t xml:space="preserve">On receipt of a Sale Notice the Company shall offer at the Price such Sale Shares to the </w:t>
      </w:r>
      <w:r w:rsidR="00691A23" w:rsidRPr="00C7122C">
        <w:rPr>
          <w:szCs w:val="20"/>
        </w:rPr>
        <w:t xml:space="preserve">holders of </w:t>
      </w:r>
      <w:r w:rsidR="00092D22">
        <w:rPr>
          <w:szCs w:val="20"/>
        </w:rPr>
        <w:t>Shares</w:t>
      </w:r>
      <w:r w:rsidR="0083653B">
        <w:rPr>
          <w:szCs w:val="20"/>
        </w:rPr>
        <w:t xml:space="preserve"> in the same class or as otherwise the </w:t>
      </w:r>
      <w:r w:rsidR="00995A6B">
        <w:rPr>
          <w:szCs w:val="20"/>
        </w:rPr>
        <w:t>holders of the A Shares shall</w:t>
      </w:r>
      <w:r w:rsidR="0083653B">
        <w:rPr>
          <w:szCs w:val="20"/>
        </w:rPr>
        <w:t xml:space="preserve"> determine</w:t>
      </w:r>
      <w:r w:rsidRPr="00C7122C">
        <w:rPr>
          <w:szCs w:val="20"/>
        </w:rPr>
        <w:t xml:space="preserve">, in proportion as nearly as may be to the number of </w:t>
      </w:r>
      <w:r w:rsidR="00092D22">
        <w:rPr>
          <w:szCs w:val="20"/>
        </w:rPr>
        <w:t>Shares</w:t>
      </w:r>
      <w:r w:rsidRPr="00C7122C">
        <w:rPr>
          <w:szCs w:val="20"/>
        </w:rPr>
        <w:t xml:space="preserve"> then held by them respectively. Such offer shall to the extent that the same is not accepted within </w:t>
      </w:r>
      <w:r w:rsidR="00A97AAC">
        <w:rPr>
          <w:szCs w:val="20"/>
        </w:rPr>
        <w:t>90</w:t>
      </w:r>
      <w:r w:rsidR="00A97AAC" w:rsidRPr="00C7122C">
        <w:rPr>
          <w:szCs w:val="20"/>
        </w:rPr>
        <w:t xml:space="preserve"> </w:t>
      </w:r>
      <w:r w:rsidRPr="00C7122C">
        <w:rPr>
          <w:szCs w:val="20"/>
        </w:rPr>
        <w:t xml:space="preserve">days be deemed to be declined. </w:t>
      </w:r>
    </w:p>
    <w:p w14:paraId="76396321" w14:textId="7644C14C" w:rsidR="007F2EF3" w:rsidRPr="00C7122C" w:rsidRDefault="007F2EF3" w:rsidP="007F2EF3">
      <w:pPr>
        <w:pStyle w:val="Level2"/>
        <w:rPr>
          <w:szCs w:val="20"/>
        </w:rPr>
      </w:pPr>
      <w:bookmarkStart w:id="191" w:name="_Ref233039004"/>
      <w:r w:rsidRPr="00C7122C">
        <w:rPr>
          <w:szCs w:val="20"/>
        </w:rPr>
        <w:t xml:space="preserve">If the </w:t>
      </w:r>
      <w:r w:rsidR="00691A23" w:rsidRPr="00C7122C">
        <w:rPr>
          <w:szCs w:val="20"/>
        </w:rPr>
        <w:t xml:space="preserve">holders of </w:t>
      </w:r>
      <w:r w:rsidR="00092D22">
        <w:rPr>
          <w:szCs w:val="20"/>
        </w:rPr>
        <w:t>Shares</w:t>
      </w:r>
      <w:r w:rsidR="00691A23" w:rsidRPr="00C7122C">
        <w:rPr>
          <w:szCs w:val="20"/>
        </w:rPr>
        <w:t xml:space="preserve"> </w:t>
      </w:r>
      <w:r w:rsidRPr="00C7122C">
        <w:rPr>
          <w:szCs w:val="20"/>
        </w:rPr>
        <w:t xml:space="preserve">(or </w:t>
      </w:r>
      <w:r w:rsidR="00691A23" w:rsidRPr="00C7122C">
        <w:rPr>
          <w:szCs w:val="20"/>
        </w:rPr>
        <w:t>any</w:t>
      </w:r>
      <w:r w:rsidRPr="00C7122C">
        <w:rPr>
          <w:szCs w:val="20"/>
        </w:rPr>
        <w:t xml:space="preserve"> of them) shall within </w:t>
      </w:r>
      <w:r w:rsidR="00A97AAC">
        <w:rPr>
          <w:szCs w:val="20"/>
        </w:rPr>
        <w:t>90</w:t>
      </w:r>
      <w:r w:rsidR="00A97AAC" w:rsidRPr="00C7122C">
        <w:rPr>
          <w:szCs w:val="20"/>
        </w:rPr>
        <w:t xml:space="preserve"> </w:t>
      </w:r>
      <w:r w:rsidRPr="00C7122C">
        <w:rPr>
          <w:szCs w:val="20"/>
        </w:rPr>
        <w:t>days after service of a Sale Notice agree to purchase all or any of the Sale Shares the Company shall give notice thereof to the Seller which notice shall provide:</w:t>
      </w:r>
      <w:bookmarkEnd w:id="191"/>
    </w:p>
    <w:p w14:paraId="129CCF45" w14:textId="77777777" w:rsidR="007F2EF3" w:rsidRPr="00C7122C" w:rsidRDefault="007F2EF3" w:rsidP="007F2EF3">
      <w:pPr>
        <w:pStyle w:val="Level3"/>
        <w:rPr>
          <w:szCs w:val="20"/>
        </w:rPr>
      </w:pPr>
      <w:r w:rsidRPr="00C7122C">
        <w:rPr>
          <w:szCs w:val="20"/>
        </w:rPr>
        <w:t xml:space="preserve">the price for the Sale Shares is to be the </w:t>
      </w:r>
      <w:proofErr w:type="gramStart"/>
      <w:r w:rsidRPr="00C7122C">
        <w:rPr>
          <w:szCs w:val="20"/>
        </w:rPr>
        <w:t>Price;</w:t>
      </w:r>
      <w:proofErr w:type="gramEnd"/>
    </w:p>
    <w:p w14:paraId="24C83B4C" w14:textId="66594477" w:rsidR="007F2EF3" w:rsidRPr="00C7122C" w:rsidRDefault="007F2EF3" w:rsidP="007F2EF3">
      <w:pPr>
        <w:pStyle w:val="Level3"/>
        <w:rPr>
          <w:szCs w:val="20"/>
        </w:rPr>
      </w:pPr>
      <w:bookmarkStart w:id="192" w:name="_Ref233034496"/>
      <w:r w:rsidRPr="00C7122C">
        <w:rPr>
          <w:szCs w:val="20"/>
        </w:rPr>
        <w:t xml:space="preserve">the Seller shall have the right to revoke his Sale Notice and the purchasing Shareholders shall have the right to withdraw from the proposed purchase until the Price is agreed between them or within seven days of the date of the Company’s accountants’ or </w:t>
      </w:r>
      <w:r w:rsidR="00F748C0">
        <w:rPr>
          <w:szCs w:val="20"/>
        </w:rPr>
        <w:t>I</w:t>
      </w:r>
      <w:r w:rsidRPr="00C7122C">
        <w:rPr>
          <w:szCs w:val="20"/>
        </w:rPr>
        <w:t xml:space="preserve">ndependent </w:t>
      </w:r>
      <w:r w:rsidR="00F748C0">
        <w:rPr>
          <w:szCs w:val="20"/>
        </w:rPr>
        <w:t>E</w:t>
      </w:r>
      <w:r w:rsidRPr="00C7122C">
        <w:rPr>
          <w:szCs w:val="20"/>
        </w:rPr>
        <w:t xml:space="preserve">xpert’s certificate referred to in </w:t>
      </w:r>
      <w:r w:rsidR="00A97AAC">
        <w:rPr>
          <w:szCs w:val="20"/>
        </w:rPr>
        <w:t>A</w:t>
      </w:r>
      <w:r w:rsidRPr="00C7122C">
        <w:rPr>
          <w:szCs w:val="20"/>
        </w:rPr>
        <w:t>rticle 1</w:t>
      </w:r>
      <w:r w:rsidR="00A97AAC">
        <w:rPr>
          <w:szCs w:val="20"/>
        </w:rPr>
        <w:t>6</w:t>
      </w:r>
      <w:r w:rsidRPr="00C7122C">
        <w:rPr>
          <w:szCs w:val="20"/>
        </w:rPr>
        <w:t xml:space="preserve"> hereof whichever shall be applicable; and</w:t>
      </w:r>
      <w:bookmarkEnd w:id="192"/>
    </w:p>
    <w:p w14:paraId="3097930D" w14:textId="23F0EA46" w:rsidR="007F2EF3" w:rsidRPr="00C7122C" w:rsidRDefault="007F2EF3" w:rsidP="007F2EF3">
      <w:pPr>
        <w:pStyle w:val="Level3"/>
        <w:rPr>
          <w:szCs w:val="20"/>
        </w:rPr>
      </w:pPr>
      <w:bookmarkStart w:id="193" w:name="_Ref233034726"/>
      <w:r w:rsidRPr="00C7122C">
        <w:rPr>
          <w:szCs w:val="20"/>
        </w:rPr>
        <w:t xml:space="preserve">if the Seller does not revoke his Sale Notice and the </w:t>
      </w:r>
      <w:r w:rsidR="009B5143" w:rsidRPr="00C7122C">
        <w:rPr>
          <w:szCs w:val="20"/>
        </w:rPr>
        <w:t>purchasing</w:t>
      </w:r>
      <w:r w:rsidRPr="00C7122C">
        <w:rPr>
          <w:szCs w:val="20"/>
        </w:rPr>
        <w:t xml:space="preserve"> Shareholders do not withdraw pursuant to </w:t>
      </w:r>
      <w:r w:rsidR="00A97AAC" w:rsidRPr="00F748C0">
        <w:rPr>
          <w:szCs w:val="20"/>
        </w:rPr>
        <w:t>A</w:t>
      </w:r>
      <w:r w:rsidRPr="00F748C0">
        <w:rPr>
          <w:szCs w:val="20"/>
        </w:rPr>
        <w:t xml:space="preserve">rticle </w:t>
      </w:r>
      <w:r w:rsidRPr="00F748C0">
        <w:rPr>
          <w:szCs w:val="20"/>
        </w:rPr>
        <w:fldChar w:fldCharType="begin"/>
      </w:r>
      <w:r w:rsidRPr="00F748C0">
        <w:rPr>
          <w:szCs w:val="20"/>
        </w:rPr>
        <w:instrText xml:space="preserve"> REF _Ref233034496 \r \h  \* MERGEFORMAT </w:instrText>
      </w:r>
      <w:r w:rsidRPr="00F748C0">
        <w:rPr>
          <w:szCs w:val="20"/>
        </w:rPr>
      </w:r>
      <w:r w:rsidRPr="00F748C0">
        <w:rPr>
          <w:szCs w:val="20"/>
        </w:rPr>
        <w:fldChar w:fldCharType="separate"/>
      </w:r>
      <w:r w:rsidR="0017407B" w:rsidRPr="00F748C0">
        <w:rPr>
          <w:szCs w:val="20"/>
        </w:rPr>
        <w:t>1</w:t>
      </w:r>
      <w:r w:rsidR="0087071A" w:rsidRPr="00DC406E">
        <w:rPr>
          <w:szCs w:val="20"/>
        </w:rPr>
        <w:t>5</w:t>
      </w:r>
      <w:r w:rsidR="0017407B" w:rsidRPr="00F748C0">
        <w:rPr>
          <w:szCs w:val="20"/>
        </w:rPr>
        <w:t>.4.2</w:t>
      </w:r>
      <w:r w:rsidRPr="00F748C0">
        <w:rPr>
          <w:szCs w:val="20"/>
        </w:rPr>
        <w:fldChar w:fldCharType="end"/>
      </w:r>
      <w:r w:rsidRPr="00C7122C">
        <w:rPr>
          <w:szCs w:val="20"/>
        </w:rPr>
        <w:t xml:space="preserve"> then they shall be bound to complete the sale and purchase at the registered office of the Company within seven days of the date that the </w:t>
      </w:r>
      <w:r w:rsidRPr="00C7122C">
        <w:rPr>
          <w:szCs w:val="20"/>
        </w:rPr>
        <w:lastRenderedPageBreak/>
        <w:t xml:space="preserve">Price is agreed between them or the date of the Company’s accountants’ or </w:t>
      </w:r>
      <w:r w:rsidR="00F748C0">
        <w:rPr>
          <w:szCs w:val="20"/>
        </w:rPr>
        <w:t>I</w:t>
      </w:r>
      <w:r w:rsidRPr="00C7122C">
        <w:rPr>
          <w:szCs w:val="20"/>
        </w:rPr>
        <w:t xml:space="preserve">ndependent </w:t>
      </w:r>
      <w:r w:rsidR="00F748C0">
        <w:rPr>
          <w:szCs w:val="20"/>
        </w:rPr>
        <w:t>E</w:t>
      </w:r>
      <w:r w:rsidRPr="00C7122C">
        <w:rPr>
          <w:szCs w:val="20"/>
        </w:rPr>
        <w:t>xpert’s certificate as applicable.</w:t>
      </w:r>
      <w:bookmarkEnd w:id="193"/>
    </w:p>
    <w:p w14:paraId="41F1154A" w14:textId="7A2D03C7" w:rsidR="007F2EF3" w:rsidRPr="00C7122C" w:rsidRDefault="007F2EF3" w:rsidP="007F2EF3">
      <w:pPr>
        <w:pStyle w:val="Level2"/>
        <w:rPr>
          <w:szCs w:val="20"/>
        </w:rPr>
      </w:pPr>
      <w:bookmarkStart w:id="194" w:name="_Ref240789311"/>
      <w:r w:rsidRPr="00C7122C">
        <w:rPr>
          <w:szCs w:val="20"/>
        </w:rPr>
        <w:t xml:space="preserve">If the Company shall not within the space of </w:t>
      </w:r>
      <w:r w:rsidR="00735D50">
        <w:rPr>
          <w:szCs w:val="20"/>
        </w:rPr>
        <w:t>90</w:t>
      </w:r>
      <w:r w:rsidRPr="00C7122C">
        <w:rPr>
          <w:szCs w:val="20"/>
        </w:rPr>
        <w:t xml:space="preserve"> days after service of a Sale Notice find purchasing Shareholders for all of the Sale Shares or if through no default of the Seller the purchase of any of the Sale Shares is not completed within the time period provided by </w:t>
      </w:r>
      <w:r w:rsidR="0087071A">
        <w:rPr>
          <w:szCs w:val="20"/>
        </w:rPr>
        <w:t>A</w:t>
      </w:r>
      <w:r w:rsidRPr="00C7122C">
        <w:rPr>
          <w:szCs w:val="20"/>
        </w:rPr>
        <w:t>rti</w:t>
      </w:r>
      <w:r w:rsidR="00F748C0">
        <w:rPr>
          <w:szCs w:val="20"/>
        </w:rPr>
        <w:t>cle 15.4.3</w:t>
      </w:r>
      <w:r w:rsidRPr="00C7122C">
        <w:rPr>
          <w:szCs w:val="20"/>
        </w:rPr>
        <w:t xml:space="preserve">, the Company may, subject to </w:t>
      </w:r>
      <w:r w:rsidR="0047012C">
        <w:rPr>
          <w:szCs w:val="20"/>
        </w:rPr>
        <w:t xml:space="preserve">complying with the Act and also </w:t>
      </w:r>
      <w:r w:rsidRPr="00C7122C">
        <w:rPr>
          <w:szCs w:val="20"/>
        </w:rPr>
        <w:t>the passing of any required resolutions and the obtaining of such tax clearances as the Directors consider appropriate,</w:t>
      </w:r>
      <w:r w:rsidRPr="00C7122C">
        <w:rPr>
          <w:i/>
          <w:iCs/>
          <w:szCs w:val="20"/>
        </w:rPr>
        <w:t xml:space="preserve"> </w:t>
      </w:r>
      <w:r w:rsidRPr="00C7122C">
        <w:rPr>
          <w:szCs w:val="20"/>
        </w:rPr>
        <w:t xml:space="preserve">at any time within </w:t>
      </w:r>
      <w:r w:rsidR="007A1A91">
        <w:rPr>
          <w:szCs w:val="20"/>
        </w:rPr>
        <w:t>90</w:t>
      </w:r>
      <w:r w:rsidR="007A1A91" w:rsidRPr="00C7122C">
        <w:rPr>
          <w:i/>
          <w:iCs/>
          <w:szCs w:val="20"/>
        </w:rPr>
        <w:t xml:space="preserve"> </w:t>
      </w:r>
      <w:r w:rsidRPr="00C7122C">
        <w:rPr>
          <w:szCs w:val="20"/>
        </w:rPr>
        <w:t xml:space="preserve">days after the expiry of the said </w:t>
      </w:r>
      <w:r w:rsidR="007A1A91">
        <w:rPr>
          <w:szCs w:val="20"/>
        </w:rPr>
        <w:t xml:space="preserve">90 </w:t>
      </w:r>
      <w:r w:rsidRPr="00C7122C">
        <w:rPr>
          <w:szCs w:val="20"/>
        </w:rPr>
        <w:t xml:space="preserve">days or within </w:t>
      </w:r>
      <w:r w:rsidR="007A1A91">
        <w:rPr>
          <w:szCs w:val="20"/>
        </w:rPr>
        <w:t>90</w:t>
      </w:r>
      <w:r w:rsidR="007A1A91" w:rsidRPr="00C7122C">
        <w:rPr>
          <w:i/>
          <w:iCs/>
          <w:szCs w:val="20"/>
        </w:rPr>
        <w:t xml:space="preserve"> </w:t>
      </w:r>
      <w:r w:rsidRPr="00C7122C">
        <w:rPr>
          <w:szCs w:val="20"/>
        </w:rPr>
        <w:t>days after the time period provided by</w:t>
      </w:r>
      <w:r w:rsidR="00F748C0">
        <w:rPr>
          <w:szCs w:val="20"/>
        </w:rPr>
        <w:t xml:space="preserve"> A</w:t>
      </w:r>
      <w:r w:rsidR="00F748C0" w:rsidRPr="00C7122C">
        <w:rPr>
          <w:szCs w:val="20"/>
        </w:rPr>
        <w:t>rti</w:t>
      </w:r>
      <w:r w:rsidR="00F748C0">
        <w:rPr>
          <w:szCs w:val="20"/>
        </w:rPr>
        <w:t>cle 15.4.3</w:t>
      </w:r>
      <w:r w:rsidRPr="00C7122C">
        <w:rPr>
          <w:szCs w:val="20"/>
        </w:rPr>
        <w:t xml:space="preserve"> (as the case may be) (the </w:t>
      </w:r>
      <w:r w:rsidRPr="00C7122C">
        <w:rPr>
          <w:b/>
          <w:szCs w:val="20"/>
        </w:rPr>
        <w:t>Company Purchase Period</w:t>
      </w:r>
      <w:r w:rsidRPr="00C7122C">
        <w:rPr>
          <w:szCs w:val="20"/>
        </w:rPr>
        <w:t>)</w:t>
      </w:r>
      <w:r w:rsidRPr="00C7122C">
        <w:rPr>
          <w:i/>
          <w:iCs/>
          <w:szCs w:val="20"/>
        </w:rPr>
        <w:t xml:space="preserve"> </w:t>
      </w:r>
      <w:r w:rsidRPr="00C7122C">
        <w:rPr>
          <w:szCs w:val="20"/>
        </w:rPr>
        <w:t xml:space="preserve">purchase such of the Sale Shares as were not accepted by the </w:t>
      </w:r>
      <w:r w:rsidR="009B5143" w:rsidRPr="00C7122C">
        <w:rPr>
          <w:szCs w:val="20"/>
        </w:rPr>
        <w:t xml:space="preserve">holders of </w:t>
      </w:r>
      <w:r w:rsidR="00092D22">
        <w:rPr>
          <w:szCs w:val="20"/>
        </w:rPr>
        <w:t>Shares</w:t>
      </w:r>
      <w:r w:rsidRPr="00C7122C">
        <w:rPr>
          <w:szCs w:val="20"/>
        </w:rPr>
        <w:t xml:space="preserve"> or in respect of which the sale was not completed as aforesaid at the Price (if already determined under </w:t>
      </w:r>
      <w:r w:rsidR="007A1A91">
        <w:rPr>
          <w:szCs w:val="20"/>
        </w:rPr>
        <w:t>A</w:t>
      </w:r>
      <w:r w:rsidRPr="00C7122C">
        <w:rPr>
          <w:szCs w:val="20"/>
        </w:rPr>
        <w:t xml:space="preserve">rticle </w:t>
      </w:r>
      <w:r w:rsidR="007A1A91">
        <w:rPr>
          <w:szCs w:val="20"/>
        </w:rPr>
        <w:t>16</w:t>
      </w:r>
      <w:r w:rsidRPr="00C7122C">
        <w:rPr>
          <w:szCs w:val="20"/>
        </w:rPr>
        <w:t xml:space="preserve">) or, if not already so determined, the provisions of </w:t>
      </w:r>
      <w:r w:rsidR="007A1A91">
        <w:rPr>
          <w:szCs w:val="20"/>
        </w:rPr>
        <w:t>Article 16</w:t>
      </w:r>
      <w:r w:rsidR="0017407B">
        <w:rPr>
          <w:szCs w:val="20"/>
        </w:rPr>
        <w:t xml:space="preserve"> </w:t>
      </w:r>
      <w:r w:rsidRPr="00C7122C">
        <w:rPr>
          <w:szCs w:val="20"/>
        </w:rPr>
        <w:t xml:space="preserve">shall apply mutatis mutandis and the time period in </w:t>
      </w:r>
      <w:r w:rsidR="007A1A91">
        <w:rPr>
          <w:szCs w:val="20"/>
        </w:rPr>
        <w:t>A</w:t>
      </w:r>
      <w:r w:rsidRPr="00C7122C">
        <w:rPr>
          <w:szCs w:val="20"/>
        </w:rPr>
        <w:t>rticl</w:t>
      </w:r>
      <w:r w:rsidR="00F748C0">
        <w:rPr>
          <w:szCs w:val="20"/>
        </w:rPr>
        <w:t>e 16.1</w:t>
      </w:r>
      <w:r w:rsidRPr="00C7122C">
        <w:rPr>
          <w:szCs w:val="20"/>
        </w:rPr>
        <w:t xml:space="preserve"> shall be “within twenty-eight days of the commencement of the Company Purchase Period (or such longer period as may be agreed between the Seller and the Company)”. The Seller and the Company shall be bound to complete the said sale and purchase at the registered office of the Company within seven days of the later of (a) the agreement or determination of the Price and (b) the obtaining of such tax clearances as the directors consider appropriate and the passing of all necessary resolutions required to enable the purchase to take place.</w:t>
      </w:r>
      <w:bookmarkEnd w:id="194"/>
    </w:p>
    <w:p w14:paraId="046038BB" w14:textId="1CD046CF" w:rsidR="00C7122C" w:rsidRPr="00C7122C" w:rsidRDefault="00C7122C" w:rsidP="00C7122C">
      <w:pPr>
        <w:pStyle w:val="Level2"/>
        <w:rPr>
          <w:szCs w:val="20"/>
        </w:rPr>
      </w:pPr>
      <w:bookmarkStart w:id="195" w:name="_Ref142580204"/>
      <w:r w:rsidRPr="00C7122C">
        <w:rPr>
          <w:szCs w:val="20"/>
        </w:rPr>
        <w:t xml:space="preserve">If the relevant provisions of this </w:t>
      </w:r>
      <w:r w:rsidR="00F748C0">
        <w:rPr>
          <w:szCs w:val="20"/>
        </w:rPr>
        <w:t xml:space="preserve">Article 15 </w:t>
      </w:r>
      <w:r w:rsidRPr="00C7122C">
        <w:rPr>
          <w:szCs w:val="20"/>
        </w:rPr>
        <w:t xml:space="preserve">have been exhausted and some or all of the Sale Shares comprised in the Sale Notice have through no default of the Seller not been sold then and in such event the Seller (or his personal representatives, as applicable) shall be at liberty at any time within </w:t>
      </w:r>
      <w:r w:rsidR="00E324D6">
        <w:rPr>
          <w:szCs w:val="20"/>
        </w:rPr>
        <w:t>60</w:t>
      </w:r>
      <w:r w:rsidRPr="00C7122C">
        <w:rPr>
          <w:szCs w:val="20"/>
        </w:rPr>
        <w:t xml:space="preserve"> days after the expiry of the Company Purchase Period to transfer any such Sale Shares as were not accepted by purchasing shareholders or in respect of which the sale was not completed as aforesaid or which were not purchased by the Company within the Company Purchase Period as follows to any person approved by the </w:t>
      </w:r>
      <w:r w:rsidR="00945022">
        <w:rPr>
          <w:szCs w:val="20"/>
        </w:rPr>
        <w:t>Directors</w:t>
      </w:r>
      <w:r w:rsidRPr="00C7122C">
        <w:rPr>
          <w:szCs w:val="20"/>
        </w:rPr>
        <w:t xml:space="preserve"> in writing </w:t>
      </w:r>
      <w:r w:rsidR="00DC4720">
        <w:rPr>
          <w:szCs w:val="20"/>
        </w:rPr>
        <w:t xml:space="preserve">(such consent not to be unreasonably withheld) </w:t>
      </w:r>
      <w:r w:rsidRPr="00C7122C">
        <w:rPr>
          <w:szCs w:val="20"/>
        </w:rPr>
        <w:t xml:space="preserve">at a price per Sale Share not less than the Price (without any deduction, rebate or allowance to the proposed purchaser) and on terms as to payment of the price for such Sale Shares no more favourable to the proposed purchaser than those offered to the Company and the holders of </w:t>
      </w:r>
      <w:r w:rsidR="00092D22">
        <w:rPr>
          <w:szCs w:val="20"/>
        </w:rPr>
        <w:t>Shares</w:t>
      </w:r>
      <w:r w:rsidRPr="00C7122C">
        <w:rPr>
          <w:szCs w:val="20"/>
        </w:rPr>
        <w:t xml:space="preserve"> (as applicable). Before approving any transfer the Directors may require the Seller and the purchaser to make statutory declarations that the price payable per Sale Share is not less than the Price and is not subject to any deduction, rebate or allowance and the terms as to payment of the price for such Sale Shares are no more favourable to the proposed purchaser than those offered to the Company and the holders of </w:t>
      </w:r>
      <w:r w:rsidR="00092D22">
        <w:rPr>
          <w:szCs w:val="20"/>
        </w:rPr>
        <w:t>Shares</w:t>
      </w:r>
      <w:r w:rsidRPr="00C7122C">
        <w:rPr>
          <w:szCs w:val="20"/>
        </w:rPr>
        <w:t xml:space="preserve"> (as applicable).</w:t>
      </w:r>
      <w:bookmarkEnd w:id="195"/>
    </w:p>
    <w:p w14:paraId="699E61CA" w14:textId="2BE44A63" w:rsidR="009B5143" w:rsidRPr="00C7122C" w:rsidRDefault="00C7122C" w:rsidP="00C7122C">
      <w:pPr>
        <w:pStyle w:val="Level2"/>
        <w:rPr>
          <w:szCs w:val="20"/>
        </w:rPr>
      </w:pPr>
      <w:bookmarkStart w:id="196" w:name="_Ref142580143"/>
      <w:r w:rsidRPr="00C7122C">
        <w:rPr>
          <w:szCs w:val="20"/>
        </w:rPr>
        <w:t>If a Seller fails to carry out the sale of any of the Sale Shares after he has become bound to do so under these Articles then and in any such event the Directors may authorise some person to execute as agent for and on behalf of the defaulting Shareholder a transfer of the Sale Shares to the purchasing Shareholders or the Company (as the case may be) and the Company may give a good receipt for the Price and, in respect of any purchasing Shareholders, may enter in the register of members the purchasing and/or Shareholders (as applicable) as holders thereof and issue to them certificates for the same whereupon the purchasing Shareholders (as applicable) shall become indefeasibly entitled thereto, and in the case of a purchase by the Company cancel such shares in accordance with the provisions of the</w:t>
      </w:r>
      <w:r w:rsidR="00DA4800">
        <w:rPr>
          <w:szCs w:val="20"/>
        </w:rPr>
        <w:t xml:space="preserve"> </w:t>
      </w:r>
      <w:r w:rsidRPr="00C7122C">
        <w:rPr>
          <w:szCs w:val="20"/>
        </w:rPr>
        <w:t xml:space="preserve">Act. The Seller shall in such case be bound to deliver up to the Company his certificate(s) (or an express indemnity in a form satisfactory to the Company (acting by the directors) in the case of any certificates found to be missing) for the Sale Shares whereupon the Seller shall be entitled to receive the Price which shall in the meantime be held by </w:t>
      </w:r>
      <w:r w:rsidRPr="00C7122C">
        <w:rPr>
          <w:szCs w:val="20"/>
        </w:rPr>
        <w:lastRenderedPageBreak/>
        <w:t>the Company on trust for the Seller but without interest. If such certificate shall comprise any Shares which the Seller has not become bound to transfer as aforesaid the Company shall issue to the Seller a balance certificate for such Shares.</w:t>
      </w:r>
      <w:bookmarkEnd w:id="196"/>
    </w:p>
    <w:p w14:paraId="7BAEDDAB" w14:textId="77777777" w:rsidR="00EF29B2" w:rsidRDefault="00A35BEC" w:rsidP="00E12420">
      <w:pPr>
        <w:pStyle w:val="Level1"/>
        <w:rPr>
          <w:sz w:val="20"/>
          <w:szCs w:val="20"/>
        </w:rPr>
      </w:pPr>
      <w:bookmarkStart w:id="197" w:name="_Toc256000019"/>
      <w:bookmarkStart w:id="198" w:name="a1026593"/>
      <w:bookmarkStart w:id="199" w:name="_Ref142318912"/>
      <w:bookmarkStart w:id="200" w:name="_Ref142319380"/>
      <w:bookmarkStart w:id="201" w:name="_Ref142319390"/>
      <w:bookmarkStart w:id="202" w:name="_Toc149833901"/>
      <w:bookmarkStart w:id="203" w:name="_Ref142580100"/>
      <w:r w:rsidRPr="00C7122C">
        <w:rPr>
          <w:sz w:val="20"/>
          <w:szCs w:val="20"/>
        </w:rPr>
        <w:t>Valuation</w:t>
      </w:r>
      <w:bookmarkEnd w:id="197"/>
      <w:bookmarkEnd w:id="198"/>
      <w:bookmarkEnd w:id="199"/>
      <w:bookmarkEnd w:id="200"/>
      <w:bookmarkEnd w:id="201"/>
      <w:bookmarkEnd w:id="202"/>
      <w:r w:rsidR="001E3EBA">
        <w:rPr>
          <w:sz w:val="20"/>
          <w:szCs w:val="20"/>
        </w:rPr>
        <w:t xml:space="preserve"> </w:t>
      </w:r>
    </w:p>
    <w:p w14:paraId="5618B0F7" w14:textId="3519EFB1" w:rsidR="007F2EF3" w:rsidRPr="00C7122C" w:rsidRDefault="007F2EF3" w:rsidP="007F2EF3">
      <w:pPr>
        <w:pStyle w:val="Level2"/>
        <w:rPr>
          <w:szCs w:val="20"/>
        </w:rPr>
      </w:pPr>
      <w:bookmarkStart w:id="204" w:name="a635429"/>
      <w:bookmarkEnd w:id="203"/>
      <w:r w:rsidRPr="00C7122C">
        <w:rPr>
          <w:szCs w:val="20"/>
        </w:rPr>
        <w:t xml:space="preserve">The Price for the subject of a Sale Notice (or Deemed Sale Notice) shall, save where expressly provided otherwise in these Articles, be the price per Sale Share (in cash) agreed between the </w:t>
      </w:r>
      <w:r w:rsidR="00C7122C">
        <w:rPr>
          <w:szCs w:val="20"/>
        </w:rPr>
        <w:t>Directors</w:t>
      </w:r>
      <w:r w:rsidRPr="00C7122C">
        <w:rPr>
          <w:szCs w:val="20"/>
        </w:rPr>
        <w:t xml:space="preserve">, and the Seller or, in default of agreement within 20 Business Days of the date of service of the Sale Notice (or, in the case of a Deemed Sale Notice, the date on which the </w:t>
      </w:r>
      <w:r w:rsidR="00C7122C">
        <w:rPr>
          <w:szCs w:val="20"/>
        </w:rPr>
        <w:t xml:space="preserve">Directors </w:t>
      </w:r>
      <w:r w:rsidRPr="00C7122C">
        <w:rPr>
          <w:szCs w:val="20"/>
        </w:rPr>
        <w:t>first have actual knowledge of the facts giving rise to such deemed service), the Fair Value of each Sale Share.</w:t>
      </w:r>
      <w:bookmarkEnd w:id="204"/>
    </w:p>
    <w:p w14:paraId="0C49D751" w14:textId="47F1DF87" w:rsidR="007F2EF3" w:rsidRPr="00C7122C" w:rsidRDefault="007F2EF3" w:rsidP="007F2EF3">
      <w:pPr>
        <w:pStyle w:val="Level2"/>
        <w:rPr>
          <w:szCs w:val="20"/>
        </w:rPr>
      </w:pPr>
      <w:bookmarkStart w:id="205" w:name="a635387"/>
      <w:r w:rsidRPr="00C7122C">
        <w:rPr>
          <w:szCs w:val="20"/>
        </w:rPr>
        <w:t xml:space="preserve">If the accountants for the time being of the Company decline an instruction to make a certification or a determination in accordance with these Articles, the Company and the Seller shall use all reasonable endeavours to reach agreement regarding the identity of the person to be appointed as the Independent Expert and to agree terms of appointment with the Independent Expert. </w:t>
      </w:r>
      <w:bookmarkEnd w:id="205"/>
    </w:p>
    <w:p w14:paraId="07D5F1E8" w14:textId="77777777" w:rsidR="007F2EF3" w:rsidRPr="00C7122C" w:rsidRDefault="007F2EF3" w:rsidP="007F2EF3">
      <w:pPr>
        <w:pStyle w:val="Level2"/>
        <w:rPr>
          <w:szCs w:val="20"/>
        </w:rPr>
      </w:pPr>
      <w:bookmarkStart w:id="206" w:name="a136035"/>
      <w:r w:rsidRPr="00C7122C">
        <w:rPr>
          <w:szCs w:val="20"/>
        </w:rPr>
        <w:t xml:space="preserve">If the parties fail to agree on an Independent Expert and the terms of their appointment within 20 Business Days of either party serving details of a proposed Independent Expert on the </w:t>
      </w:r>
      <w:proofErr w:type="gramStart"/>
      <w:r w:rsidRPr="00C7122C">
        <w:rPr>
          <w:szCs w:val="20"/>
        </w:rPr>
        <w:t>other</w:t>
      </w:r>
      <w:proofErr w:type="gramEnd"/>
      <w:r w:rsidRPr="00C7122C">
        <w:rPr>
          <w:szCs w:val="20"/>
        </w:rPr>
        <w:t xml:space="preserve"> then either party shall be entitled to request The Institute of Chartered Accountants to appoint the Independent Expert</w:t>
      </w:r>
      <w:bookmarkEnd w:id="206"/>
      <w:r w:rsidRPr="00C7122C">
        <w:rPr>
          <w:szCs w:val="20"/>
        </w:rPr>
        <w:t>.</w:t>
      </w:r>
    </w:p>
    <w:p w14:paraId="35ADFC97" w14:textId="77777777" w:rsidR="007F2EF3" w:rsidRPr="00C7122C" w:rsidRDefault="007F2EF3" w:rsidP="007F2EF3">
      <w:pPr>
        <w:pStyle w:val="Level2"/>
        <w:rPr>
          <w:szCs w:val="20"/>
        </w:rPr>
      </w:pPr>
      <w:bookmarkStart w:id="207" w:name="a472853"/>
      <w:r w:rsidRPr="00C7122C">
        <w:rPr>
          <w:szCs w:val="20"/>
        </w:rPr>
        <w:t>The Fair Value shall be the price per Sale Share determined by the Independent Expert on the following bases and assumptions:</w:t>
      </w:r>
      <w:bookmarkEnd w:id="207"/>
    </w:p>
    <w:p w14:paraId="6EC0063E" w14:textId="77777777" w:rsidR="007F2EF3" w:rsidRPr="00C7122C" w:rsidRDefault="007F2EF3" w:rsidP="007F2EF3">
      <w:pPr>
        <w:pStyle w:val="Level3"/>
        <w:rPr>
          <w:szCs w:val="20"/>
        </w:rPr>
      </w:pPr>
      <w:bookmarkStart w:id="208" w:name="a999947"/>
      <w:r w:rsidRPr="00C7122C">
        <w:rPr>
          <w:szCs w:val="20"/>
        </w:rPr>
        <w:t>valuing the Sale Shares as on an arm's-length sale between a willing seller and a willing buyer as at the date the Sale Notice was served (or deemed served</w:t>
      </w:r>
      <w:proofErr w:type="gramStart"/>
      <w:r w:rsidRPr="00C7122C">
        <w:rPr>
          <w:szCs w:val="20"/>
        </w:rPr>
        <w:t>);</w:t>
      </w:r>
      <w:bookmarkEnd w:id="208"/>
      <w:proofErr w:type="gramEnd"/>
    </w:p>
    <w:p w14:paraId="57BC6D1C" w14:textId="77777777" w:rsidR="007F2EF3" w:rsidRPr="00C7122C" w:rsidRDefault="007F2EF3" w:rsidP="007F2EF3">
      <w:pPr>
        <w:pStyle w:val="Level3"/>
        <w:rPr>
          <w:szCs w:val="20"/>
        </w:rPr>
      </w:pPr>
      <w:bookmarkStart w:id="209" w:name="a985220"/>
      <w:r w:rsidRPr="00C7122C">
        <w:rPr>
          <w:szCs w:val="20"/>
        </w:rPr>
        <w:t xml:space="preserve">if the Company is then carrying on business as a going concern, on the assumption that it will continue to do </w:t>
      </w:r>
      <w:proofErr w:type="gramStart"/>
      <w:r w:rsidRPr="00C7122C">
        <w:rPr>
          <w:szCs w:val="20"/>
        </w:rPr>
        <w:t>so;</w:t>
      </w:r>
      <w:bookmarkEnd w:id="209"/>
      <w:proofErr w:type="gramEnd"/>
    </w:p>
    <w:p w14:paraId="72B2BD49" w14:textId="77777777" w:rsidR="007F2EF3" w:rsidRPr="0017407B" w:rsidRDefault="007F2EF3" w:rsidP="007F2EF3">
      <w:pPr>
        <w:pStyle w:val="Level3"/>
        <w:rPr>
          <w:szCs w:val="20"/>
        </w:rPr>
      </w:pPr>
      <w:bookmarkStart w:id="210" w:name="a294980"/>
      <w:r w:rsidRPr="00C7122C">
        <w:rPr>
          <w:szCs w:val="20"/>
        </w:rPr>
        <w:t xml:space="preserve">that </w:t>
      </w:r>
      <w:r w:rsidRPr="0017407B">
        <w:rPr>
          <w:szCs w:val="20"/>
        </w:rPr>
        <w:t xml:space="preserve">the Sale Shares are capable of being transferred without </w:t>
      </w:r>
      <w:proofErr w:type="gramStart"/>
      <w:r w:rsidRPr="0017407B">
        <w:rPr>
          <w:szCs w:val="20"/>
        </w:rPr>
        <w:t>restriction;</w:t>
      </w:r>
      <w:bookmarkEnd w:id="210"/>
      <w:proofErr w:type="gramEnd"/>
    </w:p>
    <w:p w14:paraId="4E148BDC" w14:textId="2B2763E0" w:rsidR="007F2EF3" w:rsidRPr="0017407B" w:rsidRDefault="007F2EF3" w:rsidP="007F2EF3">
      <w:pPr>
        <w:pStyle w:val="Level3"/>
        <w:rPr>
          <w:szCs w:val="20"/>
        </w:rPr>
      </w:pPr>
      <w:bookmarkStart w:id="211" w:name="a365704"/>
      <w:r w:rsidRPr="0017407B">
        <w:rPr>
          <w:szCs w:val="20"/>
        </w:rPr>
        <w:t>valuing the Sale Shares as a rateable proportion of the total value of all the issued Shares without any premium or discount being attributable to the percentage of the issued share capital of the Company which they represent; and</w:t>
      </w:r>
      <w:bookmarkEnd w:id="211"/>
      <w:r w:rsidRPr="0017407B">
        <w:rPr>
          <w:szCs w:val="20"/>
        </w:rPr>
        <w:t xml:space="preserve"> </w:t>
      </w:r>
    </w:p>
    <w:p w14:paraId="054657F5" w14:textId="77777777" w:rsidR="007F2EF3" w:rsidRPr="00C7122C" w:rsidRDefault="007F2EF3" w:rsidP="007F2EF3">
      <w:pPr>
        <w:pStyle w:val="Level3"/>
        <w:rPr>
          <w:szCs w:val="20"/>
        </w:rPr>
      </w:pPr>
      <w:bookmarkStart w:id="212" w:name="a419110"/>
      <w:r w:rsidRPr="00C7122C">
        <w:rPr>
          <w:szCs w:val="20"/>
        </w:rPr>
        <w:t xml:space="preserve">reflecting any other factors which the Independent Expert reasonably believes should be </w:t>
      </w:r>
      <w:proofErr w:type="gramStart"/>
      <w:r w:rsidRPr="00C7122C">
        <w:rPr>
          <w:szCs w:val="20"/>
        </w:rPr>
        <w:t>taken into account</w:t>
      </w:r>
      <w:proofErr w:type="gramEnd"/>
      <w:r w:rsidRPr="00C7122C">
        <w:rPr>
          <w:szCs w:val="20"/>
        </w:rPr>
        <w:t>.</w:t>
      </w:r>
      <w:bookmarkEnd w:id="212"/>
    </w:p>
    <w:p w14:paraId="76A90E18" w14:textId="77777777" w:rsidR="007F2EF3" w:rsidRPr="00C7122C" w:rsidRDefault="007F2EF3" w:rsidP="007F2EF3">
      <w:pPr>
        <w:pStyle w:val="Level2"/>
        <w:rPr>
          <w:szCs w:val="20"/>
        </w:rPr>
      </w:pPr>
      <w:bookmarkStart w:id="213" w:name="a258890"/>
      <w:r w:rsidRPr="00C7122C">
        <w:rPr>
          <w:szCs w:val="20"/>
        </w:rPr>
        <w:t xml:space="preserve">If any difficulty arises in applying any of these assumptions or </w:t>
      </w:r>
      <w:proofErr w:type="gramStart"/>
      <w:r w:rsidRPr="00C7122C">
        <w:rPr>
          <w:szCs w:val="20"/>
        </w:rPr>
        <w:t>bases</w:t>
      </w:r>
      <w:proofErr w:type="gramEnd"/>
      <w:r w:rsidRPr="00C7122C">
        <w:rPr>
          <w:szCs w:val="20"/>
        </w:rPr>
        <w:t xml:space="preserve"> then the Independent Expert shall resolve that difficulty in whatever manner it shall in its absolute discretion think fit.</w:t>
      </w:r>
      <w:bookmarkEnd w:id="213"/>
    </w:p>
    <w:p w14:paraId="4E8EA27B" w14:textId="3562A346" w:rsidR="007F2EF3" w:rsidRPr="00C7122C" w:rsidRDefault="007F2EF3" w:rsidP="007F2EF3">
      <w:pPr>
        <w:pStyle w:val="Level2"/>
        <w:rPr>
          <w:szCs w:val="20"/>
        </w:rPr>
      </w:pPr>
      <w:bookmarkStart w:id="214" w:name="a739550"/>
      <w:r w:rsidRPr="00C7122C">
        <w:rPr>
          <w:szCs w:val="20"/>
        </w:rPr>
        <w:t xml:space="preserve">The Directors will give the Independent Expert access to all accounting records or other relevant documents of the </w:t>
      </w:r>
      <w:r w:rsidR="00C7122C">
        <w:rPr>
          <w:szCs w:val="20"/>
        </w:rPr>
        <w:t>Company</w:t>
      </w:r>
      <w:r w:rsidRPr="00C7122C">
        <w:rPr>
          <w:szCs w:val="20"/>
        </w:rPr>
        <w:t>, subject to it agreeing such confidentiality provisions as the Directors may reasonably impose.</w:t>
      </w:r>
      <w:bookmarkEnd w:id="214"/>
    </w:p>
    <w:p w14:paraId="50FC3AF3" w14:textId="77777777" w:rsidR="007F2EF3" w:rsidRPr="00C7122C" w:rsidRDefault="007F2EF3" w:rsidP="007F2EF3">
      <w:pPr>
        <w:pStyle w:val="Level2"/>
        <w:rPr>
          <w:szCs w:val="20"/>
        </w:rPr>
      </w:pPr>
      <w:r w:rsidRPr="00C7122C">
        <w:rPr>
          <w:szCs w:val="20"/>
        </w:rPr>
        <w:fldChar w:fldCharType="begin"/>
      </w:r>
      <w:r w:rsidRPr="00C7122C">
        <w:rPr>
          <w:szCs w:val="20"/>
        </w:rPr>
        <w:fldChar w:fldCharType="end"/>
      </w:r>
      <w:bookmarkStart w:id="215" w:name="a1031991"/>
      <w:r w:rsidRPr="00C7122C">
        <w:rPr>
          <w:szCs w:val="20"/>
        </w:rPr>
        <w:t>The parties are entitled to make submissions to the Independent Expert and shall provide (or procure that others provide) the Independent Expert with such assistance and documents as the Independent Expert may reasonably require for the purpose of reaching a decision.</w:t>
      </w:r>
      <w:bookmarkEnd w:id="215"/>
    </w:p>
    <w:p w14:paraId="776E5630" w14:textId="77777777" w:rsidR="007F2EF3" w:rsidRPr="00C7122C" w:rsidRDefault="007F2EF3" w:rsidP="007F2EF3">
      <w:pPr>
        <w:pStyle w:val="Level2"/>
        <w:rPr>
          <w:szCs w:val="20"/>
        </w:rPr>
      </w:pPr>
      <w:bookmarkStart w:id="216" w:name="a76040"/>
      <w:r w:rsidRPr="00C7122C">
        <w:rPr>
          <w:szCs w:val="20"/>
        </w:rPr>
        <w:lastRenderedPageBreak/>
        <w:t>The Independent Expert shall act as expert and not as arbitrator and its determination shall be final and binding on the parties (in the absence of fraud or manifest error).</w:t>
      </w:r>
      <w:bookmarkEnd w:id="216"/>
    </w:p>
    <w:p w14:paraId="5EED6E70" w14:textId="77777777" w:rsidR="007F2EF3" w:rsidRPr="00C7122C" w:rsidRDefault="007F2EF3" w:rsidP="007F2EF3">
      <w:pPr>
        <w:pStyle w:val="Level2"/>
        <w:rPr>
          <w:szCs w:val="20"/>
        </w:rPr>
      </w:pPr>
      <w:bookmarkStart w:id="217" w:name="a770326"/>
      <w:r w:rsidRPr="00C7122C">
        <w:rPr>
          <w:szCs w:val="20"/>
        </w:rPr>
        <w:t>The Independent Expert shall be requested to determine the Fair Value within 20 Business Days of its appointment and to deliver its certificate to the Company. Forthwith upon receipt, the Company shall deliver a copy of the certificate to the Seller.</w:t>
      </w:r>
      <w:bookmarkEnd w:id="217"/>
    </w:p>
    <w:p w14:paraId="55B2BA65" w14:textId="09A8BC58" w:rsidR="007F2EF3" w:rsidRPr="00C7122C" w:rsidRDefault="007F2EF3" w:rsidP="007F2EF3">
      <w:pPr>
        <w:pStyle w:val="Level2"/>
        <w:rPr>
          <w:szCs w:val="20"/>
        </w:rPr>
      </w:pPr>
      <w:bookmarkStart w:id="218" w:name="a467204"/>
      <w:r w:rsidRPr="00C7122C">
        <w:rPr>
          <w:szCs w:val="20"/>
        </w:rPr>
        <w:t>The cost of obtaining the Independent Expert’s certificate shall be borne by the parties in such proportions as the Independent Expert directs</w:t>
      </w:r>
      <w:bookmarkEnd w:id="218"/>
      <w:r w:rsidRPr="00C7122C">
        <w:rPr>
          <w:szCs w:val="20"/>
        </w:rPr>
        <w:t>.</w:t>
      </w:r>
    </w:p>
    <w:p w14:paraId="77171FE2" w14:textId="7E7AF54F" w:rsidR="00900B09" w:rsidRPr="0017407B" w:rsidRDefault="00A35BEC" w:rsidP="00E12420">
      <w:pPr>
        <w:pStyle w:val="Level1"/>
        <w:rPr>
          <w:sz w:val="20"/>
          <w:szCs w:val="20"/>
        </w:rPr>
      </w:pPr>
      <w:bookmarkStart w:id="219" w:name="_Toc256000020"/>
      <w:bookmarkStart w:id="220" w:name="a599340"/>
      <w:bookmarkStart w:id="221" w:name="_Toc149833902"/>
      <w:r w:rsidRPr="0017407B">
        <w:rPr>
          <w:sz w:val="20"/>
          <w:szCs w:val="20"/>
        </w:rPr>
        <w:t>Compulsory transfers</w:t>
      </w:r>
      <w:bookmarkEnd w:id="219"/>
      <w:bookmarkEnd w:id="220"/>
      <w:bookmarkEnd w:id="221"/>
    </w:p>
    <w:p w14:paraId="5759E10E" w14:textId="2E4EC0CB" w:rsidR="00900B09" w:rsidRPr="0017407B" w:rsidRDefault="00A35BEC" w:rsidP="008E1CEF">
      <w:pPr>
        <w:pStyle w:val="Level2"/>
        <w:rPr>
          <w:szCs w:val="20"/>
        </w:rPr>
      </w:pPr>
      <w:bookmarkStart w:id="222" w:name="a499248"/>
      <w:r w:rsidRPr="0017407B">
        <w:rPr>
          <w:szCs w:val="20"/>
        </w:rPr>
        <w:t xml:space="preserve">A person entitled to a Share in consequence of the bankruptcy of a Shareholder (or equivalent procedure in any jurisdiction outside England and Wales) shall be deemed to have given a </w:t>
      </w:r>
      <w:r w:rsidR="00C7122C" w:rsidRPr="0017407B">
        <w:rPr>
          <w:szCs w:val="20"/>
        </w:rPr>
        <w:t xml:space="preserve">Sale Notice </w:t>
      </w:r>
      <w:r w:rsidRPr="0017407B">
        <w:rPr>
          <w:szCs w:val="20"/>
        </w:rPr>
        <w:t>in respect of that Share at such time as the Directors may determine</w:t>
      </w:r>
      <w:bookmarkEnd w:id="222"/>
      <w:r w:rsidR="00DC406E">
        <w:rPr>
          <w:szCs w:val="20"/>
        </w:rPr>
        <w:t xml:space="preserve"> and the provisions of Article 17 shall then apply.</w:t>
      </w:r>
    </w:p>
    <w:p w14:paraId="1500FF06" w14:textId="4786BA7E" w:rsidR="00900B09" w:rsidRPr="00C7122C" w:rsidRDefault="00A35BEC" w:rsidP="00E12420">
      <w:pPr>
        <w:pStyle w:val="Level2"/>
        <w:rPr>
          <w:szCs w:val="20"/>
        </w:rPr>
      </w:pPr>
      <w:bookmarkStart w:id="223" w:name="a890822"/>
      <w:r w:rsidRPr="00C7122C">
        <w:rPr>
          <w:szCs w:val="20"/>
        </w:rPr>
        <w:t xml:space="preserve">Forthwith upon a </w:t>
      </w:r>
      <w:r w:rsidR="00C7122C">
        <w:rPr>
          <w:szCs w:val="20"/>
        </w:rPr>
        <w:t xml:space="preserve">Sale </w:t>
      </w:r>
      <w:r w:rsidRPr="00C7122C">
        <w:rPr>
          <w:szCs w:val="20"/>
        </w:rPr>
        <w:t xml:space="preserve">Notice being deemed to be served under </w:t>
      </w:r>
      <w:r w:rsidR="00DA4800">
        <w:rPr>
          <w:szCs w:val="20"/>
        </w:rPr>
        <w:t>A</w:t>
      </w:r>
      <w:r w:rsidRPr="00C7122C">
        <w:rPr>
          <w:szCs w:val="20"/>
        </w:rPr>
        <w:t>rtic</w:t>
      </w:r>
      <w:r w:rsidR="00F748C0">
        <w:rPr>
          <w:szCs w:val="20"/>
        </w:rPr>
        <w:t xml:space="preserve">le 17 </w:t>
      </w:r>
      <w:r w:rsidRPr="00C7122C">
        <w:rPr>
          <w:szCs w:val="20"/>
        </w:rPr>
        <w:t xml:space="preserve">the Shares subject to the relevant Deemed </w:t>
      </w:r>
      <w:r w:rsidR="00C7122C">
        <w:rPr>
          <w:szCs w:val="20"/>
        </w:rPr>
        <w:t xml:space="preserve">Sale </w:t>
      </w:r>
      <w:r w:rsidRPr="00C7122C">
        <w:rPr>
          <w:szCs w:val="20"/>
        </w:rPr>
        <w:t>Notice (</w:t>
      </w:r>
      <w:r w:rsidRPr="00C7122C">
        <w:rPr>
          <w:b/>
          <w:bCs/>
          <w:szCs w:val="20"/>
        </w:rPr>
        <w:t>Restricted Shares</w:t>
      </w:r>
      <w:r w:rsidRPr="00C7122C">
        <w:rPr>
          <w:szCs w:val="20"/>
        </w:rPr>
        <w:t>) shall cease to confer on the holder of them any rights:</w:t>
      </w:r>
      <w:bookmarkEnd w:id="223"/>
    </w:p>
    <w:p w14:paraId="6244553B" w14:textId="77777777" w:rsidR="00900B09" w:rsidRPr="00C7122C" w:rsidRDefault="00A35BEC" w:rsidP="00E12420">
      <w:pPr>
        <w:pStyle w:val="Level3"/>
        <w:rPr>
          <w:szCs w:val="20"/>
        </w:rPr>
      </w:pPr>
      <w:bookmarkStart w:id="224" w:name="a884186"/>
      <w:r w:rsidRPr="00C7122C">
        <w:rPr>
          <w:szCs w:val="20"/>
        </w:rPr>
        <w:t xml:space="preserve">to vote (whether on a show of hands, on a poll or otherwise and whether in person, by proxy or otherwise), including in respect of any resolution of any class of </w:t>
      </w:r>
      <w:proofErr w:type="gramStart"/>
      <w:r w:rsidRPr="00C7122C">
        <w:rPr>
          <w:szCs w:val="20"/>
        </w:rPr>
        <w:t>Shares;</w:t>
      </w:r>
      <w:bookmarkEnd w:id="224"/>
      <w:proofErr w:type="gramEnd"/>
    </w:p>
    <w:p w14:paraId="7286A048" w14:textId="403A4FC8" w:rsidR="00900B09" w:rsidRPr="00C7122C" w:rsidRDefault="00A35BEC" w:rsidP="00E12420">
      <w:pPr>
        <w:pStyle w:val="Level3"/>
        <w:rPr>
          <w:szCs w:val="20"/>
        </w:rPr>
      </w:pPr>
      <w:bookmarkStart w:id="225" w:name="a638516"/>
      <w:r w:rsidRPr="00C7122C">
        <w:rPr>
          <w:szCs w:val="20"/>
        </w:rPr>
        <w:t>to receive dividends or other distributions otherwise attaching to those Shares; or</w:t>
      </w:r>
      <w:bookmarkEnd w:id="225"/>
    </w:p>
    <w:p w14:paraId="31BFE0EB" w14:textId="3E87A604" w:rsidR="00900B09" w:rsidRPr="00C7122C" w:rsidRDefault="00A35BEC" w:rsidP="00E12420">
      <w:pPr>
        <w:pStyle w:val="Level3"/>
        <w:rPr>
          <w:szCs w:val="20"/>
        </w:rPr>
      </w:pPr>
      <w:r w:rsidRPr="00C7122C">
        <w:rPr>
          <w:szCs w:val="20"/>
        </w:rPr>
        <w:fldChar w:fldCharType="begin"/>
      </w:r>
      <w:r w:rsidRPr="00C7122C">
        <w:rPr>
          <w:szCs w:val="20"/>
        </w:rPr>
        <w:fldChar w:fldCharType="end"/>
      </w:r>
      <w:bookmarkStart w:id="226" w:name="a375528"/>
      <w:r w:rsidRPr="00C7122C">
        <w:rPr>
          <w:szCs w:val="20"/>
        </w:rPr>
        <w:t>to participate in any future issue of Shares.</w:t>
      </w:r>
      <w:bookmarkEnd w:id="226"/>
    </w:p>
    <w:p w14:paraId="29246D77" w14:textId="72FDA109" w:rsidR="00900B09" w:rsidRPr="0017407B" w:rsidRDefault="00A35BEC" w:rsidP="00A35855">
      <w:pPr>
        <w:pStyle w:val="Body2"/>
        <w:rPr>
          <w:szCs w:val="20"/>
        </w:rPr>
      </w:pPr>
      <w:r w:rsidRPr="00C7122C">
        <w:rPr>
          <w:szCs w:val="20"/>
        </w:rPr>
        <w:t>The Directors may reinstate the rights referred to in</w:t>
      </w:r>
      <w:r w:rsidR="00F748C0" w:rsidRPr="00F748C0">
        <w:rPr>
          <w:szCs w:val="20"/>
        </w:rPr>
        <w:t xml:space="preserve"> </w:t>
      </w:r>
      <w:r w:rsidR="00F748C0">
        <w:rPr>
          <w:szCs w:val="20"/>
        </w:rPr>
        <w:t>A</w:t>
      </w:r>
      <w:r w:rsidR="00F748C0" w:rsidRPr="00C7122C">
        <w:rPr>
          <w:szCs w:val="20"/>
        </w:rPr>
        <w:t>rti</w:t>
      </w:r>
      <w:r w:rsidR="00F748C0">
        <w:rPr>
          <w:szCs w:val="20"/>
        </w:rPr>
        <w:t>cle 17.2</w:t>
      </w:r>
      <w:r w:rsidRPr="00C7122C">
        <w:rPr>
          <w:szCs w:val="20"/>
        </w:rPr>
        <w:t xml:space="preserve"> at any time and, in any event, such rights shall be reinstated in respect of any Shares transferred pursuant to </w:t>
      </w:r>
      <w:r w:rsidR="00F748C0">
        <w:rPr>
          <w:szCs w:val="20"/>
        </w:rPr>
        <w:t>Article 17</w:t>
      </w:r>
      <w:r w:rsidRPr="00C7122C">
        <w:rPr>
          <w:szCs w:val="20"/>
        </w:rPr>
        <w:t xml:space="preserve"> on completion </w:t>
      </w:r>
      <w:r w:rsidRPr="0017407B">
        <w:rPr>
          <w:szCs w:val="20"/>
        </w:rPr>
        <w:t>of such transfer</w:t>
      </w:r>
      <w:r w:rsidR="008E1CEF" w:rsidRPr="0017407B">
        <w:rPr>
          <w:szCs w:val="20"/>
        </w:rPr>
        <w:t>.</w:t>
      </w:r>
    </w:p>
    <w:p w14:paraId="75883CC1" w14:textId="4E21D235" w:rsidR="00900B09" w:rsidRPr="0017407B" w:rsidRDefault="00C7122C" w:rsidP="00E12420">
      <w:pPr>
        <w:pStyle w:val="Level1"/>
        <w:rPr>
          <w:sz w:val="20"/>
          <w:szCs w:val="20"/>
        </w:rPr>
      </w:pPr>
      <w:bookmarkStart w:id="227" w:name="_Ref142319831"/>
      <w:bookmarkStart w:id="228" w:name="_Toc149833903"/>
      <w:r w:rsidRPr="0017407B">
        <w:rPr>
          <w:sz w:val="20"/>
          <w:szCs w:val="20"/>
        </w:rPr>
        <w:t>Tag Along</w:t>
      </w:r>
      <w:bookmarkEnd w:id="227"/>
      <w:bookmarkEnd w:id="228"/>
    </w:p>
    <w:p w14:paraId="57F3C9D4" w14:textId="4002DDB9" w:rsidR="00D54FE8" w:rsidRPr="0017407B" w:rsidRDefault="00D54FE8" w:rsidP="00D54FE8">
      <w:pPr>
        <w:pStyle w:val="Level2"/>
        <w:rPr>
          <w:szCs w:val="20"/>
        </w:rPr>
      </w:pPr>
      <w:bookmarkStart w:id="229" w:name="a293627"/>
      <w:r w:rsidRPr="0017407B">
        <w:rPr>
          <w:szCs w:val="20"/>
        </w:rPr>
        <w:t xml:space="preserve">In the event that a proposed transfer of Shares (other than a transfer of Shares made pursuant to </w:t>
      </w:r>
      <w:r w:rsidR="00BF2404">
        <w:rPr>
          <w:szCs w:val="20"/>
        </w:rPr>
        <w:t>Article 17</w:t>
      </w:r>
      <w:r w:rsidR="00BF2404" w:rsidRPr="0017407B" w:rsidDel="00BF2404">
        <w:rPr>
          <w:szCs w:val="20"/>
        </w:rPr>
        <w:t xml:space="preserve"> </w:t>
      </w:r>
      <w:r w:rsidRPr="0017407B">
        <w:rPr>
          <w:szCs w:val="20"/>
        </w:rPr>
        <w:t xml:space="preserve">(Compulsory Transfers), but after the operation of the pre-emption procedure set out in </w:t>
      </w:r>
      <w:r w:rsidR="00BF2404">
        <w:rPr>
          <w:szCs w:val="20"/>
        </w:rPr>
        <w:t>Article 15</w:t>
      </w:r>
      <w:r w:rsidRPr="0017407B">
        <w:rPr>
          <w:szCs w:val="20"/>
        </w:rPr>
        <w:t xml:space="preserve">), whether made as one or as a series of transactions (a </w:t>
      </w:r>
      <w:r w:rsidRPr="0017407B">
        <w:rPr>
          <w:rFonts w:eastAsia="Arial"/>
          <w:b/>
          <w:bCs/>
          <w:color w:val="000000"/>
          <w:szCs w:val="20"/>
        </w:rPr>
        <w:t>Proposed Transfer</w:t>
      </w:r>
      <w:r w:rsidRPr="0017407B">
        <w:rPr>
          <w:szCs w:val="20"/>
        </w:rPr>
        <w:t xml:space="preserve">) would, if completed, result in any person other than an existing Shareholder (the </w:t>
      </w:r>
      <w:r w:rsidRPr="0017407B">
        <w:rPr>
          <w:rFonts w:eastAsia="Arial"/>
          <w:b/>
          <w:bCs/>
          <w:color w:val="000000"/>
          <w:szCs w:val="20"/>
        </w:rPr>
        <w:t>Buyer</w:t>
      </w:r>
      <w:r w:rsidRPr="0017407B">
        <w:rPr>
          <w:szCs w:val="20"/>
        </w:rPr>
        <w:t xml:space="preserve">), together with any person acting in concert with the Buyer, acquiring a Controlling Interest, the remaining provisions of this </w:t>
      </w:r>
      <w:r w:rsidR="00BF2404">
        <w:rPr>
          <w:szCs w:val="20"/>
        </w:rPr>
        <w:t>Article 19</w:t>
      </w:r>
      <w:r w:rsidRPr="0017407B">
        <w:rPr>
          <w:szCs w:val="20"/>
        </w:rPr>
        <w:t xml:space="preserve"> shall apply.</w:t>
      </w:r>
      <w:bookmarkEnd w:id="229"/>
      <w:r w:rsidR="00CA4B1C" w:rsidRPr="0017407B">
        <w:rPr>
          <w:szCs w:val="20"/>
        </w:rPr>
        <w:t xml:space="preserve">  </w:t>
      </w:r>
    </w:p>
    <w:p w14:paraId="3E92A38E" w14:textId="65010A44" w:rsidR="00D54FE8" w:rsidRPr="00C7122C" w:rsidRDefault="00D54FE8" w:rsidP="00D54FE8">
      <w:pPr>
        <w:pStyle w:val="Level2"/>
        <w:rPr>
          <w:szCs w:val="20"/>
        </w:rPr>
      </w:pPr>
      <w:bookmarkStart w:id="230" w:name="a834329"/>
      <w:bookmarkStart w:id="231" w:name="_Ref142576284"/>
      <w:r w:rsidRPr="00C7122C">
        <w:rPr>
          <w:szCs w:val="20"/>
        </w:rPr>
        <w:t xml:space="preserve">The Company shall procure that, prior to the completion of the Proposed Transfer, the Buyer shall make an offer (the </w:t>
      </w:r>
      <w:r w:rsidRPr="00C7122C">
        <w:rPr>
          <w:rFonts w:eastAsia="Arial"/>
          <w:b/>
          <w:bCs/>
          <w:color w:val="000000"/>
          <w:szCs w:val="20"/>
        </w:rPr>
        <w:t>Offer</w:t>
      </w:r>
      <w:r w:rsidRPr="00C7122C">
        <w:rPr>
          <w:szCs w:val="20"/>
        </w:rPr>
        <w:t xml:space="preserve">) to each Shareholder (each an </w:t>
      </w:r>
      <w:r w:rsidRPr="00C7122C">
        <w:rPr>
          <w:b/>
          <w:szCs w:val="20"/>
        </w:rPr>
        <w:t>Offeree</w:t>
      </w:r>
      <w:r w:rsidRPr="00C7122C">
        <w:rPr>
          <w:szCs w:val="20"/>
        </w:rPr>
        <w:t xml:space="preserve">) on the date of the Offer other than any holder(s) of Restricted Shares, to buy all of the </w:t>
      </w:r>
      <w:r w:rsidR="00092D22">
        <w:rPr>
          <w:szCs w:val="20"/>
        </w:rPr>
        <w:t>Shares</w:t>
      </w:r>
      <w:r w:rsidRPr="00C7122C">
        <w:rPr>
          <w:szCs w:val="20"/>
        </w:rPr>
        <w:t xml:space="preserve"> held by such Offerees on the date of the Offer for a consideration in cash per Equity Share (the </w:t>
      </w:r>
      <w:r w:rsidRPr="00C7122C">
        <w:rPr>
          <w:rFonts w:eastAsia="Arial"/>
          <w:b/>
          <w:bCs/>
          <w:color w:val="000000"/>
          <w:szCs w:val="20"/>
        </w:rPr>
        <w:t>Offer Price</w:t>
      </w:r>
      <w:r w:rsidRPr="00C7122C">
        <w:rPr>
          <w:szCs w:val="20"/>
        </w:rPr>
        <w:t xml:space="preserve">) which is equal to the highest price per Equity Share offered, paid or to be paid by the Buyer, or any person acting in concert with the Buyer, for any </w:t>
      </w:r>
      <w:r w:rsidR="00092D22">
        <w:rPr>
          <w:szCs w:val="20"/>
        </w:rPr>
        <w:t>Shares</w:t>
      </w:r>
      <w:r w:rsidRPr="00C7122C">
        <w:rPr>
          <w:szCs w:val="20"/>
        </w:rPr>
        <w:t xml:space="preserve"> in connection with the Proposed Transfer</w:t>
      </w:r>
      <w:bookmarkEnd w:id="230"/>
      <w:r w:rsidRPr="00C7122C">
        <w:rPr>
          <w:szCs w:val="20"/>
        </w:rPr>
        <w:t>.</w:t>
      </w:r>
      <w:bookmarkEnd w:id="231"/>
    </w:p>
    <w:p w14:paraId="1A995AC0" w14:textId="77777777" w:rsidR="00D54FE8" w:rsidRPr="00C7122C" w:rsidRDefault="00D54FE8" w:rsidP="00D54FE8">
      <w:pPr>
        <w:pStyle w:val="Level2"/>
        <w:rPr>
          <w:szCs w:val="20"/>
        </w:rPr>
      </w:pPr>
      <w:bookmarkStart w:id="232" w:name="a212222"/>
      <w:r w:rsidRPr="00C7122C">
        <w:rPr>
          <w:szCs w:val="20"/>
        </w:rPr>
        <w:t xml:space="preserve">The Offer shall be made by notice in writing (an </w:t>
      </w:r>
      <w:r w:rsidRPr="00C7122C">
        <w:rPr>
          <w:rFonts w:eastAsia="Arial"/>
          <w:b/>
          <w:bCs/>
          <w:color w:val="000000"/>
          <w:szCs w:val="20"/>
        </w:rPr>
        <w:t>Offer Notice</w:t>
      </w:r>
      <w:r w:rsidRPr="00C7122C">
        <w:rPr>
          <w:szCs w:val="20"/>
        </w:rPr>
        <w:t xml:space="preserve">) addressed to each Offeree on the date of the Offer at least 20 Business Days (the </w:t>
      </w:r>
      <w:r w:rsidRPr="00C7122C">
        <w:rPr>
          <w:rFonts w:eastAsia="Arial"/>
          <w:b/>
          <w:bCs/>
          <w:color w:val="000000"/>
          <w:szCs w:val="20"/>
        </w:rPr>
        <w:t>Offer Period</w:t>
      </w:r>
      <w:r w:rsidRPr="00C7122C">
        <w:rPr>
          <w:szCs w:val="20"/>
        </w:rPr>
        <w:t xml:space="preserve">) before the date fixed for completion of the Proposed Transfer (the </w:t>
      </w:r>
      <w:r w:rsidRPr="00C7122C">
        <w:rPr>
          <w:rFonts w:eastAsia="Arial"/>
          <w:b/>
          <w:bCs/>
          <w:color w:val="000000"/>
          <w:szCs w:val="20"/>
        </w:rPr>
        <w:t>Sale Date</w:t>
      </w:r>
      <w:r w:rsidRPr="00C7122C">
        <w:rPr>
          <w:szCs w:val="20"/>
        </w:rPr>
        <w:t>). The Offer Notice shall specify:</w:t>
      </w:r>
      <w:bookmarkEnd w:id="232"/>
    </w:p>
    <w:p w14:paraId="083B3B44" w14:textId="77777777" w:rsidR="00D54FE8" w:rsidRPr="00C7122C" w:rsidRDefault="00D54FE8" w:rsidP="00D54FE8">
      <w:pPr>
        <w:pStyle w:val="Level3"/>
        <w:rPr>
          <w:szCs w:val="20"/>
        </w:rPr>
      </w:pPr>
      <w:bookmarkStart w:id="233" w:name="a812967"/>
      <w:r w:rsidRPr="00C7122C">
        <w:rPr>
          <w:szCs w:val="20"/>
        </w:rPr>
        <w:t>the identity of the Buyer (and any person(s) acting in concert with the Buyer</w:t>
      </w:r>
      <w:proofErr w:type="gramStart"/>
      <w:r w:rsidRPr="00C7122C">
        <w:rPr>
          <w:szCs w:val="20"/>
        </w:rPr>
        <w:t>);</w:t>
      </w:r>
      <w:bookmarkEnd w:id="233"/>
      <w:proofErr w:type="gramEnd"/>
    </w:p>
    <w:p w14:paraId="635D4611" w14:textId="77777777" w:rsidR="00D54FE8" w:rsidRPr="00C7122C" w:rsidRDefault="00D54FE8" w:rsidP="00D54FE8">
      <w:pPr>
        <w:pStyle w:val="Level3"/>
        <w:rPr>
          <w:szCs w:val="20"/>
        </w:rPr>
      </w:pPr>
      <w:bookmarkStart w:id="234" w:name="a276310"/>
      <w:r w:rsidRPr="00C7122C">
        <w:rPr>
          <w:szCs w:val="20"/>
        </w:rPr>
        <w:lastRenderedPageBreak/>
        <w:t xml:space="preserve">the Offer Price and any other terms and conditions of the </w:t>
      </w:r>
      <w:proofErr w:type="gramStart"/>
      <w:r w:rsidRPr="00C7122C">
        <w:rPr>
          <w:szCs w:val="20"/>
        </w:rPr>
        <w:t>Offer;</w:t>
      </w:r>
      <w:bookmarkEnd w:id="234"/>
      <w:proofErr w:type="gramEnd"/>
    </w:p>
    <w:p w14:paraId="0C55D405" w14:textId="77777777" w:rsidR="00D54FE8" w:rsidRPr="00C7122C" w:rsidRDefault="00D54FE8" w:rsidP="00D54FE8">
      <w:pPr>
        <w:pStyle w:val="Level3"/>
        <w:rPr>
          <w:szCs w:val="20"/>
        </w:rPr>
      </w:pPr>
      <w:bookmarkStart w:id="235" w:name="a620703"/>
      <w:r w:rsidRPr="00C7122C">
        <w:rPr>
          <w:szCs w:val="20"/>
        </w:rPr>
        <w:t>the Sale Date; and</w:t>
      </w:r>
      <w:bookmarkEnd w:id="235"/>
    </w:p>
    <w:p w14:paraId="53B36F20" w14:textId="4CFDF57A" w:rsidR="00D54FE8" w:rsidRPr="00C7122C" w:rsidRDefault="00D54FE8" w:rsidP="00D54FE8">
      <w:pPr>
        <w:pStyle w:val="Level3"/>
        <w:rPr>
          <w:szCs w:val="20"/>
        </w:rPr>
      </w:pPr>
      <w:bookmarkStart w:id="236" w:name="a381394"/>
      <w:r w:rsidRPr="00C7122C">
        <w:rPr>
          <w:szCs w:val="20"/>
        </w:rPr>
        <w:t xml:space="preserve">the number of </w:t>
      </w:r>
      <w:r w:rsidR="00092D22">
        <w:rPr>
          <w:szCs w:val="20"/>
        </w:rPr>
        <w:t>Shares</w:t>
      </w:r>
      <w:r w:rsidRPr="00C7122C">
        <w:rPr>
          <w:szCs w:val="20"/>
        </w:rPr>
        <w:t xml:space="preserve"> which would be held by the Buyer (and persons acting in concert with the Buyer) on completion of the Proposed Transfer.</w:t>
      </w:r>
      <w:bookmarkEnd w:id="236"/>
    </w:p>
    <w:p w14:paraId="25BAF804" w14:textId="77777777" w:rsidR="00D54FE8" w:rsidRPr="00C7122C" w:rsidRDefault="00D54FE8" w:rsidP="00D54FE8">
      <w:pPr>
        <w:pStyle w:val="Level2"/>
        <w:rPr>
          <w:szCs w:val="20"/>
        </w:rPr>
      </w:pPr>
      <w:bookmarkStart w:id="237" w:name="a853101"/>
      <w:r w:rsidRPr="00C7122C">
        <w:rPr>
          <w:szCs w:val="20"/>
        </w:rPr>
        <w:t>The completion of the Proposed Transfer shall be conditional in all respects on:</w:t>
      </w:r>
      <w:bookmarkEnd w:id="237"/>
    </w:p>
    <w:p w14:paraId="10C97FAE" w14:textId="36E9703B" w:rsidR="00D54FE8" w:rsidRPr="00C7122C" w:rsidRDefault="00D54FE8" w:rsidP="00D54FE8">
      <w:pPr>
        <w:pStyle w:val="Level3"/>
        <w:rPr>
          <w:szCs w:val="20"/>
        </w:rPr>
      </w:pPr>
      <w:bookmarkStart w:id="238" w:name="a624748"/>
      <w:r w:rsidRPr="00C7122C">
        <w:rPr>
          <w:szCs w:val="20"/>
        </w:rPr>
        <w:t xml:space="preserve">the making of an Offer in accordance with </w:t>
      </w:r>
      <w:r w:rsidR="00BF2404">
        <w:rPr>
          <w:szCs w:val="20"/>
        </w:rPr>
        <w:t>Article 18.2</w:t>
      </w:r>
      <w:r w:rsidRPr="00C7122C">
        <w:rPr>
          <w:szCs w:val="20"/>
        </w:rPr>
        <w:fldChar w:fldCharType="begin"/>
      </w:r>
      <w:r w:rsidRPr="00C7122C">
        <w:rPr>
          <w:szCs w:val="20"/>
        </w:rPr>
        <w:instrText xml:space="preserve"> REF _Ref112941105 \r \h </w:instrText>
      </w:r>
      <w:r w:rsidR="00D90415" w:rsidRPr="00C7122C">
        <w:rPr>
          <w:szCs w:val="20"/>
        </w:rPr>
        <w:instrText xml:space="preserve"> \* MERGEFORMAT </w:instrText>
      </w:r>
      <w:r w:rsidRPr="00C7122C">
        <w:rPr>
          <w:szCs w:val="20"/>
        </w:rPr>
      </w:r>
      <w:r w:rsidR="00000000">
        <w:rPr>
          <w:szCs w:val="20"/>
        </w:rPr>
        <w:fldChar w:fldCharType="separate"/>
      </w:r>
      <w:r w:rsidRPr="00C7122C">
        <w:rPr>
          <w:szCs w:val="20"/>
        </w:rPr>
        <w:fldChar w:fldCharType="end"/>
      </w:r>
      <w:r w:rsidRPr="00C7122C">
        <w:rPr>
          <w:szCs w:val="20"/>
        </w:rPr>
        <w:t>; and</w:t>
      </w:r>
      <w:bookmarkEnd w:id="238"/>
    </w:p>
    <w:p w14:paraId="1D3401F7" w14:textId="18106204" w:rsidR="00D54FE8" w:rsidRPr="00C7122C" w:rsidRDefault="00D54FE8" w:rsidP="00D54FE8">
      <w:pPr>
        <w:pStyle w:val="Level3"/>
        <w:rPr>
          <w:szCs w:val="20"/>
        </w:rPr>
      </w:pPr>
      <w:bookmarkStart w:id="239" w:name="a575387"/>
      <w:r w:rsidRPr="00C7122C">
        <w:rPr>
          <w:szCs w:val="20"/>
        </w:rPr>
        <w:t xml:space="preserve">the completion of the transfer of any </w:t>
      </w:r>
      <w:r w:rsidR="00092D22">
        <w:rPr>
          <w:szCs w:val="20"/>
        </w:rPr>
        <w:t>Shares</w:t>
      </w:r>
      <w:r w:rsidRPr="00C7122C">
        <w:rPr>
          <w:szCs w:val="20"/>
        </w:rPr>
        <w:t xml:space="preserve"> by any Offeree (each an </w:t>
      </w:r>
      <w:r w:rsidRPr="00C7122C">
        <w:rPr>
          <w:rFonts w:eastAsia="Arial"/>
          <w:color w:val="000000"/>
          <w:szCs w:val="20"/>
        </w:rPr>
        <w:t>Accepting Offeree</w:t>
      </w:r>
      <w:r w:rsidRPr="00C7122C">
        <w:rPr>
          <w:szCs w:val="20"/>
        </w:rPr>
        <w:t>) who accepts the Offer within the Offer Period</w:t>
      </w:r>
      <w:bookmarkEnd w:id="239"/>
      <w:r w:rsidRPr="00C7122C">
        <w:rPr>
          <w:szCs w:val="20"/>
        </w:rPr>
        <w:t>; and</w:t>
      </w:r>
    </w:p>
    <w:p w14:paraId="6F3C2CB5" w14:textId="4CBB836C" w:rsidR="00D54FE8" w:rsidRPr="00C7122C" w:rsidRDefault="00D54FE8" w:rsidP="00D54FE8">
      <w:pPr>
        <w:pStyle w:val="Level3"/>
        <w:numPr>
          <w:ilvl w:val="0"/>
          <w:numId w:val="0"/>
        </w:numPr>
        <w:ind w:left="1474"/>
        <w:rPr>
          <w:szCs w:val="20"/>
        </w:rPr>
      </w:pPr>
      <w:r w:rsidRPr="00C7122C">
        <w:rPr>
          <w:szCs w:val="20"/>
        </w:rPr>
        <w:t xml:space="preserve">the Directors shall refuse to register any Proposed Transfer made in breach of this </w:t>
      </w:r>
      <w:r w:rsidR="00BF2404">
        <w:rPr>
          <w:szCs w:val="20"/>
        </w:rPr>
        <w:t>Article 18.4.</w:t>
      </w:r>
    </w:p>
    <w:p w14:paraId="728BFCA2" w14:textId="763E4DD9" w:rsidR="00D54FE8" w:rsidRPr="00C7122C" w:rsidRDefault="00D54FE8" w:rsidP="00D54FE8">
      <w:pPr>
        <w:pStyle w:val="Level2"/>
        <w:rPr>
          <w:szCs w:val="20"/>
        </w:rPr>
      </w:pPr>
      <w:bookmarkStart w:id="240" w:name="a298535"/>
      <w:r w:rsidRPr="00C7122C">
        <w:rPr>
          <w:szCs w:val="20"/>
        </w:rPr>
        <w:t xml:space="preserve">The Proposed Transfer is, but the purchase of Shares from Accepting Offerees pursuant to an Offer made under this </w:t>
      </w:r>
      <w:r w:rsidR="00BF2404">
        <w:rPr>
          <w:szCs w:val="20"/>
        </w:rPr>
        <w:t>Article 18</w:t>
      </w:r>
      <w:r w:rsidR="003D1ED0">
        <w:rPr>
          <w:szCs w:val="20"/>
        </w:rPr>
        <w:t xml:space="preserve"> </w:t>
      </w:r>
      <w:r w:rsidRPr="00C7122C">
        <w:rPr>
          <w:szCs w:val="20"/>
        </w:rPr>
        <w:t xml:space="preserve">shall not be, subject to the pre-emption provisions of </w:t>
      </w:r>
      <w:r w:rsidR="00BF2404">
        <w:rPr>
          <w:szCs w:val="20"/>
        </w:rPr>
        <w:t>Article 15</w:t>
      </w:r>
      <w:r w:rsidRPr="00C7122C">
        <w:rPr>
          <w:szCs w:val="20"/>
        </w:rPr>
        <w:t>.</w:t>
      </w:r>
      <w:bookmarkEnd w:id="240"/>
    </w:p>
    <w:p w14:paraId="7311167B" w14:textId="028A147F" w:rsidR="00900B09" w:rsidRPr="00C7122C" w:rsidRDefault="00A35BEC" w:rsidP="00E12420">
      <w:pPr>
        <w:pStyle w:val="Level1"/>
        <w:rPr>
          <w:sz w:val="20"/>
          <w:szCs w:val="20"/>
        </w:rPr>
      </w:pPr>
      <w:bookmarkStart w:id="241" w:name="_Toc256000022"/>
      <w:bookmarkStart w:id="242" w:name="a457892"/>
      <w:bookmarkStart w:id="243" w:name="_Toc149833904"/>
      <w:r w:rsidRPr="00C7122C">
        <w:rPr>
          <w:sz w:val="20"/>
          <w:szCs w:val="20"/>
        </w:rPr>
        <w:t xml:space="preserve">Drag </w:t>
      </w:r>
      <w:proofErr w:type="gramStart"/>
      <w:r w:rsidRPr="00C7122C">
        <w:rPr>
          <w:sz w:val="20"/>
          <w:szCs w:val="20"/>
        </w:rPr>
        <w:t>along</w:t>
      </w:r>
      <w:bookmarkEnd w:id="241"/>
      <w:bookmarkEnd w:id="242"/>
      <w:bookmarkEnd w:id="243"/>
      <w:proofErr w:type="gramEnd"/>
    </w:p>
    <w:p w14:paraId="6A07FD64" w14:textId="3494490D" w:rsidR="00D54FE8" w:rsidRPr="00C7122C" w:rsidRDefault="00D54FE8" w:rsidP="00D54FE8">
      <w:pPr>
        <w:pStyle w:val="Level2"/>
        <w:rPr>
          <w:szCs w:val="20"/>
        </w:rPr>
      </w:pPr>
      <w:bookmarkStart w:id="244" w:name="a78272"/>
      <w:r w:rsidRPr="00C7122C">
        <w:rPr>
          <w:szCs w:val="20"/>
        </w:rPr>
        <w:t xml:space="preserve">If Shareholders </w:t>
      </w:r>
      <w:r w:rsidR="000A0D12">
        <w:rPr>
          <w:szCs w:val="20"/>
        </w:rPr>
        <w:t xml:space="preserve">(excluding holders of Deferred Shares) </w:t>
      </w:r>
      <w:r w:rsidR="003D1ED0">
        <w:rPr>
          <w:szCs w:val="20"/>
        </w:rPr>
        <w:t xml:space="preserve">holding </w:t>
      </w:r>
      <w:r w:rsidR="0047012C">
        <w:rPr>
          <w:szCs w:val="20"/>
        </w:rPr>
        <w:t xml:space="preserve">at least </w:t>
      </w:r>
      <w:r w:rsidR="003D1ED0">
        <w:rPr>
          <w:szCs w:val="20"/>
        </w:rPr>
        <w:t>7</w:t>
      </w:r>
      <w:r w:rsidR="0047012C">
        <w:rPr>
          <w:szCs w:val="20"/>
        </w:rPr>
        <w:t>6</w:t>
      </w:r>
      <w:r w:rsidR="003D1ED0">
        <w:rPr>
          <w:szCs w:val="20"/>
        </w:rPr>
        <w:t xml:space="preserve">% of the </w:t>
      </w:r>
      <w:r w:rsidR="0047012C">
        <w:rPr>
          <w:szCs w:val="20"/>
        </w:rPr>
        <w:t xml:space="preserve">nominal value of the </w:t>
      </w:r>
      <w:r w:rsidR="00995A6B">
        <w:rPr>
          <w:szCs w:val="20"/>
        </w:rPr>
        <w:t xml:space="preserve">A </w:t>
      </w:r>
      <w:r w:rsidR="00092D22">
        <w:rPr>
          <w:szCs w:val="20"/>
        </w:rPr>
        <w:t>Shares</w:t>
      </w:r>
      <w:r w:rsidR="003D1ED0">
        <w:rPr>
          <w:szCs w:val="20"/>
        </w:rPr>
        <w:t xml:space="preserve"> </w:t>
      </w:r>
      <w:r w:rsidRPr="00C7122C">
        <w:rPr>
          <w:szCs w:val="20"/>
        </w:rPr>
        <w:t xml:space="preserve">(the </w:t>
      </w:r>
      <w:r w:rsidRPr="003D1ED0">
        <w:rPr>
          <w:rFonts w:eastAsia="Arial"/>
          <w:b/>
          <w:bCs/>
          <w:color w:val="000000"/>
          <w:szCs w:val="20"/>
        </w:rPr>
        <w:t>Selling Shareholders</w:t>
      </w:r>
      <w:r w:rsidRPr="00C7122C">
        <w:rPr>
          <w:szCs w:val="20"/>
        </w:rPr>
        <w:t xml:space="preserve">) wish to transfer all of their interest in </w:t>
      </w:r>
      <w:r w:rsidR="003D1ED0">
        <w:rPr>
          <w:szCs w:val="20"/>
        </w:rPr>
        <w:t xml:space="preserve">the </w:t>
      </w:r>
      <w:r w:rsidR="00995A6B">
        <w:rPr>
          <w:szCs w:val="20"/>
        </w:rPr>
        <w:t xml:space="preserve">A </w:t>
      </w:r>
      <w:r w:rsidR="00092D22">
        <w:rPr>
          <w:szCs w:val="20"/>
        </w:rPr>
        <w:t>Shares</w:t>
      </w:r>
      <w:r w:rsidRPr="00C7122C">
        <w:rPr>
          <w:szCs w:val="20"/>
        </w:rPr>
        <w:t xml:space="preserve"> (</w:t>
      </w:r>
      <w:r w:rsidRPr="003D1ED0">
        <w:rPr>
          <w:rFonts w:eastAsia="Arial"/>
          <w:b/>
          <w:bCs/>
          <w:color w:val="000000"/>
          <w:szCs w:val="20"/>
        </w:rPr>
        <w:t>Sellers’ Shares</w:t>
      </w:r>
      <w:r w:rsidRPr="00C7122C">
        <w:rPr>
          <w:szCs w:val="20"/>
        </w:rPr>
        <w:t>) to a bona fide purchaser on arm's-length terms (</w:t>
      </w:r>
      <w:r w:rsidRPr="003D1ED0">
        <w:rPr>
          <w:rFonts w:eastAsia="Arial"/>
          <w:b/>
          <w:bCs/>
          <w:color w:val="000000"/>
          <w:szCs w:val="20"/>
        </w:rPr>
        <w:t>Proposed Buyer</w:t>
      </w:r>
      <w:r w:rsidRPr="00C7122C">
        <w:rPr>
          <w:szCs w:val="20"/>
        </w:rPr>
        <w:t>), the Selling Shareholders shall have the option (</w:t>
      </w:r>
      <w:r w:rsidRPr="003D1ED0">
        <w:rPr>
          <w:rFonts w:eastAsia="Arial"/>
          <w:b/>
          <w:bCs/>
          <w:color w:val="000000"/>
          <w:szCs w:val="20"/>
        </w:rPr>
        <w:t>Drag Along Option</w:t>
      </w:r>
      <w:r w:rsidRPr="00C7122C">
        <w:rPr>
          <w:szCs w:val="20"/>
        </w:rPr>
        <w:t xml:space="preserve">) to require all the other holders of </w:t>
      </w:r>
      <w:r w:rsidR="00092D22">
        <w:rPr>
          <w:szCs w:val="20"/>
        </w:rPr>
        <w:t>Shares</w:t>
      </w:r>
      <w:r w:rsidRPr="00C7122C">
        <w:rPr>
          <w:szCs w:val="20"/>
        </w:rPr>
        <w:t xml:space="preserve"> on the date of the request (</w:t>
      </w:r>
      <w:r w:rsidRPr="003D1ED0">
        <w:rPr>
          <w:rFonts w:eastAsia="Arial"/>
          <w:b/>
          <w:bCs/>
          <w:color w:val="000000"/>
          <w:szCs w:val="20"/>
        </w:rPr>
        <w:t>Called Shareholders</w:t>
      </w:r>
      <w:r w:rsidRPr="00C7122C">
        <w:rPr>
          <w:szCs w:val="20"/>
        </w:rPr>
        <w:t xml:space="preserve">) to sell and transfer all their interest in </w:t>
      </w:r>
      <w:r w:rsidR="00092D22">
        <w:rPr>
          <w:szCs w:val="20"/>
        </w:rPr>
        <w:t>Shares</w:t>
      </w:r>
      <w:r w:rsidRPr="00C7122C">
        <w:rPr>
          <w:szCs w:val="20"/>
        </w:rPr>
        <w:t xml:space="preserve"> to the Proposed Buyer (or as the Proposed Buyer may direct) in accordance with the provisions of this </w:t>
      </w:r>
      <w:r w:rsidR="00BF2404">
        <w:rPr>
          <w:szCs w:val="20"/>
        </w:rPr>
        <w:t>Article 19</w:t>
      </w:r>
      <w:bookmarkEnd w:id="244"/>
      <w:r w:rsidR="0017407B">
        <w:rPr>
          <w:szCs w:val="20"/>
        </w:rPr>
        <w:t>.</w:t>
      </w:r>
    </w:p>
    <w:p w14:paraId="4F90CC5B" w14:textId="77777777" w:rsidR="00D54FE8" w:rsidRPr="00C7122C" w:rsidRDefault="00D54FE8" w:rsidP="00D54FE8">
      <w:pPr>
        <w:pStyle w:val="Level2"/>
        <w:rPr>
          <w:szCs w:val="20"/>
        </w:rPr>
      </w:pPr>
      <w:bookmarkStart w:id="245" w:name="a722748"/>
      <w:r w:rsidRPr="00C7122C">
        <w:rPr>
          <w:szCs w:val="20"/>
        </w:rPr>
        <w:t xml:space="preserve">The Selling Shareholders may exercise the Drag Along Option by giving notice in writing to that effect (a </w:t>
      </w:r>
      <w:r w:rsidRPr="003D1ED0">
        <w:rPr>
          <w:rFonts w:eastAsia="Arial"/>
          <w:b/>
          <w:bCs/>
          <w:color w:val="000000"/>
          <w:szCs w:val="20"/>
        </w:rPr>
        <w:t>Drag Along Notice</w:t>
      </w:r>
      <w:r w:rsidRPr="00C7122C">
        <w:rPr>
          <w:szCs w:val="20"/>
        </w:rPr>
        <w:t>), at any time before the completion of the transfer of the Sellers' Shares, to the Proposed Buyer and each Called Shareholder. A Drag Along Notice shall specify:</w:t>
      </w:r>
      <w:bookmarkEnd w:id="245"/>
    </w:p>
    <w:p w14:paraId="00FC8F89" w14:textId="520774C8" w:rsidR="00D54FE8" w:rsidRPr="00C7122C" w:rsidRDefault="00D54FE8" w:rsidP="00D54FE8">
      <w:pPr>
        <w:pStyle w:val="Level3"/>
        <w:rPr>
          <w:szCs w:val="20"/>
        </w:rPr>
      </w:pPr>
      <w:bookmarkStart w:id="246" w:name="a786388"/>
      <w:r w:rsidRPr="00C7122C">
        <w:rPr>
          <w:szCs w:val="20"/>
        </w:rPr>
        <w:t xml:space="preserve">that the Called Shareholders are required to transfer all their </w:t>
      </w:r>
      <w:r w:rsidR="00092D22">
        <w:rPr>
          <w:szCs w:val="20"/>
        </w:rPr>
        <w:t>Shares</w:t>
      </w:r>
      <w:r w:rsidRPr="00C7122C">
        <w:rPr>
          <w:szCs w:val="20"/>
        </w:rPr>
        <w:t xml:space="preserve"> (</w:t>
      </w:r>
      <w:r w:rsidRPr="003D1ED0">
        <w:rPr>
          <w:rFonts w:eastAsia="Arial"/>
          <w:b/>
          <w:bCs/>
          <w:color w:val="000000"/>
          <w:szCs w:val="20"/>
        </w:rPr>
        <w:t>Called Shares</w:t>
      </w:r>
      <w:r w:rsidRPr="00C7122C">
        <w:rPr>
          <w:szCs w:val="20"/>
        </w:rPr>
        <w:t xml:space="preserve">) pursuant to this </w:t>
      </w:r>
      <w:r w:rsidR="00BF2404">
        <w:rPr>
          <w:szCs w:val="20"/>
        </w:rPr>
        <w:t xml:space="preserve">Article </w:t>
      </w:r>
      <w:proofErr w:type="gramStart"/>
      <w:r w:rsidR="00BF2404">
        <w:rPr>
          <w:szCs w:val="20"/>
        </w:rPr>
        <w:t>19</w:t>
      </w:r>
      <w:r w:rsidRPr="00C7122C">
        <w:rPr>
          <w:szCs w:val="20"/>
        </w:rPr>
        <w:t>;</w:t>
      </w:r>
      <w:bookmarkEnd w:id="246"/>
      <w:proofErr w:type="gramEnd"/>
    </w:p>
    <w:p w14:paraId="741B3164" w14:textId="77777777" w:rsidR="00D54FE8" w:rsidRPr="00C7122C" w:rsidRDefault="00D54FE8" w:rsidP="00D54FE8">
      <w:pPr>
        <w:pStyle w:val="Level3"/>
        <w:rPr>
          <w:szCs w:val="20"/>
        </w:rPr>
      </w:pPr>
      <w:bookmarkStart w:id="247" w:name="a421900"/>
      <w:r w:rsidRPr="00C7122C">
        <w:rPr>
          <w:szCs w:val="20"/>
        </w:rPr>
        <w:t>the identity of the Proposed Buyer (and, if relevant, the transferee(s) nominated by the Proposed Buyer</w:t>
      </w:r>
      <w:proofErr w:type="gramStart"/>
      <w:r w:rsidRPr="00C7122C">
        <w:rPr>
          <w:szCs w:val="20"/>
        </w:rPr>
        <w:t>);</w:t>
      </w:r>
      <w:bookmarkEnd w:id="247"/>
      <w:proofErr w:type="gramEnd"/>
    </w:p>
    <w:p w14:paraId="5242B321" w14:textId="49357013" w:rsidR="00D54FE8" w:rsidRPr="00C7122C" w:rsidRDefault="00D54FE8" w:rsidP="00D54FE8">
      <w:pPr>
        <w:pStyle w:val="Level3"/>
        <w:rPr>
          <w:szCs w:val="20"/>
        </w:rPr>
      </w:pPr>
      <w:bookmarkStart w:id="248" w:name="a193328"/>
      <w:r w:rsidRPr="00C7122C">
        <w:rPr>
          <w:szCs w:val="20"/>
        </w:rPr>
        <w:t>the consideration payable for the Called Shares calculated in accordance with</w:t>
      </w:r>
      <w:r w:rsidR="00BF2404">
        <w:rPr>
          <w:szCs w:val="20"/>
        </w:rPr>
        <w:t xml:space="preserve"> Article 19.4</w:t>
      </w:r>
      <w:r w:rsidRPr="00C7122C">
        <w:rPr>
          <w:szCs w:val="20"/>
        </w:rPr>
        <w:t>;</w:t>
      </w:r>
      <w:bookmarkEnd w:id="248"/>
      <w:r w:rsidR="00BF2404">
        <w:rPr>
          <w:szCs w:val="20"/>
        </w:rPr>
        <w:t xml:space="preserve"> and</w:t>
      </w:r>
    </w:p>
    <w:p w14:paraId="63DECA49" w14:textId="77777777" w:rsidR="00D54FE8" w:rsidRPr="00C7122C" w:rsidRDefault="00D54FE8" w:rsidP="00D54FE8">
      <w:pPr>
        <w:pStyle w:val="Level3"/>
        <w:rPr>
          <w:szCs w:val="20"/>
        </w:rPr>
      </w:pPr>
      <w:bookmarkStart w:id="249" w:name="a703812"/>
      <w:r w:rsidRPr="00C7122C">
        <w:rPr>
          <w:szCs w:val="20"/>
        </w:rPr>
        <w:t>the proposed date of completion of transfer of the Called Shares.</w:t>
      </w:r>
      <w:bookmarkEnd w:id="249"/>
    </w:p>
    <w:p w14:paraId="75032F6D" w14:textId="77777777" w:rsidR="00D54FE8" w:rsidRPr="00C7122C" w:rsidRDefault="00D54FE8" w:rsidP="00D54FE8">
      <w:pPr>
        <w:pStyle w:val="Level2"/>
        <w:rPr>
          <w:szCs w:val="20"/>
        </w:rPr>
      </w:pPr>
      <w:bookmarkStart w:id="250" w:name="a933543"/>
      <w:r w:rsidRPr="00C7122C">
        <w:rPr>
          <w:szCs w:val="20"/>
        </w:rPr>
        <w:t xml:space="preserve">Once given, a Drag Along Notice may not be revoked. However, a Drag Along Notice shall lapse if, for any reason, the Selling Shareholders have not completed the transfer of all the Sellers' Shares to the Proposed Buyer (or as the Proposed Buyer may direct) within 20 Business Days of serving the Drag Along Notice. The Selling Shareholders may serve further Drag Along Notices following the lapse of any </w:t>
      </w:r>
      <w:proofErr w:type="gramStart"/>
      <w:r w:rsidRPr="00C7122C">
        <w:rPr>
          <w:szCs w:val="20"/>
        </w:rPr>
        <w:t>particular Drag</w:t>
      </w:r>
      <w:proofErr w:type="gramEnd"/>
      <w:r w:rsidRPr="00C7122C">
        <w:rPr>
          <w:szCs w:val="20"/>
        </w:rPr>
        <w:t xml:space="preserve"> Along Notice.</w:t>
      </w:r>
      <w:bookmarkEnd w:id="250"/>
    </w:p>
    <w:p w14:paraId="163F71CB" w14:textId="08A221E0" w:rsidR="00D54FE8" w:rsidRPr="00C7122C" w:rsidRDefault="00D54FE8" w:rsidP="00D54FE8">
      <w:pPr>
        <w:pStyle w:val="Level2"/>
        <w:rPr>
          <w:szCs w:val="20"/>
        </w:rPr>
      </w:pPr>
      <w:bookmarkStart w:id="251" w:name="a193754"/>
      <w:r w:rsidRPr="00C7122C">
        <w:rPr>
          <w:szCs w:val="20"/>
        </w:rPr>
        <w:t xml:space="preserve">The consideration (in cash or otherwise) for which the Called Shareholders shall be obliged to sell each of the Called Shares shall be that to which they would be entitled if the total consideration </w:t>
      </w:r>
      <w:r w:rsidRPr="00C7122C">
        <w:rPr>
          <w:szCs w:val="20"/>
        </w:rPr>
        <w:lastRenderedPageBreak/>
        <w:t xml:space="preserve">proposed to be paid by the Proposed Buyer were distributed to the holders of the Called Shares and the Sellers' Shares in accordance with the </w:t>
      </w:r>
      <w:r w:rsidRPr="00DC406E">
        <w:rPr>
          <w:szCs w:val="20"/>
        </w:rPr>
        <w:t xml:space="preserve">provisions of </w:t>
      </w:r>
      <w:r w:rsidR="00BF2404" w:rsidRPr="00DC406E">
        <w:rPr>
          <w:szCs w:val="20"/>
        </w:rPr>
        <w:t>Article 10</w:t>
      </w:r>
      <w:r w:rsidRPr="00DC406E">
        <w:rPr>
          <w:szCs w:val="20"/>
        </w:rPr>
        <w:t>.</w:t>
      </w:r>
      <w:bookmarkEnd w:id="251"/>
    </w:p>
    <w:p w14:paraId="1AFD42B4" w14:textId="3E9A4EBC" w:rsidR="00D54FE8" w:rsidRPr="00C7122C" w:rsidRDefault="00D54FE8" w:rsidP="00D54FE8">
      <w:pPr>
        <w:pStyle w:val="Level2"/>
        <w:rPr>
          <w:szCs w:val="20"/>
        </w:rPr>
      </w:pPr>
      <w:bookmarkStart w:id="252" w:name="a508935"/>
      <w:r w:rsidRPr="00C7122C">
        <w:rPr>
          <w:szCs w:val="20"/>
        </w:rPr>
        <w:t xml:space="preserve">No Drag Along Notice shall require a Called Shareholder to agree to any terms except those specifically set out in this </w:t>
      </w:r>
      <w:r w:rsidR="006B7166">
        <w:rPr>
          <w:szCs w:val="20"/>
        </w:rPr>
        <w:t>Article 19.</w:t>
      </w:r>
      <w:bookmarkEnd w:id="252"/>
    </w:p>
    <w:p w14:paraId="00F4B196" w14:textId="77777777" w:rsidR="00D54FE8" w:rsidRPr="00C7122C" w:rsidRDefault="00D54FE8" w:rsidP="00D54FE8">
      <w:pPr>
        <w:pStyle w:val="Level2"/>
        <w:rPr>
          <w:szCs w:val="20"/>
        </w:rPr>
      </w:pPr>
      <w:bookmarkStart w:id="253" w:name="a58997"/>
      <w:r w:rsidRPr="00C7122C">
        <w:rPr>
          <w:szCs w:val="20"/>
        </w:rPr>
        <w:t>Completion of the sale and purchase of the Called Shares shall take place on the same date as, and conditional upon the completion of, the sale and purchase of the Sellers' Shares unless:</w:t>
      </w:r>
      <w:bookmarkEnd w:id="253"/>
    </w:p>
    <w:p w14:paraId="464D71D4" w14:textId="77777777" w:rsidR="00D54FE8" w:rsidRPr="00C7122C" w:rsidRDefault="00D54FE8" w:rsidP="00D54FE8">
      <w:pPr>
        <w:pStyle w:val="Level3"/>
        <w:rPr>
          <w:szCs w:val="20"/>
        </w:rPr>
      </w:pPr>
      <w:bookmarkStart w:id="254" w:name="a86777"/>
      <w:proofErr w:type="gramStart"/>
      <w:r w:rsidRPr="00C7122C">
        <w:rPr>
          <w:szCs w:val="20"/>
        </w:rPr>
        <w:t>all of</w:t>
      </w:r>
      <w:proofErr w:type="gramEnd"/>
      <w:r w:rsidRPr="00C7122C">
        <w:rPr>
          <w:szCs w:val="20"/>
        </w:rPr>
        <w:t xml:space="preserve"> the Called Shareholders and the Selling Shareholders otherwise agree; or</w:t>
      </w:r>
      <w:bookmarkEnd w:id="254"/>
    </w:p>
    <w:p w14:paraId="24149D8C" w14:textId="77777777" w:rsidR="00D54FE8" w:rsidRPr="00C7122C" w:rsidRDefault="00D54FE8" w:rsidP="00D54FE8">
      <w:pPr>
        <w:pStyle w:val="Level3"/>
        <w:rPr>
          <w:szCs w:val="20"/>
        </w:rPr>
      </w:pPr>
      <w:bookmarkStart w:id="255" w:name="a828205"/>
      <w:r w:rsidRPr="00C7122C">
        <w:rPr>
          <w:szCs w:val="20"/>
        </w:rPr>
        <w:t>that date is less than 5 Business Days after the date of service of the Drag Along Notice, in which case completion of the sale and purchase of the Called Shares shall take place 20 Business Days after the date of service of the Drag Along Notice.</w:t>
      </w:r>
      <w:bookmarkEnd w:id="255"/>
    </w:p>
    <w:p w14:paraId="45ECC665" w14:textId="51ABBE91" w:rsidR="00D54FE8" w:rsidRPr="00C7122C" w:rsidRDefault="00D54FE8" w:rsidP="00D54FE8">
      <w:pPr>
        <w:pStyle w:val="Level2"/>
        <w:rPr>
          <w:szCs w:val="20"/>
        </w:rPr>
      </w:pPr>
      <w:bookmarkStart w:id="256" w:name="a630682"/>
      <w:r w:rsidRPr="00C7122C">
        <w:rPr>
          <w:szCs w:val="20"/>
        </w:rPr>
        <w:t xml:space="preserve">Within 20 Business Days of the Selling Shareholders serving a Drag Along Notice on the Called Shareholders, the Called Shareholders shall deliver stock transfer forms for their </w:t>
      </w:r>
      <w:r w:rsidR="00092D22">
        <w:rPr>
          <w:szCs w:val="20"/>
        </w:rPr>
        <w:t>Shares</w:t>
      </w:r>
      <w:r w:rsidRPr="00C7122C">
        <w:rPr>
          <w:szCs w:val="20"/>
        </w:rPr>
        <w:t xml:space="preserve"> in favour of the Proposed Buyer (or as the Proposed Buyer may direct), together with the </w:t>
      </w:r>
      <w:r w:rsidR="006B7166">
        <w:rPr>
          <w:szCs w:val="20"/>
        </w:rPr>
        <w:t>s</w:t>
      </w:r>
      <w:r w:rsidRPr="00C7122C">
        <w:rPr>
          <w:szCs w:val="20"/>
        </w:rPr>
        <w:t xml:space="preserve">hare certificate(s) in respect of those </w:t>
      </w:r>
      <w:r w:rsidR="00092D22">
        <w:rPr>
          <w:szCs w:val="20"/>
        </w:rPr>
        <w:t>Shares</w:t>
      </w:r>
      <w:r w:rsidRPr="00C7122C">
        <w:rPr>
          <w:szCs w:val="20"/>
        </w:rPr>
        <w:t xml:space="preserve"> (or a suitable indemnity in respect thereof) to the Company.</w:t>
      </w:r>
      <w:r w:rsidR="006B7166">
        <w:rPr>
          <w:szCs w:val="20"/>
        </w:rPr>
        <w:t xml:space="preserve"> </w:t>
      </w:r>
      <w:r w:rsidRPr="00C7122C">
        <w:rPr>
          <w:szCs w:val="20"/>
        </w:rPr>
        <w:t xml:space="preserve">On the expiration of that 20 Business Day period the Company shall pay the Called Shareholders, on behalf of the Proposed Buyer, the amounts they are respectively due pursuant to </w:t>
      </w:r>
      <w:r w:rsidR="006B7166">
        <w:rPr>
          <w:szCs w:val="20"/>
        </w:rPr>
        <w:t>Article 19.4</w:t>
      </w:r>
      <w:r w:rsidRPr="00C7122C">
        <w:rPr>
          <w:szCs w:val="20"/>
        </w:rPr>
        <w:t xml:space="preserve"> to the extent the Proposed Buyer has put the Company in the requisite funds. The Company's receipt for the amounts due pursuant to </w:t>
      </w:r>
      <w:r w:rsidR="006B7166">
        <w:rPr>
          <w:szCs w:val="20"/>
        </w:rPr>
        <w:t>Article 19.4</w:t>
      </w:r>
      <w:r w:rsidRPr="00C7122C">
        <w:rPr>
          <w:szCs w:val="20"/>
        </w:rPr>
        <w:t xml:space="preserve"> shall be a good discharge to the Proposed Buyer. The Company shall hold the amounts due to the Called Shareholders pursuant to </w:t>
      </w:r>
      <w:r w:rsidR="006B7166">
        <w:rPr>
          <w:szCs w:val="20"/>
        </w:rPr>
        <w:t>Article 19.4</w:t>
      </w:r>
      <w:r w:rsidRPr="00C7122C">
        <w:rPr>
          <w:szCs w:val="20"/>
        </w:rPr>
        <w:t xml:space="preserve"> in trust for the Called Shareholders without any obligation to pay interest.</w:t>
      </w:r>
      <w:bookmarkEnd w:id="256"/>
    </w:p>
    <w:p w14:paraId="2783F5EC" w14:textId="54C7CAC8" w:rsidR="00D54FE8" w:rsidRPr="00C7122C" w:rsidRDefault="00D54FE8" w:rsidP="00D54FE8">
      <w:pPr>
        <w:pStyle w:val="Level2"/>
        <w:rPr>
          <w:szCs w:val="20"/>
        </w:rPr>
      </w:pPr>
      <w:bookmarkStart w:id="257" w:name="a211532"/>
      <w:r w:rsidRPr="00C7122C">
        <w:rPr>
          <w:szCs w:val="20"/>
        </w:rPr>
        <w:t xml:space="preserve">To the extent that the Proposed Buyer has not, on the expiration of the 20 Business Day period, put the Company in funds to pay the amounts due pursuant to </w:t>
      </w:r>
      <w:r w:rsidR="006B7166">
        <w:rPr>
          <w:szCs w:val="20"/>
        </w:rPr>
        <w:t>Article 19.4</w:t>
      </w:r>
      <w:r w:rsidRPr="00C7122C">
        <w:rPr>
          <w:szCs w:val="20"/>
        </w:rPr>
        <w:t xml:space="preserve">, the Called Shareholders shall be entitled to the return of the stock transfer forms and share certificate(s) (or suitable indemnity) for the relevant </w:t>
      </w:r>
      <w:r w:rsidR="00092D22">
        <w:rPr>
          <w:szCs w:val="20"/>
        </w:rPr>
        <w:t>Shares</w:t>
      </w:r>
      <w:r w:rsidRPr="00C7122C">
        <w:rPr>
          <w:szCs w:val="20"/>
        </w:rPr>
        <w:t xml:space="preserve"> and the Called Shareholders shall have no further rights or obligations under this </w:t>
      </w:r>
      <w:r w:rsidR="006B7166">
        <w:rPr>
          <w:szCs w:val="20"/>
        </w:rPr>
        <w:t>Article 19</w:t>
      </w:r>
      <w:r w:rsidRPr="00C7122C">
        <w:rPr>
          <w:szCs w:val="20"/>
        </w:rPr>
        <w:t xml:space="preserve"> in respect of their </w:t>
      </w:r>
      <w:r w:rsidR="00092D22">
        <w:rPr>
          <w:szCs w:val="20"/>
        </w:rPr>
        <w:t>Shares</w:t>
      </w:r>
      <w:r w:rsidRPr="00C7122C">
        <w:rPr>
          <w:szCs w:val="20"/>
        </w:rPr>
        <w:t>.</w:t>
      </w:r>
      <w:bookmarkEnd w:id="257"/>
    </w:p>
    <w:p w14:paraId="0C7E216D" w14:textId="647D36E6" w:rsidR="00D54FE8" w:rsidRPr="00C7122C" w:rsidRDefault="00D54FE8" w:rsidP="00D54FE8">
      <w:pPr>
        <w:pStyle w:val="Level2"/>
        <w:rPr>
          <w:szCs w:val="20"/>
        </w:rPr>
      </w:pPr>
      <w:bookmarkStart w:id="258" w:name="a353537"/>
      <w:r w:rsidRPr="00C7122C">
        <w:rPr>
          <w:szCs w:val="20"/>
        </w:rPr>
        <w:t xml:space="preserve">If any Called Shareholder fails to deliver to the Company a duly executed stock transfer form (or forms) in respect of the Called Shares held by them (together with the share certificate(s) in respect of those Called Shares (or a suitable indemnity in respect thereof)) the defaulting Called Shareholder shall be deemed to have appointed any person nominated for the purpose by the Selling Shareholders to be their agent and attorney to execute and deliver all necessary transfers on their behalf, against receipt by the Company (on trust for such holder) of the consideration payable for the Called Shares. After the Proposed Buyer (or person(s) nominated by the Proposed Buyer) has been registered as the holder of any such Called Shares, the validity of such proceedings shall not be questioned by any person. Failure to produce a share certificate shall not impede the registration of any transfer of Shares under this </w:t>
      </w:r>
      <w:r w:rsidR="006B7166">
        <w:rPr>
          <w:szCs w:val="20"/>
        </w:rPr>
        <w:t>Article 19</w:t>
      </w:r>
      <w:r w:rsidRPr="00C7122C">
        <w:rPr>
          <w:szCs w:val="20"/>
        </w:rPr>
        <w:t>.</w:t>
      </w:r>
      <w:bookmarkEnd w:id="258"/>
    </w:p>
    <w:p w14:paraId="5DD4F909" w14:textId="5471FD71" w:rsidR="00D54FE8" w:rsidRPr="00C7122C" w:rsidRDefault="00D54FE8" w:rsidP="00D54FE8">
      <w:pPr>
        <w:pStyle w:val="Level2"/>
        <w:rPr>
          <w:szCs w:val="20"/>
        </w:rPr>
      </w:pPr>
      <w:bookmarkStart w:id="259" w:name="a501753"/>
      <w:r w:rsidRPr="00C7122C">
        <w:rPr>
          <w:szCs w:val="20"/>
        </w:rPr>
        <w:t>Upon any person, following the issue of a Drag</w:t>
      </w:r>
      <w:r w:rsidR="006B7166">
        <w:rPr>
          <w:szCs w:val="20"/>
        </w:rPr>
        <w:t xml:space="preserve"> </w:t>
      </w:r>
      <w:r w:rsidRPr="00C7122C">
        <w:rPr>
          <w:szCs w:val="20"/>
        </w:rPr>
        <w:t xml:space="preserve">Along Notice, becoming a Shareholder (or increasing an existing shareholding) including, without limitation, pursuant to the exercise of any option, warrant or other right to acquire or subscribe for, or to convert any security into, </w:t>
      </w:r>
      <w:r w:rsidR="00092D22">
        <w:rPr>
          <w:szCs w:val="20"/>
        </w:rPr>
        <w:t>Shares</w:t>
      </w:r>
      <w:r w:rsidRPr="00C7122C">
        <w:rPr>
          <w:szCs w:val="20"/>
        </w:rPr>
        <w:t xml:space="preserve">, (a </w:t>
      </w:r>
      <w:r w:rsidRPr="003D1ED0">
        <w:rPr>
          <w:rFonts w:eastAsia="Arial"/>
          <w:b/>
          <w:bCs/>
          <w:color w:val="000000"/>
          <w:szCs w:val="20"/>
        </w:rPr>
        <w:t>New Shareholder</w:t>
      </w:r>
      <w:r w:rsidRPr="00C7122C">
        <w:rPr>
          <w:szCs w:val="20"/>
        </w:rPr>
        <w:t xml:space="preserve">), a Drag Along Notice shall be deemed to have been served upon the New Shareholder, on the same terms as the previous Drag Along Notice, who shall then be bound to sell and transfer all such </w:t>
      </w:r>
      <w:r w:rsidR="00092D22">
        <w:rPr>
          <w:szCs w:val="20"/>
        </w:rPr>
        <w:t>Shares</w:t>
      </w:r>
      <w:r w:rsidRPr="00C7122C">
        <w:rPr>
          <w:szCs w:val="20"/>
        </w:rPr>
        <w:t xml:space="preserve"> acquired by them to the Proposed Buyer (or as the Proposed Buyer may direct) and the provisions of this </w:t>
      </w:r>
      <w:r w:rsidR="006B7166">
        <w:rPr>
          <w:szCs w:val="20"/>
        </w:rPr>
        <w:t>Article 19</w:t>
      </w:r>
      <w:r w:rsidRPr="00C7122C">
        <w:rPr>
          <w:szCs w:val="20"/>
        </w:rPr>
        <w:t xml:space="preserve"> shall apply mutatis mutandis to the New </w:t>
      </w:r>
      <w:r w:rsidRPr="00C7122C">
        <w:rPr>
          <w:szCs w:val="20"/>
        </w:rPr>
        <w:lastRenderedPageBreak/>
        <w:t xml:space="preserve">Shareholder, save that completion of the sale of such </w:t>
      </w:r>
      <w:r w:rsidR="00092D22">
        <w:rPr>
          <w:szCs w:val="20"/>
        </w:rPr>
        <w:t>Shares</w:t>
      </w:r>
      <w:r w:rsidRPr="00C7122C">
        <w:rPr>
          <w:szCs w:val="20"/>
        </w:rPr>
        <w:t xml:space="preserve"> shall take place forthwith upon the later of the Drag Along Notice being deemed served on the New Shareholder and the date of completion of the sale of the Called Shares. References in this </w:t>
      </w:r>
      <w:r w:rsidR="006B7166">
        <w:rPr>
          <w:szCs w:val="20"/>
        </w:rPr>
        <w:t>Article 19.1</w:t>
      </w:r>
      <w:r w:rsidR="003C64AD">
        <w:rPr>
          <w:szCs w:val="20"/>
        </w:rPr>
        <w:t>0</w:t>
      </w:r>
      <w:r w:rsidRPr="00C7122C">
        <w:rPr>
          <w:szCs w:val="20"/>
        </w:rPr>
        <w:t xml:space="preserve"> to a person becoming a Shareholder (or increasing an existing shareholding) shall include the Company, in respect of the acquisition of any of its own </w:t>
      </w:r>
      <w:r w:rsidR="00092D22">
        <w:rPr>
          <w:szCs w:val="20"/>
        </w:rPr>
        <w:t>Shares</w:t>
      </w:r>
      <w:r w:rsidRPr="00C7122C">
        <w:rPr>
          <w:szCs w:val="20"/>
        </w:rPr>
        <w:t>.</w:t>
      </w:r>
      <w:bookmarkEnd w:id="259"/>
    </w:p>
    <w:p w14:paraId="4E62AF14" w14:textId="49A31719" w:rsidR="00D54FE8" w:rsidRPr="00C7122C" w:rsidRDefault="00D54FE8" w:rsidP="00D54FE8">
      <w:pPr>
        <w:pStyle w:val="Level2"/>
        <w:rPr>
          <w:szCs w:val="20"/>
        </w:rPr>
      </w:pPr>
      <w:bookmarkStart w:id="260" w:name="a797386"/>
      <w:r w:rsidRPr="00C7122C">
        <w:rPr>
          <w:szCs w:val="20"/>
        </w:rPr>
        <w:t xml:space="preserve">A transfer of Called Shares to a Proposed Buyer (or as the Proposed Buyer may direct) pursuant to a sale in respect of which a Drag Along Notice has been duly served shall not be subject to the pre-emption provisions of </w:t>
      </w:r>
      <w:r w:rsidR="003C64AD">
        <w:rPr>
          <w:szCs w:val="20"/>
        </w:rPr>
        <w:t>Article 15</w:t>
      </w:r>
      <w:bookmarkEnd w:id="260"/>
      <w:r w:rsidRPr="00C7122C">
        <w:rPr>
          <w:szCs w:val="20"/>
        </w:rPr>
        <w:t>.</w:t>
      </w:r>
    </w:p>
    <w:p w14:paraId="3AE35FD1" w14:textId="77777777" w:rsidR="00D54FE8" w:rsidRPr="00C7122C" w:rsidRDefault="00D54FE8" w:rsidP="00D54FE8">
      <w:pPr>
        <w:pStyle w:val="Level2"/>
        <w:rPr>
          <w:szCs w:val="20"/>
        </w:rPr>
      </w:pPr>
      <w:bookmarkStart w:id="261" w:name="a239830"/>
      <w:r w:rsidRPr="00C7122C">
        <w:rPr>
          <w:szCs w:val="20"/>
        </w:rPr>
        <w:t>Any Sale Notice or Deemed Sale Notice served in respect of the transfer of any Share which has not completed before the date of service of a Drag Along Notice shall automatically be revoked by the service of a Drag Along Notice.</w:t>
      </w:r>
      <w:bookmarkEnd w:id="261"/>
    </w:p>
    <w:p w14:paraId="1C9330D1" w14:textId="08E034A1" w:rsidR="00900B09" w:rsidRPr="00C7122C" w:rsidRDefault="00A35BEC" w:rsidP="00A211F7">
      <w:pPr>
        <w:pStyle w:val="Subtitle"/>
        <w:rPr>
          <w:sz w:val="20"/>
        </w:rPr>
      </w:pPr>
      <w:r w:rsidRPr="00C7122C">
        <w:rPr>
          <w:sz w:val="20"/>
        </w:rPr>
        <w:t>DECISION-MAKING BY SHAREHOLDERS</w:t>
      </w:r>
      <w:r w:rsidR="008A3D38">
        <w:rPr>
          <w:sz w:val="20"/>
        </w:rPr>
        <w:t xml:space="preserve"> </w:t>
      </w:r>
    </w:p>
    <w:p w14:paraId="55C47E3E" w14:textId="06410C6E" w:rsidR="00900B09" w:rsidRPr="00C7122C" w:rsidRDefault="00A35BEC" w:rsidP="00E12420">
      <w:pPr>
        <w:pStyle w:val="Level1"/>
        <w:rPr>
          <w:sz w:val="20"/>
          <w:szCs w:val="20"/>
        </w:rPr>
      </w:pPr>
      <w:bookmarkStart w:id="262" w:name="_Toc256000023"/>
      <w:bookmarkStart w:id="263" w:name="a272265"/>
      <w:bookmarkStart w:id="264" w:name="_Toc149833905"/>
      <w:r w:rsidRPr="00C7122C">
        <w:rPr>
          <w:sz w:val="20"/>
          <w:szCs w:val="20"/>
        </w:rPr>
        <w:t>General meetings</w:t>
      </w:r>
      <w:bookmarkEnd w:id="262"/>
      <w:bookmarkEnd w:id="263"/>
      <w:bookmarkEnd w:id="264"/>
    </w:p>
    <w:p w14:paraId="6E2BF2D4" w14:textId="082889EC" w:rsidR="00900B09" w:rsidRPr="00C7122C" w:rsidRDefault="00A35BEC" w:rsidP="00E12420">
      <w:pPr>
        <w:pStyle w:val="Level2"/>
        <w:rPr>
          <w:szCs w:val="20"/>
        </w:rPr>
      </w:pPr>
      <w:bookmarkStart w:id="265" w:name="a898417"/>
      <w:r w:rsidRPr="00C7122C">
        <w:rPr>
          <w:szCs w:val="20"/>
        </w:rPr>
        <w:t xml:space="preserve">No business other than, subject to </w:t>
      </w:r>
      <w:r w:rsidR="003C64AD">
        <w:rPr>
          <w:szCs w:val="20"/>
        </w:rPr>
        <w:t>Article 20.2</w:t>
      </w:r>
      <w:r w:rsidRPr="00C7122C">
        <w:rPr>
          <w:szCs w:val="20"/>
        </w:rPr>
        <w:t>, the appointment of the chair of the meeting</w:t>
      </w:r>
      <w:r w:rsidR="00DF0B5F" w:rsidRPr="00C7122C">
        <w:rPr>
          <w:szCs w:val="20"/>
        </w:rPr>
        <w:t xml:space="preserve"> (</w:t>
      </w:r>
      <w:r w:rsidR="00DF0B5F" w:rsidRPr="00C7122C">
        <w:rPr>
          <w:b/>
          <w:bCs/>
          <w:szCs w:val="20"/>
        </w:rPr>
        <w:t>Chair</w:t>
      </w:r>
      <w:r w:rsidR="00DF0B5F" w:rsidRPr="00C7122C">
        <w:rPr>
          <w:szCs w:val="20"/>
        </w:rPr>
        <w:t>)</w:t>
      </w:r>
      <w:r w:rsidRPr="00C7122C">
        <w:rPr>
          <w:szCs w:val="20"/>
        </w:rPr>
        <w:t xml:space="preserve"> is to be transacted at a general meeting unless a quorum is present at the commencement of the meeting </w:t>
      </w:r>
      <w:proofErr w:type="gramStart"/>
      <w:r w:rsidRPr="00C7122C">
        <w:rPr>
          <w:szCs w:val="20"/>
        </w:rPr>
        <w:t>and also</w:t>
      </w:r>
      <w:proofErr w:type="gramEnd"/>
      <w:r w:rsidRPr="00C7122C">
        <w:rPr>
          <w:szCs w:val="20"/>
        </w:rPr>
        <w:t xml:space="preserve"> when that business is voted on.</w:t>
      </w:r>
      <w:bookmarkEnd w:id="265"/>
    </w:p>
    <w:p w14:paraId="270F94D8" w14:textId="77777777" w:rsidR="00900B09" w:rsidRPr="00C7122C" w:rsidRDefault="00A35BEC" w:rsidP="00E12420">
      <w:pPr>
        <w:pStyle w:val="Level2"/>
        <w:rPr>
          <w:szCs w:val="20"/>
        </w:rPr>
      </w:pPr>
      <w:bookmarkStart w:id="266" w:name="a561265"/>
      <w:r w:rsidRPr="00C7122C">
        <w:rPr>
          <w:szCs w:val="20"/>
        </w:rPr>
        <w:t>The Chair shall chair general meetings. If there is no Chair in office for the time being, or the Chair is unable to attend any general meeting, the Directors present (or, if no Directors are present, the meeting) must appoint another Director present at the meeting (or, if no Directors are present, a Shareholder) to chair the meeting and the appointment of the chair of the meeting must be the first business of the meeting.</w:t>
      </w:r>
      <w:bookmarkEnd w:id="266"/>
    </w:p>
    <w:p w14:paraId="1BCDF69E" w14:textId="08868599" w:rsidR="00900B09" w:rsidRPr="00C7122C" w:rsidRDefault="00A35BEC" w:rsidP="00E12420">
      <w:pPr>
        <w:pStyle w:val="Level1"/>
        <w:rPr>
          <w:sz w:val="20"/>
          <w:szCs w:val="20"/>
        </w:rPr>
      </w:pPr>
      <w:bookmarkStart w:id="267" w:name="_Toc256000024"/>
      <w:bookmarkStart w:id="268" w:name="a1019957"/>
      <w:bookmarkStart w:id="269" w:name="_Toc149833906"/>
      <w:r w:rsidRPr="00C7122C">
        <w:rPr>
          <w:sz w:val="20"/>
          <w:szCs w:val="20"/>
        </w:rPr>
        <w:t>Voting</w:t>
      </w:r>
      <w:bookmarkEnd w:id="267"/>
      <w:bookmarkEnd w:id="268"/>
      <w:bookmarkEnd w:id="269"/>
    </w:p>
    <w:p w14:paraId="4ADF8A36" w14:textId="31DB52C8" w:rsidR="00900B09" w:rsidRPr="00C7122C" w:rsidRDefault="00A35BEC" w:rsidP="00E12420">
      <w:pPr>
        <w:pStyle w:val="Level2"/>
        <w:rPr>
          <w:szCs w:val="20"/>
        </w:rPr>
      </w:pPr>
      <w:bookmarkStart w:id="270" w:name="a461088"/>
      <w:r w:rsidRPr="00C7122C">
        <w:rPr>
          <w:szCs w:val="20"/>
        </w:rPr>
        <w:t>A poll may be demanded at any general meeting by any qualifying person (as defined in section 318 of the Act) present and entitled to vote at the meeting.</w:t>
      </w:r>
      <w:r w:rsidRPr="00C7122C">
        <w:rPr>
          <w:szCs w:val="20"/>
        </w:rPr>
        <w:fldChar w:fldCharType="begin"/>
      </w:r>
      <w:r w:rsidRPr="00C7122C">
        <w:rPr>
          <w:szCs w:val="20"/>
        </w:rPr>
        <w:fldChar w:fldCharType="end"/>
      </w:r>
      <w:bookmarkEnd w:id="270"/>
    </w:p>
    <w:p w14:paraId="7CC611BB" w14:textId="77777777" w:rsidR="00900B09" w:rsidRPr="00C7122C" w:rsidRDefault="00A35BEC" w:rsidP="00E12420">
      <w:pPr>
        <w:pStyle w:val="Level2"/>
        <w:rPr>
          <w:szCs w:val="20"/>
        </w:rPr>
      </w:pPr>
      <w:bookmarkStart w:id="271" w:name="a1027198"/>
      <w:r w:rsidRPr="00C7122C">
        <w:rPr>
          <w:szCs w:val="20"/>
        </w:rPr>
        <w:t>Model article 44(3) shall be amended by the insertion of the words "A demand so withdrawn shall not invalidate the result of a show of hands declared before the demand was made" as a new paragraph at the end of that model article.</w:t>
      </w:r>
      <w:bookmarkEnd w:id="271"/>
    </w:p>
    <w:p w14:paraId="55A32426" w14:textId="77777777" w:rsidR="00900B09" w:rsidRPr="00C7122C" w:rsidRDefault="00A35BEC" w:rsidP="00E12420">
      <w:pPr>
        <w:pStyle w:val="Level2"/>
        <w:rPr>
          <w:szCs w:val="20"/>
        </w:rPr>
      </w:pPr>
      <w:bookmarkStart w:id="272" w:name="a328867"/>
      <w:r w:rsidRPr="00C7122C">
        <w:rPr>
          <w:szCs w:val="20"/>
        </w:rPr>
        <w:t>Model article 45(1) shall be amended by:</w:t>
      </w:r>
      <w:bookmarkEnd w:id="272"/>
    </w:p>
    <w:p w14:paraId="6EAEB153" w14:textId="77777777" w:rsidR="00900B09" w:rsidRPr="00C7122C" w:rsidRDefault="00A35BEC" w:rsidP="00E12420">
      <w:pPr>
        <w:pStyle w:val="Level3"/>
        <w:rPr>
          <w:szCs w:val="20"/>
        </w:rPr>
      </w:pPr>
      <w:bookmarkStart w:id="273" w:name="a689441"/>
      <w:r w:rsidRPr="00C7122C">
        <w:rPr>
          <w:szCs w:val="20"/>
        </w:rPr>
        <w:t xml:space="preserve">the deletion of model article 45(1)(d) and its replacement with the words "is delivered to the company in accordance with the Articles not less than 48 hours before the time appointed for holding the meeting or adjourned </w:t>
      </w:r>
      <w:proofErr w:type="gramStart"/>
      <w:r w:rsidRPr="00C7122C">
        <w:rPr>
          <w:szCs w:val="20"/>
        </w:rPr>
        <w:t>meeting</w:t>
      </w:r>
      <w:proofErr w:type="gramEnd"/>
      <w:r w:rsidRPr="00C7122C">
        <w:rPr>
          <w:szCs w:val="20"/>
        </w:rPr>
        <w:t xml:space="preserve"> at which the right to vote is to be exercised and in accordance with any instructions contained in the notice of the general meeting (or adjourned meeting) to which they relate"; and</w:t>
      </w:r>
      <w:bookmarkEnd w:id="273"/>
    </w:p>
    <w:p w14:paraId="3ED5B018" w14:textId="46FB2032" w:rsidR="00900B09" w:rsidRPr="00C7122C" w:rsidRDefault="00A35BEC" w:rsidP="00E12420">
      <w:pPr>
        <w:pStyle w:val="Level3"/>
        <w:rPr>
          <w:szCs w:val="20"/>
        </w:rPr>
      </w:pPr>
      <w:bookmarkStart w:id="274" w:name="a76561"/>
      <w:r w:rsidRPr="00C7122C">
        <w:rPr>
          <w:szCs w:val="20"/>
        </w:rPr>
        <w:t>the insertion of the words "and a proxy notice which is not delivered in such manner shall be invalid</w:t>
      </w:r>
      <w:r w:rsidR="003C64AD">
        <w:rPr>
          <w:szCs w:val="20"/>
        </w:rPr>
        <w:t xml:space="preserve">, </w:t>
      </w:r>
      <w:r w:rsidRPr="00C7122C">
        <w:rPr>
          <w:szCs w:val="20"/>
        </w:rPr>
        <w:t>unless the Directors, in their discretion, accept the notice at any time before the meeting" as a new paragraph at the end of that model article.</w:t>
      </w:r>
      <w:bookmarkEnd w:id="274"/>
    </w:p>
    <w:p w14:paraId="26D154C6" w14:textId="2BBFFA71" w:rsidR="00900B09" w:rsidRPr="00C7122C" w:rsidRDefault="00A35BEC" w:rsidP="00E12420">
      <w:pPr>
        <w:pStyle w:val="Level1"/>
        <w:rPr>
          <w:sz w:val="20"/>
          <w:szCs w:val="20"/>
        </w:rPr>
      </w:pPr>
      <w:bookmarkStart w:id="275" w:name="_Toc256000025"/>
      <w:bookmarkStart w:id="276" w:name="a638953"/>
      <w:bookmarkStart w:id="277" w:name="_Toc149833907"/>
      <w:r w:rsidRPr="00C7122C">
        <w:rPr>
          <w:sz w:val="20"/>
          <w:szCs w:val="20"/>
        </w:rPr>
        <w:t>Purchase of own shares</w:t>
      </w:r>
      <w:bookmarkEnd w:id="275"/>
      <w:bookmarkEnd w:id="276"/>
      <w:bookmarkEnd w:id="277"/>
    </w:p>
    <w:p w14:paraId="47505932" w14:textId="5FAC143F" w:rsidR="00D54FE8" w:rsidRPr="00C7122C" w:rsidRDefault="00D54FE8" w:rsidP="00DF0B5F">
      <w:pPr>
        <w:pStyle w:val="Level2"/>
        <w:numPr>
          <w:ilvl w:val="0"/>
          <w:numId w:val="0"/>
        </w:numPr>
        <w:ind w:left="680"/>
        <w:rPr>
          <w:szCs w:val="20"/>
        </w:rPr>
      </w:pPr>
      <w:bookmarkStart w:id="278" w:name="a152157"/>
      <w:r w:rsidRPr="00C7122C">
        <w:rPr>
          <w:szCs w:val="20"/>
        </w:rPr>
        <w:t>Nothing in these Articles shall restrict or prohibit the Company purchasing its own Shares</w:t>
      </w:r>
      <w:r w:rsidR="00DF0B5F" w:rsidRPr="00C7122C">
        <w:rPr>
          <w:szCs w:val="20"/>
        </w:rPr>
        <w:t>.</w:t>
      </w:r>
      <w:r w:rsidRPr="00C7122C">
        <w:rPr>
          <w:szCs w:val="20"/>
        </w:rPr>
        <w:t xml:space="preserve">  </w:t>
      </w:r>
      <w:bookmarkEnd w:id="278"/>
    </w:p>
    <w:p w14:paraId="49700FB6" w14:textId="7EF790A6" w:rsidR="00900B09" w:rsidRPr="00C7122C" w:rsidRDefault="00A35BEC" w:rsidP="00E12420">
      <w:pPr>
        <w:pStyle w:val="Level1"/>
        <w:rPr>
          <w:sz w:val="20"/>
          <w:szCs w:val="20"/>
        </w:rPr>
      </w:pPr>
      <w:bookmarkStart w:id="279" w:name="_Toc256000026"/>
      <w:bookmarkStart w:id="280" w:name="a545934"/>
      <w:bookmarkStart w:id="281" w:name="_Toc149833908"/>
      <w:r w:rsidRPr="00C7122C">
        <w:rPr>
          <w:sz w:val="20"/>
          <w:szCs w:val="20"/>
        </w:rPr>
        <w:lastRenderedPageBreak/>
        <w:t>Company's Lien over Shares</w:t>
      </w:r>
      <w:bookmarkEnd w:id="279"/>
      <w:bookmarkEnd w:id="280"/>
      <w:bookmarkEnd w:id="281"/>
    </w:p>
    <w:p w14:paraId="6B1794AD" w14:textId="77777777" w:rsidR="00900B09" w:rsidRPr="00C7122C" w:rsidRDefault="00A35BEC" w:rsidP="00E12420">
      <w:pPr>
        <w:pStyle w:val="Level2"/>
        <w:rPr>
          <w:szCs w:val="20"/>
        </w:rPr>
      </w:pPr>
      <w:bookmarkStart w:id="282" w:name="a342989"/>
      <w:r w:rsidRPr="00C7122C">
        <w:rPr>
          <w:szCs w:val="20"/>
        </w:rPr>
        <w:t xml:space="preserve">The Company has a lien (the </w:t>
      </w:r>
      <w:r w:rsidRPr="00C7122C">
        <w:rPr>
          <w:b/>
          <w:szCs w:val="20"/>
        </w:rPr>
        <w:t>Company's Lien</w:t>
      </w:r>
      <w:r w:rsidRPr="00C7122C">
        <w:rPr>
          <w:szCs w:val="20"/>
        </w:rPr>
        <w:t>) over every Share which is registered in the name of a person indebted or under any liability to the Company, whether they are the sole registered holder of the Share or one of several joint holders, for all monies payable by them (either alone or jointly with any other person) to the Company, whether payable immediately or at some time in the future.</w:t>
      </w:r>
      <w:bookmarkEnd w:id="282"/>
    </w:p>
    <w:p w14:paraId="02AFAFB5" w14:textId="77777777" w:rsidR="00900B09" w:rsidRPr="00C7122C" w:rsidRDefault="00A35BEC" w:rsidP="00E12420">
      <w:pPr>
        <w:pStyle w:val="Level2"/>
        <w:rPr>
          <w:szCs w:val="20"/>
        </w:rPr>
      </w:pPr>
      <w:bookmarkStart w:id="283" w:name="a569055"/>
      <w:r w:rsidRPr="00C7122C">
        <w:rPr>
          <w:szCs w:val="20"/>
        </w:rPr>
        <w:t>The Company's Lien over a share:</w:t>
      </w:r>
      <w:bookmarkEnd w:id="283"/>
    </w:p>
    <w:p w14:paraId="28F453CD" w14:textId="77777777" w:rsidR="00900B09" w:rsidRPr="00C7122C" w:rsidRDefault="00A35BEC" w:rsidP="00E12420">
      <w:pPr>
        <w:pStyle w:val="Level3"/>
        <w:rPr>
          <w:szCs w:val="20"/>
        </w:rPr>
      </w:pPr>
      <w:bookmarkStart w:id="284" w:name="a844178"/>
      <w:r w:rsidRPr="00C7122C">
        <w:rPr>
          <w:szCs w:val="20"/>
        </w:rPr>
        <w:t>takes priority over any third party's interest in that Share; and</w:t>
      </w:r>
      <w:bookmarkEnd w:id="284"/>
    </w:p>
    <w:p w14:paraId="403F96EC" w14:textId="31EFDA2D" w:rsidR="00900B09" w:rsidRPr="00C7122C" w:rsidRDefault="00A35BEC" w:rsidP="00E12420">
      <w:pPr>
        <w:pStyle w:val="Level3"/>
        <w:rPr>
          <w:szCs w:val="20"/>
        </w:rPr>
      </w:pPr>
      <w:bookmarkStart w:id="285" w:name="a487649"/>
      <w:r w:rsidRPr="00C7122C">
        <w:rPr>
          <w:szCs w:val="20"/>
        </w:rPr>
        <w:t xml:space="preserve">extends to any dividend or other money payable by the Company in respect of that Share and (if the </w:t>
      </w:r>
      <w:r w:rsidR="003C64AD">
        <w:rPr>
          <w:szCs w:val="20"/>
        </w:rPr>
        <w:t>Company’s Lien</w:t>
      </w:r>
      <w:r w:rsidRPr="00C7122C">
        <w:rPr>
          <w:szCs w:val="20"/>
        </w:rPr>
        <w:t xml:space="preserve"> is enforced and the Share is sold by the Company) the proceeds of sale of that Share.</w:t>
      </w:r>
      <w:bookmarkEnd w:id="285"/>
    </w:p>
    <w:p w14:paraId="628DB619" w14:textId="77777777" w:rsidR="00900B09" w:rsidRPr="00C7122C" w:rsidRDefault="00A35BEC" w:rsidP="00E12420">
      <w:pPr>
        <w:pStyle w:val="Level2"/>
        <w:rPr>
          <w:szCs w:val="20"/>
        </w:rPr>
      </w:pPr>
      <w:bookmarkStart w:id="286" w:name="a822815"/>
      <w:r w:rsidRPr="00C7122C">
        <w:rPr>
          <w:szCs w:val="20"/>
        </w:rPr>
        <w:t>The Directors may at any time decide that a Share which is or would otherwise be subject to the Company's Lien shall not be subject to it, either wholly or in part.</w:t>
      </w:r>
      <w:bookmarkEnd w:id="286"/>
    </w:p>
    <w:p w14:paraId="718FB92B" w14:textId="7A75342D" w:rsidR="00900B09" w:rsidRPr="00C7122C" w:rsidRDefault="00A35BEC" w:rsidP="00E12420">
      <w:pPr>
        <w:pStyle w:val="Level1"/>
        <w:rPr>
          <w:sz w:val="20"/>
          <w:szCs w:val="20"/>
        </w:rPr>
      </w:pPr>
      <w:bookmarkStart w:id="287" w:name="_Toc256000027"/>
      <w:bookmarkStart w:id="288" w:name="a913255"/>
      <w:bookmarkStart w:id="289" w:name="_Toc149833909"/>
      <w:r w:rsidRPr="00C7122C">
        <w:rPr>
          <w:sz w:val="20"/>
          <w:szCs w:val="20"/>
        </w:rPr>
        <w:t>Enforcement of the Company's Lien</w:t>
      </w:r>
      <w:bookmarkEnd w:id="287"/>
      <w:bookmarkEnd w:id="288"/>
      <w:bookmarkEnd w:id="289"/>
    </w:p>
    <w:p w14:paraId="31BF8987" w14:textId="254FDDCF" w:rsidR="00900B09" w:rsidRPr="00C7122C" w:rsidRDefault="00A35BEC" w:rsidP="00E12420">
      <w:pPr>
        <w:pStyle w:val="Level2"/>
        <w:rPr>
          <w:szCs w:val="20"/>
        </w:rPr>
      </w:pPr>
      <w:bookmarkStart w:id="290" w:name="a630552"/>
      <w:r w:rsidRPr="00C7122C">
        <w:rPr>
          <w:szCs w:val="20"/>
        </w:rPr>
        <w:t xml:space="preserve">Subject to the provisions of this </w:t>
      </w:r>
      <w:r w:rsidR="003C64AD">
        <w:rPr>
          <w:szCs w:val="20"/>
        </w:rPr>
        <w:t>Article 24</w:t>
      </w:r>
      <w:r w:rsidRPr="00C7122C">
        <w:rPr>
          <w:szCs w:val="20"/>
        </w:rPr>
        <w:t>, if:</w:t>
      </w:r>
      <w:bookmarkEnd w:id="290"/>
    </w:p>
    <w:p w14:paraId="1C0BD0E5" w14:textId="77777777" w:rsidR="00900B09" w:rsidRPr="00C7122C" w:rsidRDefault="00A35BEC" w:rsidP="00E12420">
      <w:pPr>
        <w:pStyle w:val="Level3"/>
        <w:rPr>
          <w:szCs w:val="20"/>
        </w:rPr>
      </w:pPr>
      <w:bookmarkStart w:id="291" w:name="a128530"/>
      <w:r w:rsidRPr="00C7122C">
        <w:rPr>
          <w:szCs w:val="20"/>
        </w:rPr>
        <w:t>a Lien Enforcement Notice has been given in respect of a Share; and</w:t>
      </w:r>
      <w:bookmarkEnd w:id="291"/>
    </w:p>
    <w:p w14:paraId="0C59944C" w14:textId="77777777" w:rsidR="00900B09" w:rsidRPr="00C7122C" w:rsidRDefault="00A35BEC" w:rsidP="00E12420">
      <w:pPr>
        <w:pStyle w:val="Level3"/>
        <w:rPr>
          <w:szCs w:val="20"/>
        </w:rPr>
      </w:pPr>
      <w:bookmarkStart w:id="292" w:name="a900176"/>
      <w:r w:rsidRPr="00C7122C">
        <w:rPr>
          <w:szCs w:val="20"/>
        </w:rPr>
        <w:t>the person to whom the notice was given has failed to comply with it,</w:t>
      </w:r>
      <w:bookmarkEnd w:id="292"/>
    </w:p>
    <w:p w14:paraId="639AD670" w14:textId="77777777" w:rsidR="00900B09" w:rsidRPr="00C7122C" w:rsidRDefault="00A35BEC" w:rsidP="00E86519">
      <w:pPr>
        <w:pStyle w:val="Body2"/>
        <w:rPr>
          <w:szCs w:val="20"/>
        </w:rPr>
      </w:pPr>
      <w:r w:rsidRPr="00C7122C">
        <w:rPr>
          <w:szCs w:val="20"/>
        </w:rPr>
        <w:t>the Company may sell that Share in such manner as the Directors decide.</w:t>
      </w:r>
    </w:p>
    <w:p w14:paraId="462174AF" w14:textId="77777777" w:rsidR="00900B09" w:rsidRPr="00C7122C" w:rsidRDefault="00A35BEC" w:rsidP="00E12420">
      <w:pPr>
        <w:pStyle w:val="Level2"/>
        <w:rPr>
          <w:szCs w:val="20"/>
        </w:rPr>
      </w:pPr>
      <w:bookmarkStart w:id="293" w:name="a850814"/>
      <w:r w:rsidRPr="00C7122C">
        <w:rPr>
          <w:szCs w:val="20"/>
        </w:rPr>
        <w:t>A Lien Enforcement Notice:</w:t>
      </w:r>
      <w:bookmarkEnd w:id="293"/>
    </w:p>
    <w:p w14:paraId="0C8629EE" w14:textId="77777777" w:rsidR="00900B09" w:rsidRPr="00C7122C" w:rsidRDefault="00A35BEC" w:rsidP="00E12420">
      <w:pPr>
        <w:pStyle w:val="Level3"/>
        <w:rPr>
          <w:szCs w:val="20"/>
        </w:rPr>
      </w:pPr>
      <w:bookmarkStart w:id="294" w:name="a733320"/>
      <w:r w:rsidRPr="00C7122C">
        <w:rPr>
          <w:szCs w:val="20"/>
        </w:rPr>
        <w:t xml:space="preserve">may only be given in respect of a Share which is subject to the Company's Lien and in respect of a sum payable to the Company for which the due date for payment has </w:t>
      </w:r>
      <w:proofErr w:type="gramStart"/>
      <w:r w:rsidRPr="00C7122C">
        <w:rPr>
          <w:szCs w:val="20"/>
        </w:rPr>
        <w:t>passed;</w:t>
      </w:r>
      <w:bookmarkEnd w:id="294"/>
      <w:proofErr w:type="gramEnd"/>
    </w:p>
    <w:p w14:paraId="12034676" w14:textId="77777777" w:rsidR="00900B09" w:rsidRPr="00C7122C" w:rsidRDefault="00A35BEC" w:rsidP="00E12420">
      <w:pPr>
        <w:pStyle w:val="Level3"/>
        <w:rPr>
          <w:szCs w:val="20"/>
        </w:rPr>
      </w:pPr>
      <w:bookmarkStart w:id="295" w:name="a85804"/>
      <w:r w:rsidRPr="00C7122C">
        <w:rPr>
          <w:szCs w:val="20"/>
        </w:rPr>
        <w:t xml:space="preserve">must specify the Share </w:t>
      </w:r>
      <w:proofErr w:type="gramStart"/>
      <w:r w:rsidRPr="00C7122C">
        <w:rPr>
          <w:szCs w:val="20"/>
        </w:rPr>
        <w:t>concerned;</w:t>
      </w:r>
      <w:bookmarkEnd w:id="295"/>
      <w:proofErr w:type="gramEnd"/>
    </w:p>
    <w:p w14:paraId="22B2DCC8" w14:textId="39E09760" w:rsidR="00900B09" w:rsidRPr="00C7122C" w:rsidRDefault="00A35BEC" w:rsidP="00E12420">
      <w:pPr>
        <w:pStyle w:val="Level3"/>
        <w:rPr>
          <w:szCs w:val="20"/>
        </w:rPr>
      </w:pPr>
      <w:bookmarkStart w:id="296" w:name="a1028352"/>
      <w:r w:rsidRPr="00C7122C">
        <w:rPr>
          <w:szCs w:val="20"/>
        </w:rPr>
        <w:t xml:space="preserve">must require payment of the sum within 14 clear days of the notice (that is, excluding the date on which the notice is given and the date on which that </w:t>
      </w:r>
      <w:r w:rsidR="003C64AD" w:rsidRPr="00C7122C">
        <w:rPr>
          <w:szCs w:val="20"/>
        </w:rPr>
        <w:t>14-day</w:t>
      </w:r>
      <w:r w:rsidRPr="00C7122C">
        <w:rPr>
          <w:szCs w:val="20"/>
        </w:rPr>
        <w:t xml:space="preserve"> period expires</w:t>
      </w:r>
      <w:proofErr w:type="gramStart"/>
      <w:r w:rsidRPr="00C7122C">
        <w:rPr>
          <w:szCs w:val="20"/>
        </w:rPr>
        <w:t>);</w:t>
      </w:r>
      <w:bookmarkEnd w:id="296"/>
      <w:proofErr w:type="gramEnd"/>
    </w:p>
    <w:p w14:paraId="42CCBC2C" w14:textId="77777777" w:rsidR="00900B09" w:rsidRPr="00C7122C" w:rsidRDefault="00A35BEC" w:rsidP="00E12420">
      <w:pPr>
        <w:pStyle w:val="Level3"/>
        <w:rPr>
          <w:szCs w:val="20"/>
        </w:rPr>
      </w:pPr>
      <w:bookmarkStart w:id="297" w:name="a466287"/>
      <w:r w:rsidRPr="00C7122C">
        <w:rPr>
          <w:szCs w:val="20"/>
        </w:rPr>
        <w:t xml:space="preserve">must be addressed either to the holder of the Share or to a </w:t>
      </w:r>
      <w:proofErr w:type="spellStart"/>
      <w:r w:rsidRPr="00C7122C">
        <w:rPr>
          <w:szCs w:val="20"/>
        </w:rPr>
        <w:t>transmittee</w:t>
      </w:r>
      <w:proofErr w:type="spellEnd"/>
      <w:r w:rsidRPr="00C7122C">
        <w:rPr>
          <w:szCs w:val="20"/>
        </w:rPr>
        <w:t xml:space="preserve"> of that holder; and</w:t>
      </w:r>
      <w:bookmarkEnd w:id="297"/>
    </w:p>
    <w:p w14:paraId="435BC3D1" w14:textId="77777777" w:rsidR="00900B09" w:rsidRPr="00C7122C" w:rsidRDefault="00A35BEC" w:rsidP="00E12420">
      <w:pPr>
        <w:pStyle w:val="Level3"/>
        <w:rPr>
          <w:szCs w:val="20"/>
        </w:rPr>
      </w:pPr>
      <w:bookmarkStart w:id="298" w:name="a886903"/>
      <w:r w:rsidRPr="00C7122C">
        <w:rPr>
          <w:szCs w:val="20"/>
        </w:rPr>
        <w:t>must state the Company's intention to sell the Share if the notice is not complied with.</w:t>
      </w:r>
      <w:bookmarkEnd w:id="298"/>
    </w:p>
    <w:p w14:paraId="32740EFB" w14:textId="288AEBF1" w:rsidR="00900B09" w:rsidRPr="00C7122C" w:rsidRDefault="00A35BEC" w:rsidP="00E12420">
      <w:pPr>
        <w:pStyle w:val="Level2"/>
        <w:rPr>
          <w:szCs w:val="20"/>
        </w:rPr>
      </w:pPr>
      <w:bookmarkStart w:id="299" w:name="a398154"/>
      <w:r w:rsidRPr="00C7122C">
        <w:rPr>
          <w:szCs w:val="20"/>
        </w:rPr>
        <w:t xml:space="preserve">Where Shares are sold under this </w:t>
      </w:r>
      <w:r w:rsidR="003C64AD">
        <w:rPr>
          <w:szCs w:val="20"/>
        </w:rPr>
        <w:t>Article 24</w:t>
      </w:r>
      <w:r w:rsidRPr="00C7122C">
        <w:rPr>
          <w:szCs w:val="20"/>
        </w:rPr>
        <w:t>:</w:t>
      </w:r>
      <w:bookmarkEnd w:id="299"/>
    </w:p>
    <w:p w14:paraId="296F75CC" w14:textId="77777777" w:rsidR="00900B09" w:rsidRPr="00C7122C" w:rsidRDefault="00A35BEC" w:rsidP="00E12420">
      <w:pPr>
        <w:pStyle w:val="Level3"/>
        <w:rPr>
          <w:szCs w:val="20"/>
        </w:rPr>
      </w:pPr>
      <w:bookmarkStart w:id="300" w:name="a622461"/>
      <w:r w:rsidRPr="00C7122C">
        <w:rPr>
          <w:szCs w:val="20"/>
        </w:rPr>
        <w:t>the Directors may authorise any person to execute an instrument of transfer of the Shares to the purchaser or to a person nominated by the purchaser; and</w:t>
      </w:r>
      <w:bookmarkEnd w:id="300"/>
    </w:p>
    <w:p w14:paraId="3406D8F2" w14:textId="77777777" w:rsidR="00900B09" w:rsidRPr="00C7122C" w:rsidRDefault="00A35BEC" w:rsidP="00E12420">
      <w:pPr>
        <w:pStyle w:val="Level3"/>
        <w:rPr>
          <w:szCs w:val="20"/>
        </w:rPr>
      </w:pPr>
      <w:bookmarkStart w:id="301" w:name="a683958"/>
      <w:r w:rsidRPr="00C7122C">
        <w:rPr>
          <w:szCs w:val="20"/>
        </w:rPr>
        <w:t>the transferee is not bound to see to the application of the consideration, and the transferee's title is not affected by any irregularity in or invalidity of the process leading to the sale.</w:t>
      </w:r>
      <w:bookmarkEnd w:id="301"/>
    </w:p>
    <w:p w14:paraId="05BD7A7C" w14:textId="77777777" w:rsidR="00900B09" w:rsidRPr="00C7122C" w:rsidRDefault="00A35BEC" w:rsidP="00E12420">
      <w:pPr>
        <w:pStyle w:val="Level2"/>
        <w:rPr>
          <w:szCs w:val="20"/>
        </w:rPr>
      </w:pPr>
      <w:bookmarkStart w:id="302" w:name="a968309"/>
      <w:r w:rsidRPr="00C7122C">
        <w:rPr>
          <w:szCs w:val="20"/>
        </w:rPr>
        <w:t>The net proceeds of any such sale (after payment of the costs of sale and any other costs of enforcing the Company's Lien) must be applied:</w:t>
      </w:r>
      <w:bookmarkEnd w:id="302"/>
    </w:p>
    <w:p w14:paraId="51108DDC" w14:textId="21EE23EF" w:rsidR="00900B09" w:rsidRPr="00C7122C" w:rsidRDefault="00A35BEC" w:rsidP="00E12420">
      <w:pPr>
        <w:pStyle w:val="Level3"/>
        <w:rPr>
          <w:szCs w:val="20"/>
        </w:rPr>
      </w:pPr>
      <w:bookmarkStart w:id="303" w:name="a380836"/>
      <w:r w:rsidRPr="00C7122C">
        <w:rPr>
          <w:szCs w:val="20"/>
        </w:rPr>
        <w:t xml:space="preserve">first, in payment of so much of the sum for which the </w:t>
      </w:r>
      <w:r w:rsidR="003C64AD">
        <w:rPr>
          <w:szCs w:val="20"/>
        </w:rPr>
        <w:t>Company’s Lien</w:t>
      </w:r>
      <w:r w:rsidRPr="00C7122C">
        <w:rPr>
          <w:szCs w:val="20"/>
        </w:rPr>
        <w:t xml:space="preserve"> exists as was payable at the date of the Lien Enforcement Notice; and</w:t>
      </w:r>
      <w:bookmarkEnd w:id="303"/>
    </w:p>
    <w:p w14:paraId="031F0E36" w14:textId="77777777" w:rsidR="00900B09" w:rsidRPr="00C7122C" w:rsidRDefault="00A35BEC" w:rsidP="00E12420">
      <w:pPr>
        <w:pStyle w:val="Level3"/>
        <w:rPr>
          <w:szCs w:val="20"/>
        </w:rPr>
      </w:pPr>
      <w:bookmarkStart w:id="304" w:name="a408835"/>
      <w:r w:rsidRPr="00C7122C">
        <w:rPr>
          <w:szCs w:val="20"/>
        </w:rPr>
        <w:lastRenderedPageBreak/>
        <w:t>second, to the person entitled to the Shares at the date of the sale, but only after the certificate for the Shares sold has been surrendered to the Company for cancellation, or an indemnity in a form reasonably satisfactory to the Directors has been given for any lost certificates, and subject to a lien equivalent to the Company's Lien over the Shares before the sale for any money payable by that person (or their estate or any joint holder of the shares) after the date of the Lien Enforcement Notice.</w:t>
      </w:r>
      <w:bookmarkEnd w:id="304"/>
    </w:p>
    <w:p w14:paraId="5970E690" w14:textId="77777777" w:rsidR="00900B09" w:rsidRPr="00C7122C" w:rsidRDefault="00A35BEC" w:rsidP="00E12420">
      <w:pPr>
        <w:pStyle w:val="Level2"/>
        <w:rPr>
          <w:szCs w:val="20"/>
        </w:rPr>
      </w:pPr>
      <w:bookmarkStart w:id="305" w:name="a590417"/>
      <w:r w:rsidRPr="00C7122C">
        <w:rPr>
          <w:szCs w:val="20"/>
        </w:rPr>
        <w:t xml:space="preserve">A statutory declaration by a </w:t>
      </w:r>
      <w:proofErr w:type="gramStart"/>
      <w:r w:rsidRPr="00C7122C">
        <w:rPr>
          <w:szCs w:val="20"/>
        </w:rPr>
        <w:t>Director</w:t>
      </w:r>
      <w:proofErr w:type="gramEnd"/>
      <w:r w:rsidRPr="00C7122C">
        <w:rPr>
          <w:szCs w:val="20"/>
        </w:rPr>
        <w:t xml:space="preserve"> or the company secretary that the declarant is a Director or the company secretary and that a Share has been sold to satisfy the Company's Lien on a specified date:</w:t>
      </w:r>
      <w:bookmarkEnd w:id="305"/>
    </w:p>
    <w:p w14:paraId="5B49FDF3" w14:textId="77777777" w:rsidR="00900B09" w:rsidRPr="00C7122C" w:rsidRDefault="00A35BEC" w:rsidP="00E12420">
      <w:pPr>
        <w:pStyle w:val="Level3"/>
        <w:rPr>
          <w:szCs w:val="20"/>
        </w:rPr>
      </w:pPr>
      <w:bookmarkStart w:id="306" w:name="a780090"/>
      <w:r w:rsidRPr="00C7122C">
        <w:rPr>
          <w:szCs w:val="20"/>
        </w:rPr>
        <w:t>is conclusive evidence of the facts stated in it as against all persons claiming to be entitled to the Share; and</w:t>
      </w:r>
      <w:bookmarkEnd w:id="306"/>
    </w:p>
    <w:p w14:paraId="40A049BD" w14:textId="77777777" w:rsidR="00900B09" w:rsidRPr="00C7122C" w:rsidRDefault="00A35BEC" w:rsidP="00E12420">
      <w:pPr>
        <w:pStyle w:val="Level3"/>
        <w:rPr>
          <w:szCs w:val="20"/>
        </w:rPr>
      </w:pPr>
      <w:bookmarkStart w:id="307" w:name="a679913"/>
      <w:r w:rsidRPr="00C7122C">
        <w:rPr>
          <w:szCs w:val="20"/>
        </w:rPr>
        <w:t>subject to compliance with any other formalities of transfer required by the Articles or by law, constitutes a good title to the Share.</w:t>
      </w:r>
      <w:bookmarkEnd w:id="307"/>
    </w:p>
    <w:p w14:paraId="6039B82B" w14:textId="3A28E6B4" w:rsidR="00900B09" w:rsidRPr="00C7122C" w:rsidRDefault="00A35BEC" w:rsidP="00E86519">
      <w:pPr>
        <w:pStyle w:val="Subtitle"/>
        <w:rPr>
          <w:sz w:val="20"/>
        </w:rPr>
      </w:pPr>
      <w:r w:rsidRPr="00C7122C">
        <w:rPr>
          <w:sz w:val="20"/>
        </w:rPr>
        <w:t>ADMINISTRATIVE ARRANGEMENTS</w:t>
      </w:r>
    </w:p>
    <w:p w14:paraId="215B21AA" w14:textId="7D5F968F" w:rsidR="00900B09" w:rsidRPr="00C7122C" w:rsidRDefault="00A35BEC" w:rsidP="00E12420">
      <w:pPr>
        <w:pStyle w:val="Level1"/>
        <w:rPr>
          <w:sz w:val="20"/>
          <w:szCs w:val="20"/>
        </w:rPr>
      </w:pPr>
      <w:bookmarkStart w:id="308" w:name="_Toc256000028"/>
      <w:bookmarkStart w:id="309" w:name="a200960"/>
      <w:bookmarkStart w:id="310" w:name="_Toc149833910"/>
      <w:r w:rsidRPr="00C7122C">
        <w:rPr>
          <w:sz w:val="20"/>
          <w:szCs w:val="20"/>
        </w:rPr>
        <w:t xml:space="preserve">Means of communication to be </w:t>
      </w:r>
      <w:proofErr w:type="gramStart"/>
      <w:r w:rsidRPr="00C7122C">
        <w:rPr>
          <w:sz w:val="20"/>
          <w:szCs w:val="20"/>
        </w:rPr>
        <w:t>used</w:t>
      </w:r>
      <w:bookmarkEnd w:id="308"/>
      <w:bookmarkEnd w:id="309"/>
      <w:bookmarkEnd w:id="310"/>
      <w:proofErr w:type="gramEnd"/>
    </w:p>
    <w:p w14:paraId="40273AA5" w14:textId="58038209" w:rsidR="00900B09" w:rsidRPr="00C7122C" w:rsidRDefault="00A35BEC" w:rsidP="00E12420">
      <w:pPr>
        <w:pStyle w:val="Level2"/>
        <w:rPr>
          <w:szCs w:val="20"/>
        </w:rPr>
      </w:pPr>
      <w:bookmarkStart w:id="311" w:name="a557248"/>
      <w:r w:rsidRPr="00C7122C">
        <w:rPr>
          <w:szCs w:val="20"/>
        </w:rPr>
        <w:t xml:space="preserve">Subject to </w:t>
      </w:r>
      <w:r w:rsidR="003C64AD">
        <w:rPr>
          <w:szCs w:val="20"/>
        </w:rPr>
        <w:t>Article 25.3</w:t>
      </w:r>
      <w:r w:rsidRPr="00C7122C">
        <w:rPr>
          <w:szCs w:val="20"/>
        </w:rPr>
        <w:t xml:space="preserve">, any notice, </w:t>
      </w:r>
      <w:proofErr w:type="gramStart"/>
      <w:r w:rsidRPr="00C7122C">
        <w:rPr>
          <w:szCs w:val="20"/>
        </w:rPr>
        <w:t>document</w:t>
      </w:r>
      <w:proofErr w:type="gramEnd"/>
      <w:r w:rsidRPr="00C7122C">
        <w:rPr>
          <w:szCs w:val="20"/>
        </w:rPr>
        <w:t xml:space="preserve"> or other information shall be deemed received by the intended recipient:</w:t>
      </w:r>
      <w:bookmarkEnd w:id="311"/>
    </w:p>
    <w:p w14:paraId="3C019526" w14:textId="77777777" w:rsidR="00900B09" w:rsidRPr="00C7122C" w:rsidRDefault="00A35BEC" w:rsidP="00E12420">
      <w:pPr>
        <w:pStyle w:val="Level3"/>
        <w:rPr>
          <w:szCs w:val="20"/>
        </w:rPr>
      </w:pPr>
      <w:bookmarkStart w:id="312" w:name="a514871"/>
      <w:r w:rsidRPr="00C7122C">
        <w:rPr>
          <w:szCs w:val="20"/>
        </w:rPr>
        <w:t xml:space="preserve">if delivered by hand, at the time the notice, document or other information is left at the </w:t>
      </w:r>
      <w:proofErr w:type="gramStart"/>
      <w:r w:rsidRPr="00C7122C">
        <w:rPr>
          <w:szCs w:val="20"/>
        </w:rPr>
        <w:t>address;</w:t>
      </w:r>
      <w:bookmarkEnd w:id="312"/>
      <w:proofErr w:type="gramEnd"/>
    </w:p>
    <w:p w14:paraId="23C3980A" w14:textId="3D625F11" w:rsidR="00900B09" w:rsidRPr="00C7122C" w:rsidRDefault="00A35BEC" w:rsidP="00E12420">
      <w:pPr>
        <w:pStyle w:val="Level3"/>
        <w:rPr>
          <w:szCs w:val="20"/>
        </w:rPr>
      </w:pPr>
      <w:bookmarkStart w:id="313" w:name="a68179"/>
      <w:r w:rsidRPr="00C7122C">
        <w:rPr>
          <w:szCs w:val="20"/>
        </w:rPr>
        <w:t xml:space="preserve">if sent by pre-paid </w:t>
      </w:r>
      <w:proofErr w:type="gramStart"/>
      <w:r w:rsidRPr="00C7122C">
        <w:rPr>
          <w:szCs w:val="20"/>
        </w:rPr>
        <w:t>first class</w:t>
      </w:r>
      <w:proofErr w:type="gramEnd"/>
      <w:r w:rsidRPr="00C7122C">
        <w:rPr>
          <w:szCs w:val="20"/>
        </w:rPr>
        <w:t xml:space="preserve"> post or other next working day delivery service providing proof of </w:t>
      </w:r>
      <w:r w:rsidR="00D54FE8" w:rsidRPr="00C7122C">
        <w:rPr>
          <w:szCs w:val="20"/>
        </w:rPr>
        <w:t>postage</w:t>
      </w:r>
      <w:r w:rsidRPr="00C7122C">
        <w:rPr>
          <w:szCs w:val="20"/>
        </w:rPr>
        <w:t>, at 9.00 am on the second Business Day after posting;</w:t>
      </w:r>
      <w:bookmarkEnd w:id="313"/>
    </w:p>
    <w:p w14:paraId="21AC8B2E" w14:textId="5D5B34E8" w:rsidR="00900B09" w:rsidRPr="00C7122C" w:rsidRDefault="00A35BEC" w:rsidP="00E12420">
      <w:pPr>
        <w:pStyle w:val="Level3"/>
        <w:rPr>
          <w:szCs w:val="20"/>
        </w:rPr>
      </w:pPr>
      <w:bookmarkStart w:id="314" w:name="a483871"/>
      <w:r w:rsidRPr="00C7122C">
        <w:rPr>
          <w:szCs w:val="20"/>
        </w:rPr>
        <w:t xml:space="preserve">if sent by pre-paid airmail providing proof of </w:t>
      </w:r>
      <w:r w:rsidR="00826A32" w:rsidRPr="00C7122C">
        <w:rPr>
          <w:szCs w:val="20"/>
        </w:rPr>
        <w:t>postage</w:t>
      </w:r>
      <w:r w:rsidRPr="00C7122C">
        <w:rPr>
          <w:szCs w:val="20"/>
        </w:rPr>
        <w:t>, at 9.00 am on the fifth Business Day after posting;</w:t>
      </w:r>
      <w:bookmarkEnd w:id="314"/>
      <w:r w:rsidR="003C64AD">
        <w:rPr>
          <w:szCs w:val="20"/>
        </w:rPr>
        <w:t xml:space="preserve"> or</w:t>
      </w:r>
    </w:p>
    <w:p w14:paraId="73642B7D" w14:textId="1F2CF3BF" w:rsidR="00900B09" w:rsidRPr="00C7122C" w:rsidRDefault="00A35BEC" w:rsidP="00E12420">
      <w:pPr>
        <w:pStyle w:val="Level3"/>
        <w:rPr>
          <w:szCs w:val="20"/>
        </w:rPr>
      </w:pPr>
      <w:bookmarkStart w:id="315" w:name="a806404"/>
      <w:r w:rsidRPr="00C7122C">
        <w:rPr>
          <w:szCs w:val="20"/>
        </w:rPr>
        <w:t>if sent by email, at the time of transmission</w:t>
      </w:r>
      <w:bookmarkEnd w:id="315"/>
      <w:r w:rsidR="00D54FE8" w:rsidRPr="00C7122C">
        <w:rPr>
          <w:szCs w:val="20"/>
        </w:rPr>
        <w:t>.</w:t>
      </w:r>
    </w:p>
    <w:p w14:paraId="4DE34A01" w14:textId="28A6B84D" w:rsidR="00900B09" w:rsidRPr="00C7122C" w:rsidRDefault="00A35BEC" w:rsidP="00E12420">
      <w:pPr>
        <w:pStyle w:val="Level2"/>
        <w:rPr>
          <w:szCs w:val="20"/>
        </w:rPr>
      </w:pPr>
      <w:bookmarkStart w:id="316" w:name="a948583"/>
      <w:r w:rsidRPr="00C7122C">
        <w:rPr>
          <w:szCs w:val="20"/>
        </w:rPr>
        <w:t xml:space="preserve">If deemed receipt under </w:t>
      </w:r>
      <w:r w:rsidR="003C64AD">
        <w:rPr>
          <w:szCs w:val="20"/>
        </w:rPr>
        <w:t>Article 25.1</w:t>
      </w:r>
      <w:r w:rsidRPr="00C7122C">
        <w:rPr>
          <w:szCs w:val="20"/>
        </w:rPr>
        <w:t xml:space="preserve"> would occur outside business hours in the place of receipt, it shall be deferred until business hours resume. In this </w:t>
      </w:r>
      <w:r w:rsidR="003C64AD">
        <w:rPr>
          <w:szCs w:val="20"/>
        </w:rPr>
        <w:t>Article 25.2</w:t>
      </w:r>
      <w:r w:rsidRPr="00C7122C">
        <w:rPr>
          <w:szCs w:val="20"/>
        </w:rPr>
        <w:t xml:space="preserve">, business hours </w:t>
      </w:r>
      <w:proofErr w:type="gramStart"/>
      <w:r w:rsidRPr="00C7122C">
        <w:rPr>
          <w:szCs w:val="20"/>
        </w:rPr>
        <w:t>means</w:t>
      </w:r>
      <w:proofErr w:type="gramEnd"/>
      <w:r w:rsidRPr="00C7122C">
        <w:rPr>
          <w:szCs w:val="20"/>
        </w:rPr>
        <w:t xml:space="preserve"> 9.00 am to 5.00 pm Monday to Friday on a day that is not a public holiday in the place of receipt and all references to time are to local time in the place of receipt.</w:t>
      </w:r>
      <w:bookmarkEnd w:id="316"/>
    </w:p>
    <w:p w14:paraId="239AF65C" w14:textId="77777777" w:rsidR="00900B09" w:rsidRPr="00C7122C" w:rsidRDefault="00A35BEC" w:rsidP="00E12420">
      <w:pPr>
        <w:pStyle w:val="Level2"/>
        <w:rPr>
          <w:szCs w:val="20"/>
        </w:rPr>
      </w:pPr>
      <w:bookmarkStart w:id="317" w:name="a678785"/>
      <w:r w:rsidRPr="00C7122C">
        <w:rPr>
          <w:szCs w:val="20"/>
        </w:rPr>
        <w:t>To prove service, it is sufficient to prove that:</w:t>
      </w:r>
      <w:bookmarkEnd w:id="317"/>
    </w:p>
    <w:p w14:paraId="0AE9F3C7" w14:textId="6720B44F" w:rsidR="00900B09" w:rsidRPr="00C7122C" w:rsidRDefault="00A35BEC" w:rsidP="00E12420">
      <w:pPr>
        <w:pStyle w:val="Level3"/>
        <w:rPr>
          <w:szCs w:val="20"/>
        </w:rPr>
      </w:pPr>
      <w:bookmarkStart w:id="318" w:name="a604342"/>
      <w:r w:rsidRPr="00C7122C">
        <w:rPr>
          <w:szCs w:val="20"/>
        </w:rPr>
        <w:t xml:space="preserve">if delivered by hand, the notice was delivered to the correct </w:t>
      </w:r>
      <w:proofErr w:type="gramStart"/>
      <w:r w:rsidRPr="00C7122C">
        <w:rPr>
          <w:szCs w:val="20"/>
        </w:rPr>
        <w:t>address;</w:t>
      </w:r>
      <w:proofErr w:type="gramEnd"/>
      <w:r w:rsidRPr="00C7122C">
        <w:rPr>
          <w:szCs w:val="20"/>
        </w:rPr>
        <w:t xml:space="preserve"> </w:t>
      </w:r>
      <w:bookmarkEnd w:id="318"/>
    </w:p>
    <w:p w14:paraId="4C39D04A" w14:textId="186F0E68" w:rsidR="00900B09" w:rsidRPr="00C7122C" w:rsidRDefault="00A35BEC" w:rsidP="00E12420">
      <w:pPr>
        <w:pStyle w:val="Level3"/>
        <w:rPr>
          <w:szCs w:val="20"/>
        </w:rPr>
      </w:pPr>
      <w:bookmarkStart w:id="319" w:name="a228316"/>
      <w:r w:rsidRPr="00C7122C">
        <w:rPr>
          <w:szCs w:val="20"/>
        </w:rPr>
        <w:t xml:space="preserve">if sent by post or by airmail, the envelope containing the notice was properly addressed, paid </w:t>
      </w:r>
      <w:proofErr w:type="gramStart"/>
      <w:r w:rsidRPr="00C7122C">
        <w:rPr>
          <w:szCs w:val="20"/>
        </w:rPr>
        <w:t>for</w:t>
      </w:r>
      <w:proofErr w:type="gramEnd"/>
      <w:r w:rsidRPr="00C7122C">
        <w:rPr>
          <w:szCs w:val="20"/>
        </w:rPr>
        <w:t xml:space="preserve"> and posted;</w:t>
      </w:r>
      <w:bookmarkEnd w:id="319"/>
      <w:r w:rsidR="0054795F">
        <w:rPr>
          <w:szCs w:val="20"/>
        </w:rPr>
        <w:t xml:space="preserve"> or</w:t>
      </w:r>
    </w:p>
    <w:p w14:paraId="3A4C3569" w14:textId="77777777" w:rsidR="00900B09" w:rsidRPr="00C7122C" w:rsidRDefault="00A35BEC" w:rsidP="00E12420">
      <w:pPr>
        <w:pStyle w:val="Level3"/>
        <w:rPr>
          <w:szCs w:val="20"/>
        </w:rPr>
      </w:pPr>
      <w:bookmarkStart w:id="320" w:name="a1030703"/>
      <w:r w:rsidRPr="00C7122C">
        <w:rPr>
          <w:szCs w:val="20"/>
        </w:rPr>
        <w:t>if sent by email, the notice was properly addressed and sent to the email address of the recipient.</w:t>
      </w:r>
      <w:bookmarkEnd w:id="320"/>
    </w:p>
    <w:p w14:paraId="478F48DF" w14:textId="77777777" w:rsidR="00900B09" w:rsidRPr="00C7122C" w:rsidRDefault="00A35BEC" w:rsidP="00E12420">
      <w:pPr>
        <w:pStyle w:val="Level2"/>
        <w:rPr>
          <w:szCs w:val="20"/>
        </w:rPr>
      </w:pPr>
      <w:bookmarkStart w:id="321" w:name="a333010"/>
      <w:r w:rsidRPr="00C7122C">
        <w:rPr>
          <w:szCs w:val="20"/>
        </w:rPr>
        <w:t xml:space="preserve">In proving that any notice, </w:t>
      </w:r>
      <w:proofErr w:type="gramStart"/>
      <w:r w:rsidRPr="00C7122C">
        <w:rPr>
          <w:szCs w:val="20"/>
        </w:rPr>
        <w:t>document</w:t>
      </w:r>
      <w:proofErr w:type="gramEnd"/>
      <w:r w:rsidRPr="00C7122C">
        <w:rPr>
          <w:szCs w:val="20"/>
        </w:rPr>
        <w:t xml:space="preserve"> or information was properly addressed, it will suffice to show that the notice, document or information was addressed to an address permitted for the purpose by the Act.</w:t>
      </w:r>
      <w:bookmarkEnd w:id="321"/>
    </w:p>
    <w:p w14:paraId="5EEB7BFC" w14:textId="571FE1A9" w:rsidR="00900B09" w:rsidRPr="00C7122C" w:rsidRDefault="00A35BEC" w:rsidP="00E12420">
      <w:pPr>
        <w:pStyle w:val="Level1"/>
        <w:rPr>
          <w:sz w:val="20"/>
          <w:szCs w:val="20"/>
        </w:rPr>
      </w:pPr>
      <w:bookmarkStart w:id="322" w:name="_Toc256000029"/>
      <w:bookmarkStart w:id="323" w:name="a934506"/>
      <w:bookmarkStart w:id="324" w:name="_Toc149833911"/>
      <w:r w:rsidRPr="00C7122C">
        <w:rPr>
          <w:sz w:val="20"/>
          <w:szCs w:val="20"/>
        </w:rPr>
        <w:lastRenderedPageBreak/>
        <w:t>Indemnity and insurance</w:t>
      </w:r>
      <w:bookmarkEnd w:id="322"/>
      <w:bookmarkEnd w:id="323"/>
      <w:bookmarkEnd w:id="324"/>
    </w:p>
    <w:p w14:paraId="0B005EBF" w14:textId="65607DAE" w:rsidR="00900B09" w:rsidRPr="00C7122C" w:rsidRDefault="00A35BEC" w:rsidP="00E12420">
      <w:pPr>
        <w:pStyle w:val="Level2"/>
        <w:rPr>
          <w:szCs w:val="20"/>
        </w:rPr>
      </w:pPr>
      <w:bookmarkStart w:id="325" w:name="a646111"/>
      <w:r w:rsidRPr="00C7122C">
        <w:rPr>
          <w:szCs w:val="20"/>
        </w:rPr>
        <w:t xml:space="preserve">Subject to </w:t>
      </w:r>
      <w:r w:rsidR="0054795F">
        <w:rPr>
          <w:szCs w:val="20"/>
        </w:rPr>
        <w:t>Article 26.2</w:t>
      </w:r>
      <w:r w:rsidRPr="00C7122C">
        <w:rPr>
          <w:szCs w:val="20"/>
        </w:rPr>
        <w:t>, but without prejudice to any indemnity to which a Relevant Officer is otherwise entitled:</w:t>
      </w:r>
      <w:bookmarkEnd w:id="325"/>
    </w:p>
    <w:p w14:paraId="181C9DEE" w14:textId="1FF8B1F2" w:rsidR="00900B09" w:rsidRPr="00F13680" w:rsidRDefault="00A35BEC" w:rsidP="00F13680">
      <w:pPr>
        <w:pStyle w:val="Level3"/>
        <w:rPr>
          <w:szCs w:val="20"/>
        </w:rPr>
      </w:pPr>
      <w:bookmarkStart w:id="326" w:name="a511299"/>
      <w:r w:rsidRPr="00C7122C">
        <w:rPr>
          <w:szCs w:val="20"/>
        </w:rPr>
        <w:t>each Relevant Officer shall be indemnified out of the Company's assets against all costs, charges, losses, expenses and liabilities incurred by them as a Relevant Officer</w:t>
      </w:r>
      <w:bookmarkStart w:id="327" w:name="a650156"/>
      <w:bookmarkEnd w:id="326"/>
      <w:r w:rsidR="00F13680">
        <w:rPr>
          <w:szCs w:val="20"/>
        </w:rPr>
        <w:t xml:space="preserve"> </w:t>
      </w:r>
      <w:r w:rsidRPr="00F13680">
        <w:rPr>
          <w:szCs w:val="20"/>
        </w:rPr>
        <w:t xml:space="preserve">in the actual or purported execution and/or discharge of their duties, or in relation thereto </w:t>
      </w:r>
      <w:bookmarkEnd w:id="327"/>
      <w:r w:rsidRPr="00F13680">
        <w:rPr>
          <w:szCs w:val="20"/>
        </w:rPr>
        <w:t>including (in each case) any liability incurred by them in defending any civil or criminal proceedings, in which judgment is given in their favour or in which they are acquitted, or the proceedings are otherwise disposed of without any finding or admission of any material breach of duty on their part, or in connection with any application in which the court grants them, in their capacity as a Relevant Officer, relief from liability for negligence, default, breach of duty or breach of trust in relation to the Company's affairs; and</w:t>
      </w:r>
    </w:p>
    <w:p w14:paraId="1CE368BD" w14:textId="7F0A8DFE" w:rsidR="00900B09" w:rsidRPr="00C7122C" w:rsidRDefault="00A35BEC" w:rsidP="00E12420">
      <w:pPr>
        <w:pStyle w:val="Level3"/>
        <w:rPr>
          <w:szCs w:val="20"/>
        </w:rPr>
      </w:pPr>
      <w:bookmarkStart w:id="328" w:name="a657526"/>
      <w:r w:rsidRPr="00C7122C">
        <w:rPr>
          <w:szCs w:val="20"/>
        </w:rPr>
        <w:t xml:space="preserve">the Company may provide any Relevant Officer with funds to meet expenditure incurred or to be incurred by them in connection with any proceedings or application referred to in </w:t>
      </w:r>
      <w:r w:rsidR="0054795F">
        <w:rPr>
          <w:szCs w:val="20"/>
        </w:rPr>
        <w:t>Article 26.1</w:t>
      </w:r>
      <w:r w:rsidRPr="00C7122C">
        <w:rPr>
          <w:szCs w:val="20"/>
        </w:rPr>
        <w:t xml:space="preserve"> and otherwise may take any action to enable such Relevant Officer to avoid incurring such expenditure.</w:t>
      </w:r>
      <w:bookmarkEnd w:id="328"/>
    </w:p>
    <w:p w14:paraId="5B35D3C1" w14:textId="45D7849A" w:rsidR="00900B09" w:rsidRPr="00C7122C" w:rsidRDefault="00A35BEC" w:rsidP="00E12420">
      <w:pPr>
        <w:pStyle w:val="Level2"/>
        <w:rPr>
          <w:szCs w:val="20"/>
        </w:rPr>
      </w:pPr>
      <w:bookmarkStart w:id="329" w:name="a748879"/>
      <w:r w:rsidRPr="00C7122C">
        <w:rPr>
          <w:szCs w:val="20"/>
        </w:rPr>
        <w:t xml:space="preserve">This </w:t>
      </w:r>
      <w:r w:rsidR="0054795F">
        <w:rPr>
          <w:szCs w:val="20"/>
        </w:rPr>
        <w:t xml:space="preserve">Article 26 </w:t>
      </w:r>
      <w:r w:rsidRPr="00C7122C">
        <w:rPr>
          <w:szCs w:val="20"/>
        </w:rPr>
        <w:t>does not authorise any indemnity which would be prohibited or rendered void by any provision of the Act or by any other provision of law.</w:t>
      </w:r>
      <w:bookmarkEnd w:id="329"/>
    </w:p>
    <w:p w14:paraId="3B097CB0" w14:textId="77777777" w:rsidR="00900B09" w:rsidRPr="00C7122C" w:rsidRDefault="00A35BEC" w:rsidP="00E12420">
      <w:pPr>
        <w:pStyle w:val="Level2"/>
        <w:rPr>
          <w:szCs w:val="20"/>
        </w:rPr>
      </w:pPr>
      <w:bookmarkStart w:id="330" w:name="a334495"/>
      <w:r w:rsidRPr="00C7122C">
        <w:rPr>
          <w:szCs w:val="20"/>
        </w:rPr>
        <w:t>The Directors may decide to purchase and maintain insurance, at the expense of the Company, for the benefit of any Relevant Officer in respect of any Relevant Loss.</w:t>
      </w:r>
      <w:bookmarkEnd w:id="330"/>
    </w:p>
    <w:p w14:paraId="76014327" w14:textId="5DCAEBC4" w:rsidR="00900B09" w:rsidRPr="00C7122C" w:rsidRDefault="00A35BEC" w:rsidP="00E12420">
      <w:pPr>
        <w:pStyle w:val="Level2"/>
        <w:rPr>
          <w:szCs w:val="20"/>
        </w:rPr>
      </w:pPr>
      <w:bookmarkStart w:id="331" w:name="a772429"/>
      <w:r w:rsidRPr="00C7122C">
        <w:rPr>
          <w:szCs w:val="20"/>
        </w:rPr>
        <w:t>In this</w:t>
      </w:r>
      <w:r w:rsidR="0054795F">
        <w:rPr>
          <w:szCs w:val="20"/>
        </w:rPr>
        <w:t xml:space="preserve"> Article 26</w:t>
      </w:r>
      <w:r w:rsidRPr="00C7122C">
        <w:rPr>
          <w:szCs w:val="20"/>
        </w:rPr>
        <w:t>:</w:t>
      </w:r>
      <w:bookmarkEnd w:id="331"/>
    </w:p>
    <w:p w14:paraId="297A197E" w14:textId="28B27A42" w:rsidR="00900B09" w:rsidRPr="00C7122C" w:rsidRDefault="00A35BEC" w:rsidP="00E12420">
      <w:pPr>
        <w:pStyle w:val="Level3"/>
        <w:rPr>
          <w:szCs w:val="20"/>
        </w:rPr>
      </w:pPr>
      <w:bookmarkStart w:id="332" w:name="a458626"/>
      <w:r w:rsidRPr="003D1ED0">
        <w:rPr>
          <w:b/>
          <w:bCs/>
          <w:szCs w:val="20"/>
        </w:rPr>
        <w:t>Relevant Loss</w:t>
      </w:r>
      <w:r w:rsidRPr="00C7122C">
        <w:rPr>
          <w:szCs w:val="20"/>
        </w:rPr>
        <w:t xml:space="preserve"> means any loss or liability which has been or may be incurred by a Relevant Officer in connection with that Relevant Officer's duties or powers in relation to the Company or any pension fund of the Company</w:t>
      </w:r>
      <w:bookmarkEnd w:id="332"/>
      <w:r w:rsidR="00826A32" w:rsidRPr="00C7122C">
        <w:rPr>
          <w:szCs w:val="20"/>
        </w:rPr>
        <w:t>; and</w:t>
      </w:r>
    </w:p>
    <w:p w14:paraId="064FF944" w14:textId="6594BF2B" w:rsidR="00900B09" w:rsidRPr="00C7122C" w:rsidRDefault="00A35BEC" w:rsidP="001070AA">
      <w:pPr>
        <w:pStyle w:val="Level3"/>
        <w:rPr>
          <w:szCs w:val="20"/>
        </w:rPr>
      </w:pPr>
      <w:bookmarkStart w:id="333" w:name="a665616"/>
      <w:r w:rsidRPr="003D1ED0">
        <w:rPr>
          <w:b/>
          <w:bCs/>
          <w:szCs w:val="20"/>
        </w:rPr>
        <w:t>Relevant Officer</w:t>
      </w:r>
      <w:r w:rsidRPr="00C7122C">
        <w:rPr>
          <w:szCs w:val="20"/>
        </w:rPr>
        <w:t xml:space="preserve"> means any director or other officer or former director or other officer of </w:t>
      </w:r>
      <w:r w:rsidR="00826A32" w:rsidRPr="00C7122C">
        <w:rPr>
          <w:szCs w:val="20"/>
        </w:rPr>
        <w:t xml:space="preserve">the </w:t>
      </w:r>
      <w:r w:rsidRPr="00C7122C">
        <w:rPr>
          <w:szCs w:val="20"/>
        </w:rPr>
        <w:t xml:space="preserve">Company but excluding in each case any person engaged by </w:t>
      </w:r>
      <w:r w:rsidR="00826A32" w:rsidRPr="00C7122C">
        <w:rPr>
          <w:szCs w:val="20"/>
        </w:rPr>
        <w:t xml:space="preserve">the </w:t>
      </w:r>
      <w:r w:rsidRPr="00C7122C">
        <w:rPr>
          <w:szCs w:val="20"/>
        </w:rPr>
        <w:t>Company as auditor (</w:t>
      </w:r>
      <w:proofErr w:type="gramStart"/>
      <w:r w:rsidRPr="00C7122C">
        <w:rPr>
          <w:szCs w:val="20"/>
        </w:rPr>
        <w:t>whether or not</w:t>
      </w:r>
      <w:proofErr w:type="gramEnd"/>
      <w:r w:rsidRPr="00C7122C">
        <w:rPr>
          <w:szCs w:val="20"/>
        </w:rPr>
        <w:t xml:space="preserve"> they are also a director or other officer), to the extent they act in their capacity as auditor</w:t>
      </w:r>
      <w:bookmarkEnd w:id="333"/>
      <w:r w:rsidR="00826A32" w:rsidRPr="00C7122C">
        <w:rPr>
          <w:szCs w:val="20"/>
        </w:rPr>
        <w:t>.</w:t>
      </w:r>
    </w:p>
    <w:sectPr w:rsidR="00900B09" w:rsidRPr="00C7122C" w:rsidSect="006E4C90">
      <w:headerReference w:type="even" r:id="rId17"/>
      <w:headerReference w:type="default" r:id="rId18"/>
      <w:footerReference w:type="default" r:id="rId19"/>
      <w:headerReference w:type="firs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A573A" w14:textId="77777777" w:rsidR="006E4C90" w:rsidRDefault="006E4C90">
      <w:r>
        <w:separator/>
      </w:r>
    </w:p>
  </w:endnote>
  <w:endnote w:type="continuationSeparator" w:id="0">
    <w:p w14:paraId="2254BC44" w14:textId="77777777" w:rsidR="006E4C90" w:rsidRDefault="006E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738C" w14:textId="77777777" w:rsidR="00594408" w:rsidRDefault="005944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96171" w14:textId="65692624" w:rsidR="00780D49" w:rsidRDefault="00780D4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3C0EC" w14:textId="77777777" w:rsidR="00594408" w:rsidRDefault="005944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7458062"/>
      <w:docPartObj>
        <w:docPartGallery w:val="Page Numbers (Bottom of Page)"/>
        <w:docPartUnique/>
      </w:docPartObj>
    </w:sdtPr>
    <w:sdtEndPr>
      <w:rPr>
        <w:noProof/>
      </w:rPr>
    </w:sdtEndPr>
    <w:sdtContent>
      <w:p w14:paraId="08A1123A" w14:textId="2E42FF4D" w:rsidR="003032D3" w:rsidRDefault="003032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F79421" w14:textId="77777777" w:rsidR="003032D3" w:rsidRDefault="003032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1C77E" w14:textId="77777777" w:rsidR="006E4C90" w:rsidRDefault="006E4C90">
      <w:r>
        <w:separator/>
      </w:r>
    </w:p>
  </w:footnote>
  <w:footnote w:type="continuationSeparator" w:id="0">
    <w:p w14:paraId="75C8AC78" w14:textId="77777777" w:rsidR="006E4C90" w:rsidRDefault="006E4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52DD" w14:textId="77777777" w:rsidR="00594408" w:rsidRDefault="005944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E10EE" w14:textId="3277BE01" w:rsidR="00533822" w:rsidRDefault="005338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61C1B" w14:textId="77777777" w:rsidR="00594408" w:rsidRDefault="005944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8A97" w14:textId="77777777" w:rsidR="00C002F9" w:rsidRDefault="00C002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FEC4" w14:textId="77777777" w:rsidR="00C002F9" w:rsidRDefault="00C002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F71D" w14:textId="77777777" w:rsidR="00C002F9" w:rsidRDefault="00C002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2839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72DD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4C82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B23E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576F8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A4CB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4233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32F1E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F9CF6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2881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6"/>
    <w:multiLevelType w:val="multilevel"/>
    <w:tmpl w:val="882ECBF6"/>
    <w:lvl w:ilvl="0">
      <w:start w:val="6"/>
      <w:numFmt w:val="decimal"/>
      <w:lvlText w:val="%1"/>
      <w:lvlJc w:val="left"/>
      <w:pPr>
        <w:tabs>
          <w:tab w:val="num" w:pos="709"/>
        </w:tabs>
        <w:ind w:left="1418" w:hanging="992"/>
      </w:pPr>
      <w:rPr>
        <w:rFonts w:ascii="Times New Roman" w:hAnsi="Times New Roman" w:cs="Times New Roman"/>
        <w:sz w:val="22"/>
        <w:szCs w:val="22"/>
        <w:u w:val="none"/>
      </w:rPr>
    </w:lvl>
    <w:lvl w:ilvl="1">
      <w:start w:val="1"/>
      <w:numFmt w:val="decimal"/>
      <w:isLgl/>
      <w:lvlText w:val="%1.%2"/>
      <w:lvlJc w:val="left"/>
      <w:pPr>
        <w:tabs>
          <w:tab w:val="num" w:pos="720"/>
        </w:tabs>
        <w:ind w:left="720" w:hanging="720"/>
      </w:pPr>
      <w:rPr>
        <w:rFonts w:cs="Times New Roman"/>
        <w:b/>
        <w:i w:val="0"/>
      </w:rPr>
    </w:lvl>
    <w:lvl w:ilvl="2">
      <w:start w:val="1"/>
      <w:numFmt w:val="decimal"/>
      <w:lvlText w:val="%1.%2.%3"/>
      <w:lvlJc w:val="left"/>
      <w:pPr>
        <w:tabs>
          <w:tab w:val="num" w:pos="862"/>
        </w:tabs>
        <w:ind w:left="862" w:hanging="720"/>
      </w:pPr>
      <w:rPr>
        <w:rFonts w:cs="Times New Roman"/>
        <w:b/>
        <w:i w:val="0"/>
        <w:color w:val="auto"/>
        <w:sz w:val="22"/>
        <w:szCs w:val="22"/>
      </w:rPr>
    </w:lvl>
    <w:lvl w:ilvl="3">
      <w:start w:val="1"/>
      <w:numFmt w:val="lowerLetter"/>
      <w:lvlText w:val="(%4)"/>
      <w:lvlJc w:val="left"/>
      <w:pPr>
        <w:tabs>
          <w:tab w:val="num" w:pos="720"/>
        </w:tabs>
        <w:ind w:left="720" w:hanging="720"/>
      </w:pPr>
      <w:rPr>
        <w:rFonts w:cs="Times New Roman"/>
        <w:b w:val="0"/>
        <w:sz w:val="22"/>
        <w:szCs w:val="22"/>
      </w:rPr>
    </w:lvl>
    <w:lvl w:ilvl="4">
      <w:start w:val="1"/>
      <w:numFmt w:val="lowerRoman"/>
      <w:lvlText w:val="(%5)"/>
      <w:lvlJc w:val="left"/>
      <w:pPr>
        <w:tabs>
          <w:tab w:val="num" w:pos="1440"/>
        </w:tabs>
        <w:ind w:left="1440" w:hanging="720"/>
      </w:pPr>
      <w:rPr>
        <w:rFonts w:ascii="Times New Roman" w:hAnsi="Times New Roman" w:cs="Times New Roman"/>
        <w:b w:val="0"/>
        <w:i w:val="0"/>
        <w:caps w:val="0"/>
        <w:color w:val="auto"/>
        <w:sz w:val="22"/>
        <w:szCs w:val="22"/>
        <w:u w:val="none"/>
      </w:rPr>
    </w:lvl>
    <w:lvl w:ilvl="5">
      <w:start w:val="1"/>
      <w:numFmt w:val="upperLetter"/>
      <w:lvlText w:val="(%6)"/>
      <w:lvlJc w:val="left"/>
      <w:pPr>
        <w:tabs>
          <w:tab w:val="num" w:pos="2160"/>
        </w:tabs>
        <w:ind w:left="2160" w:hanging="720"/>
      </w:pPr>
      <w:rPr>
        <w:rFonts w:cs="Times New Roman"/>
        <w:sz w:val="22"/>
        <w:szCs w:val="22"/>
      </w:rPr>
    </w:lvl>
    <w:lvl w:ilvl="6">
      <w:start w:val="1"/>
      <w:numFmt w:val="decimal"/>
      <w:lvlText w:val="(%7)"/>
      <w:lvlJc w:val="left"/>
      <w:pPr>
        <w:tabs>
          <w:tab w:val="num" w:pos="2880"/>
        </w:tabs>
        <w:ind w:left="2880" w:hanging="720"/>
      </w:pPr>
      <w:rPr>
        <w:rFonts w:ascii="Times New Roman" w:hAnsi="Times New Roman" w:cs="Times New Roman"/>
        <w:sz w:val="22"/>
        <w:szCs w:val="22"/>
      </w:rPr>
    </w:lvl>
    <w:lvl w:ilvl="7">
      <w:start w:val="1"/>
      <w:numFmt w:val="none"/>
      <w:lvlRestart w:val="0"/>
      <w:suff w:val="nothing"/>
      <w:lvlText w:val="Schedule %8"/>
      <w:lvlJc w:val="left"/>
      <w:pPr>
        <w:ind w:left="3828"/>
      </w:pPr>
      <w:rPr>
        <w:rFonts w:ascii="Times New Roman" w:hAnsi="Times New Roman" w:cs="Times New Roman"/>
        <w:caps w:val="0"/>
        <w:sz w:val="22"/>
        <w:szCs w:val="22"/>
      </w:rPr>
    </w:lvl>
    <w:lvl w:ilvl="8">
      <w:start w:val="1"/>
      <w:numFmt w:val="decimal"/>
      <w:suff w:val="nothing"/>
      <w:lvlText w:val="Partie %9"/>
      <w:lvlJc w:val="left"/>
      <w:rPr>
        <w:rFonts w:cs="Times New Roman"/>
      </w:rPr>
    </w:lvl>
  </w:abstractNum>
  <w:abstractNum w:abstractNumId="11" w15:restartNumberingAfterBreak="0">
    <w:nsid w:val="0B987AD3"/>
    <w:multiLevelType w:val="multilevel"/>
    <w:tmpl w:val="9760BDCA"/>
    <w:lvl w:ilvl="0">
      <w:start w:val="1"/>
      <w:numFmt w:val="decimal"/>
      <w:pStyle w:val="SchedNumbering1"/>
      <w:lvlText w:val="%1"/>
      <w:lvlJc w:val="left"/>
      <w:pPr>
        <w:tabs>
          <w:tab w:val="num" w:pos="680"/>
        </w:tabs>
        <w:ind w:left="680" w:hanging="680"/>
      </w:pPr>
      <w:rPr>
        <w:rFonts w:ascii="Arial" w:hAnsi="Arial" w:hint="default"/>
        <w:b/>
        <w:i w:val="0"/>
        <w:sz w:val="20"/>
      </w:rPr>
    </w:lvl>
    <w:lvl w:ilvl="1">
      <w:start w:val="1"/>
      <w:numFmt w:val="decimal"/>
      <w:pStyle w:val="SchedNumbering2"/>
      <w:lvlText w:val="%1.%2"/>
      <w:lvlJc w:val="left"/>
      <w:pPr>
        <w:tabs>
          <w:tab w:val="num" w:pos="680"/>
        </w:tabs>
        <w:ind w:left="680" w:hanging="680"/>
      </w:pPr>
      <w:rPr>
        <w:rFonts w:ascii="Arial" w:hAnsi="Arial" w:hint="default"/>
        <w:b/>
        <w:i w:val="0"/>
        <w:sz w:val="20"/>
      </w:rPr>
    </w:lvl>
    <w:lvl w:ilvl="2">
      <w:start w:val="1"/>
      <w:numFmt w:val="decimal"/>
      <w:pStyle w:val="SchedNumbering3"/>
      <w:lvlText w:val="%1.%2.%3"/>
      <w:lvlJc w:val="left"/>
      <w:pPr>
        <w:tabs>
          <w:tab w:val="num" w:pos="1474"/>
        </w:tabs>
        <w:ind w:left="1474" w:hanging="794"/>
      </w:pPr>
      <w:rPr>
        <w:rFonts w:ascii="Arial" w:hAnsi="Arial"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SchedNumbering4"/>
      <w:lvlText w:val="(%4)"/>
      <w:lvlJc w:val="left"/>
      <w:pPr>
        <w:tabs>
          <w:tab w:val="num" w:pos="1928"/>
        </w:tabs>
        <w:ind w:left="1928" w:hanging="454"/>
      </w:pPr>
      <w:rPr>
        <w:rFonts w:ascii="Arial" w:hAnsi="Arial" w:hint="default"/>
        <w:b/>
        <w:i w:val="0"/>
        <w:sz w:val="20"/>
        <w:szCs w:val="18"/>
      </w:rPr>
    </w:lvl>
    <w:lvl w:ilvl="4">
      <w:start w:val="1"/>
      <w:numFmt w:val="lowerRoman"/>
      <w:pStyle w:val="SchedNumbering5"/>
      <w:lvlText w:val="(%5)"/>
      <w:lvlJc w:val="left"/>
      <w:pPr>
        <w:tabs>
          <w:tab w:val="num" w:pos="2381"/>
        </w:tabs>
        <w:ind w:left="2381" w:hanging="453"/>
      </w:pPr>
      <w:rPr>
        <w:rFonts w:ascii="Arial" w:hAnsi="Arial" w:hint="default"/>
        <w:b/>
        <w:i w:val="0"/>
        <w:sz w:val="20"/>
        <w:szCs w:val="18"/>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2" w15:restartNumberingAfterBreak="0">
    <w:nsid w:val="0C182364"/>
    <w:multiLevelType w:val="multilevel"/>
    <w:tmpl w:val="D7461F0E"/>
    <w:lvl w:ilvl="0">
      <w:start w:val="1"/>
      <w:numFmt w:val="bullet"/>
      <w:pStyle w:val="BulletedList"/>
      <w:lvlText w:val=""/>
      <w:lvlJc w:val="left"/>
      <w:pPr>
        <w:tabs>
          <w:tab w:val="num" w:pos="369"/>
        </w:tabs>
        <w:ind w:left="369" w:hanging="369"/>
      </w:pPr>
      <w:rPr>
        <w:rFonts w:ascii="Symbol" w:hAnsi="Symbol" w:hint="default"/>
      </w:rPr>
    </w:lvl>
    <w:lvl w:ilvl="1">
      <w:start w:val="1"/>
      <w:numFmt w:val="bullet"/>
      <w:lvlText w:val="o"/>
      <w:lvlJc w:val="left"/>
      <w:pPr>
        <w:tabs>
          <w:tab w:val="num" w:pos="1038"/>
        </w:tabs>
        <w:ind w:left="1038" w:hanging="358"/>
      </w:pPr>
      <w:rPr>
        <w:rFonts w:ascii="Courier New" w:hAnsi="Courier New" w:hint="default"/>
        <w:color w:val="auto"/>
      </w:rPr>
    </w:lvl>
    <w:lvl w:ilvl="2">
      <w:start w:val="1"/>
      <w:numFmt w:val="bullet"/>
      <w:lvlText w:val=""/>
      <w:lvlJc w:val="left"/>
      <w:pPr>
        <w:tabs>
          <w:tab w:val="num" w:pos="1843"/>
        </w:tabs>
        <w:ind w:left="1843" w:hanging="369"/>
      </w:pPr>
      <w:rPr>
        <w:rFonts w:ascii="Symbol" w:hAnsi="Symbol" w:hint="default"/>
        <w:color w:val="auto"/>
      </w:rPr>
    </w:lvl>
    <w:lvl w:ilvl="3">
      <w:start w:val="1"/>
      <w:numFmt w:val="bullet"/>
      <w:lvlText w:val=""/>
      <w:lvlJc w:val="left"/>
      <w:pPr>
        <w:tabs>
          <w:tab w:val="num" w:pos="2296"/>
        </w:tabs>
        <w:ind w:left="2296" w:hanging="368"/>
      </w:pPr>
      <w:rPr>
        <w:rFonts w:ascii="Courier New" w:hAnsi="Courier New" w:hint="default"/>
        <w:color w:val="auto"/>
      </w:rPr>
    </w:lvl>
    <w:lvl w:ilvl="4">
      <w:start w:val="1"/>
      <w:numFmt w:val="bullet"/>
      <w:lvlText w:val=""/>
      <w:lvlJc w:val="left"/>
      <w:pPr>
        <w:tabs>
          <w:tab w:val="num" w:pos="2750"/>
        </w:tabs>
        <w:ind w:left="2750" w:hanging="369"/>
      </w:pPr>
      <w:rPr>
        <w:rFonts w:ascii="Symbol" w:hAnsi="Symbol" w:hint="default"/>
        <w:color w:val="auto"/>
      </w:rPr>
    </w:lvl>
    <w:lvl w:ilvl="5">
      <w:start w:val="1"/>
      <w:numFmt w:val="bullet"/>
      <w:lvlText w:val=""/>
      <w:lvlJc w:val="left"/>
      <w:pPr>
        <w:tabs>
          <w:tab w:val="num" w:pos="2214"/>
        </w:tabs>
        <w:ind w:left="2214" w:hanging="369"/>
      </w:pPr>
      <w:rPr>
        <w:rFonts w:ascii="Symbol" w:hAnsi="Symbol" w:hint="default"/>
      </w:rPr>
    </w:lvl>
    <w:lvl w:ilvl="6">
      <w:start w:val="1"/>
      <w:numFmt w:val="bullet"/>
      <w:lvlText w:val=""/>
      <w:lvlJc w:val="left"/>
      <w:pPr>
        <w:tabs>
          <w:tab w:val="num" w:pos="2583"/>
        </w:tabs>
        <w:ind w:left="2583" w:hanging="369"/>
      </w:pPr>
      <w:rPr>
        <w:rFonts w:ascii="Symbol" w:hAnsi="Symbol" w:hint="default"/>
      </w:rPr>
    </w:lvl>
    <w:lvl w:ilvl="7">
      <w:start w:val="1"/>
      <w:numFmt w:val="bullet"/>
      <w:lvlText w:val=""/>
      <w:lvlJc w:val="left"/>
      <w:pPr>
        <w:tabs>
          <w:tab w:val="num" w:pos="2952"/>
        </w:tabs>
        <w:ind w:left="2952" w:hanging="369"/>
      </w:pPr>
      <w:rPr>
        <w:rFonts w:ascii="Symbol" w:hAnsi="Symbol" w:hint="default"/>
      </w:rPr>
    </w:lvl>
    <w:lvl w:ilvl="8">
      <w:start w:val="1"/>
      <w:numFmt w:val="none"/>
      <w:lvlText w:val=""/>
      <w:lvlJc w:val="left"/>
      <w:pPr>
        <w:tabs>
          <w:tab w:val="num" w:pos="3321"/>
        </w:tabs>
        <w:ind w:left="3321" w:hanging="369"/>
      </w:pPr>
      <w:rPr>
        <w:rFonts w:hint="default"/>
      </w:rPr>
    </w:lvl>
  </w:abstractNum>
  <w:abstractNum w:abstractNumId="13" w15:restartNumberingAfterBreak="0">
    <w:nsid w:val="24910D79"/>
    <w:multiLevelType w:val="multilevel"/>
    <w:tmpl w:val="69B23D9A"/>
    <w:lvl w:ilvl="0">
      <w:start w:val="1"/>
      <w:numFmt w:val="upperLetter"/>
      <w:pStyle w:val="ABackground"/>
      <w:lvlText w:val="(%1)"/>
      <w:lvlJc w:val="left"/>
      <w:pPr>
        <w:ind w:left="680" w:hanging="680"/>
      </w:pPr>
      <w:rPr>
        <w:rFonts w:ascii="Arial" w:hAnsi="Arial" w:hint="default"/>
        <w:b/>
        <w:bCs w:val="0"/>
        <w:i w:val="0"/>
        <w:iCs w:val="0"/>
        <w:caps w:val="0"/>
        <w:smallCaps w:val="0"/>
        <w:strike w:val="0"/>
        <w:dstrike w:val="0"/>
        <w:outline w:val="0"/>
        <w:shadow w:val="0"/>
        <w:emboss w:val="0"/>
        <w:imprint w:val="0"/>
        <w:noProof w:val="0"/>
        <w:vanish w:val="0"/>
        <w:spacing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tabs>
          <w:tab w:val="num" w:pos="1361"/>
        </w:tabs>
        <w:ind w:left="1361" w:hanging="681"/>
      </w:pPr>
      <w:rPr>
        <w:rFonts w:ascii="Trebuchet MS" w:hAnsi="Trebuchet MS" w:hint="default"/>
        <w:b/>
        <w:i w:val="0"/>
        <w:sz w:val="20"/>
      </w:rPr>
    </w:lvl>
    <w:lvl w:ilvl="2">
      <w:start w:val="1"/>
      <w:numFmt w:val="none"/>
      <w:lvlText w:val=""/>
      <w:lvlJc w:val="right"/>
      <w:pPr>
        <w:ind w:left="2160" w:hanging="180"/>
      </w:pPr>
      <w:rPr>
        <w:rFonts w:hint="default"/>
      </w:rPr>
    </w:lvl>
    <w:lvl w:ilvl="3">
      <w:start w:val="1"/>
      <w:numFmt w:val="none"/>
      <w:lvlText w:val=""/>
      <w:lvlJc w:val="left"/>
      <w:pPr>
        <w:ind w:left="2880" w:hanging="360"/>
      </w:pPr>
      <w:rPr>
        <w:rFonts w:hint="default"/>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14" w15:restartNumberingAfterBreak="0">
    <w:nsid w:val="28B55450"/>
    <w:multiLevelType w:val="multilevel"/>
    <w:tmpl w:val="23F83D6E"/>
    <w:lvl w:ilvl="0">
      <w:start w:val="1"/>
      <w:numFmt w:val="upperLetter"/>
      <w:pStyle w:val="ABracketedLetter"/>
      <w:lvlText w:val="(%1)"/>
      <w:lvlJc w:val="left"/>
      <w:pPr>
        <w:ind w:left="680" w:hanging="680"/>
      </w:pPr>
      <w:rPr>
        <w:rFonts w:ascii="Arial" w:hAnsi="Arial" w:hint="default"/>
        <w:b/>
        <w:i w:val="0"/>
        <w:sz w:val="20"/>
      </w:rPr>
    </w:lvl>
    <w:lvl w:ilvl="1">
      <w:start w:val="1"/>
      <w:numFmt w:val="lowerRoman"/>
      <w:lvlText w:val="(%2)"/>
      <w:lvlJc w:val="left"/>
      <w:pPr>
        <w:tabs>
          <w:tab w:val="num" w:pos="1474"/>
        </w:tabs>
        <w:ind w:left="1474" w:hanging="794"/>
      </w:pPr>
      <w:rPr>
        <w:rFonts w:ascii="Trebuchet MS" w:hAnsi="Trebuchet MS" w:hint="default"/>
        <w:b/>
        <w:i w:val="0"/>
        <w:sz w:val="20"/>
      </w:rPr>
    </w:lvl>
    <w:lvl w:ilvl="2">
      <w:start w:val="1"/>
      <w:numFmt w:val="lowerLetter"/>
      <w:lvlText w:val="(%3)"/>
      <w:lvlJc w:val="left"/>
      <w:pPr>
        <w:tabs>
          <w:tab w:val="num" w:pos="1928"/>
        </w:tabs>
        <w:ind w:left="1928" w:hanging="454"/>
      </w:pPr>
      <w:rPr>
        <w:rFonts w:ascii="Trebuchet MS" w:hAnsi="Trebuchet MS" w:hint="default"/>
        <w:b/>
        <w:i w:val="0"/>
        <w:sz w:val="20"/>
      </w:rPr>
    </w:lvl>
    <w:lvl w:ilvl="3">
      <w:start w:val="1"/>
      <w:numFmt w:val="bullet"/>
      <w:lvlText w:val=""/>
      <w:lvlJc w:val="left"/>
      <w:pPr>
        <w:tabs>
          <w:tab w:val="num" w:pos="2381"/>
        </w:tabs>
        <w:ind w:left="2381" w:hanging="453"/>
      </w:pPr>
      <w:rPr>
        <w:rFonts w:ascii="Symbol" w:hAnsi="Symbol" w:hint="default"/>
      </w:rPr>
    </w:lvl>
    <w:lvl w:ilvl="4">
      <w:start w:val="1"/>
      <w:numFmt w:val="bullet"/>
      <w:lvlText w:val=""/>
      <w:lvlJc w:val="left"/>
      <w:pPr>
        <w:tabs>
          <w:tab w:val="num" w:pos="2750"/>
        </w:tabs>
        <w:ind w:left="2750" w:hanging="369"/>
      </w:pPr>
      <w:rPr>
        <w:rFonts w:ascii="Courier New" w:hAnsi="Courier New" w:hint="default"/>
        <w:color w:val="auto"/>
      </w:rPr>
    </w:lvl>
    <w:lvl w:ilvl="5">
      <w:start w:val="1"/>
      <w:numFmt w:val="none"/>
      <w:lvlText w:val=""/>
      <w:lvlJc w:val="right"/>
      <w:pPr>
        <w:ind w:left="4811" w:hanging="180"/>
      </w:pPr>
      <w:rPr>
        <w:rFonts w:hint="default"/>
      </w:rPr>
    </w:lvl>
    <w:lvl w:ilvl="6">
      <w:start w:val="1"/>
      <w:numFmt w:val="none"/>
      <w:lvlText w:val=""/>
      <w:lvlJc w:val="left"/>
      <w:pPr>
        <w:ind w:left="5531" w:hanging="360"/>
      </w:pPr>
      <w:rPr>
        <w:rFonts w:hint="default"/>
      </w:rPr>
    </w:lvl>
    <w:lvl w:ilvl="7">
      <w:start w:val="1"/>
      <w:numFmt w:val="none"/>
      <w:lvlText w:val=""/>
      <w:lvlJc w:val="left"/>
      <w:pPr>
        <w:ind w:left="6251" w:hanging="360"/>
      </w:pPr>
      <w:rPr>
        <w:rFonts w:hint="default"/>
      </w:rPr>
    </w:lvl>
    <w:lvl w:ilvl="8">
      <w:start w:val="1"/>
      <w:numFmt w:val="none"/>
      <w:lvlText w:val=""/>
      <w:lvlJc w:val="right"/>
      <w:pPr>
        <w:ind w:left="6971" w:hanging="180"/>
      </w:pPr>
      <w:rPr>
        <w:rFonts w:hint="default"/>
      </w:rPr>
    </w:lvl>
  </w:abstractNum>
  <w:abstractNum w:abstractNumId="15" w15:restartNumberingAfterBreak="0">
    <w:nsid w:val="2A535A95"/>
    <w:multiLevelType w:val="multilevel"/>
    <w:tmpl w:val="BE80C6D0"/>
    <w:lvl w:ilvl="0">
      <w:start w:val="1"/>
      <w:numFmt w:val="decimal"/>
      <w:pStyle w:val="CourtDoc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1474" w:hanging="794"/>
      </w:pPr>
      <w:rPr>
        <w:rFonts w:ascii="Trebuchet MS" w:hAnsi="Trebuchet MS" w:hint="default"/>
        <w:b/>
        <w:i w:val="0"/>
        <w:sz w:val="20"/>
      </w:rPr>
    </w:lvl>
    <w:lvl w:ilvl="2">
      <w:start w:val="1"/>
      <w:numFmt w:val="decimal"/>
      <w:lvlText w:val="%1.%2.%3"/>
      <w:lvlJc w:val="left"/>
      <w:pPr>
        <w:tabs>
          <w:tab w:val="num" w:pos="680"/>
        </w:tabs>
        <w:ind w:left="1928" w:hanging="454"/>
      </w:pPr>
      <w:rPr>
        <w:rFonts w:ascii="Trebuchet MS" w:hAnsi="Trebuchet MS" w:hint="default"/>
        <w:b/>
        <w:i w:val="0"/>
        <w:sz w:val="20"/>
      </w:rPr>
    </w:lvl>
    <w:lvl w:ilvl="3">
      <w:start w:val="1"/>
      <w:numFmt w:val="lowerLetter"/>
      <w:lvlText w:val="(%4)"/>
      <w:lvlJc w:val="left"/>
      <w:pPr>
        <w:tabs>
          <w:tab w:val="num" w:pos="2155"/>
        </w:tabs>
        <w:ind w:left="2155" w:firstLine="0"/>
      </w:pPr>
      <w:rPr>
        <w:rFonts w:ascii="Trebuchet MS" w:hAnsi="Trebuchet MS" w:hint="default"/>
        <w:b/>
        <w:i w:val="0"/>
        <w:color w:val="auto"/>
        <w:sz w:val="20"/>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16" w15:restartNumberingAfterBreak="0">
    <w:nsid w:val="2F411BC8"/>
    <w:multiLevelType w:val="multilevel"/>
    <w:tmpl w:val="770C7D88"/>
    <w:lvl w:ilvl="0">
      <w:start w:val="1"/>
      <w:numFmt w:val="decimal"/>
      <w:pStyle w:val="CommercialScheduleTitle"/>
      <w:suff w:val="nothing"/>
      <w:lvlText w:val="Schedule %1"/>
      <w:lvlJc w:val="left"/>
      <w:pPr>
        <w:ind w:left="0" w:firstLine="0"/>
      </w:pPr>
      <w:rPr>
        <w:rFonts w:ascii="Trebuchet MS" w:hAnsi="Trebuchet MS" w:hint="default"/>
        <w:b/>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numFmt w:val="none"/>
      <w:pStyle w:val="ScheduleSubtitle"/>
      <w:suff w:val="nothing"/>
      <w:lvlText w:val=""/>
      <w:lvlJc w:val="left"/>
      <w:pPr>
        <w:ind w:left="0" w:firstLine="0"/>
      </w:pPr>
      <w:rPr>
        <w:rFonts w:ascii="Trebuchet MS" w:hAnsi="Trebuchet MS" w:hint="default"/>
        <w:b/>
        <w:i w:val="0"/>
        <w:sz w:val="20"/>
      </w:rPr>
    </w:lvl>
    <w:lvl w:ilvl="2">
      <w:start w:val="1"/>
      <w:numFmt w:val="decimal"/>
      <w:lvlRestart w:val="1"/>
      <w:pStyle w:val="CommercialPartTitle"/>
      <w:suff w:val="nothing"/>
      <w:lvlText w:val="Part %3"/>
      <w:lvlJc w:val="left"/>
      <w:pPr>
        <w:ind w:left="0" w:firstLine="0"/>
      </w:pPr>
      <w:rPr>
        <w:rFonts w:ascii="Trebuchet MS" w:hAnsi="Trebuchet MS" w:hint="default"/>
        <w:b/>
        <w:i w:val="0"/>
        <w:caps w:val="0"/>
        <w:smallCaps w:val="0"/>
        <w:sz w:val="22"/>
      </w:rPr>
    </w:lvl>
    <w:lvl w:ilvl="3">
      <w:start w:val="1"/>
      <w:numFmt w:val="none"/>
      <w:pStyle w:val="PartSubtitle"/>
      <w:lvlText w:val=""/>
      <w:lvlJc w:val="left"/>
      <w:pPr>
        <w:tabs>
          <w:tab w:val="num" w:pos="0"/>
        </w:tabs>
        <w:ind w:left="0" w:firstLine="0"/>
      </w:pPr>
      <w:rPr>
        <w:rFonts w:hint="default"/>
      </w:rPr>
    </w:lvl>
    <w:lvl w:ilvl="4">
      <w:start w:val="1"/>
      <w:numFmt w:val="decimal"/>
      <w:lvlText w:val="%4.%5"/>
      <w:lvlJc w:val="left"/>
      <w:pPr>
        <w:tabs>
          <w:tab w:val="num" w:pos="1570"/>
        </w:tabs>
        <w:ind w:left="720" w:firstLine="0"/>
      </w:pPr>
      <w:rPr>
        <w:rFonts w:hint="default"/>
        <w:caps w:val="0"/>
      </w:rPr>
    </w:lvl>
    <w:lvl w:ilvl="5">
      <w:start w:val="1"/>
      <w:numFmt w:val="decimal"/>
      <w:lvlText w:val="%4.%5.%6"/>
      <w:lvlJc w:val="left"/>
      <w:pPr>
        <w:tabs>
          <w:tab w:val="num" w:pos="2421"/>
        </w:tabs>
        <w:ind w:left="720" w:firstLine="0"/>
      </w:pPr>
      <w:rPr>
        <w:rFonts w:hint="default"/>
        <w:caps w:val="0"/>
      </w:rPr>
    </w:lvl>
    <w:lvl w:ilvl="6">
      <w:start w:val="1"/>
      <w:numFmt w:val="lowerLetter"/>
      <w:lvlText w:val="(%7)"/>
      <w:lvlJc w:val="left"/>
      <w:pPr>
        <w:tabs>
          <w:tab w:val="num" w:pos="2988"/>
        </w:tabs>
        <w:ind w:left="720" w:firstLine="0"/>
      </w:pPr>
      <w:rPr>
        <w:rFonts w:hint="default"/>
        <w:caps w:val="0"/>
      </w:rPr>
    </w:lvl>
    <w:lvl w:ilvl="7">
      <w:start w:val="1"/>
      <w:numFmt w:val="lowerRoman"/>
      <w:lvlText w:val="(%8)"/>
      <w:lvlJc w:val="left"/>
      <w:pPr>
        <w:tabs>
          <w:tab w:val="num" w:pos="3555"/>
        </w:tabs>
        <w:ind w:left="720" w:firstLine="0"/>
      </w:pPr>
      <w:rPr>
        <w:rFonts w:hint="default"/>
      </w:rPr>
    </w:lvl>
    <w:lvl w:ilvl="8">
      <w:start w:val="1"/>
      <w:numFmt w:val="upperLetter"/>
      <w:lvlText w:val="(%9)"/>
      <w:lvlJc w:val="left"/>
      <w:pPr>
        <w:tabs>
          <w:tab w:val="num" w:pos="4122"/>
        </w:tabs>
        <w:ind w:left="720" w:firstLine="0"/>
      </w:pPr>
      <w:rPr>
        <w:rFonts w:hint="default"/>
      </w:rPr>
    </w:lvl>
  </w:abstractNum>
  <w:abstractNum w:abstractNumId="17" w15:restartNumberingAfterBreak="0">
    <w:nsid w:val="32C9767F"/>
    <w:multiLevelType w:val="multilevel"/>
    <w:tmpl w:val="475014A8"/>
    <w:lvl w:ilvl="0">
      <w:start w:val="1"/>
      <w:numFmt w:val="decimal"/>
      <w:pStyle w:val="1Parties"/>
      <w:lvlText w:val="(%1)"/>
      <w:lvlJc w:val="left"/>
      <w:pPr>
        <w:ind w:left="680" w:hanging="680"/>
      </w:pPr>
      <w:rPr>
        <w:rFonts w:ascii="Arial" w:hAnsi="Arial" w:hint="default"/>
        <w:b/>
        <w:i w:val="0"/>
        <w:sz w:val="20"/>
      </w:rPr>
    </w:lvl>
    <w:lvl w:ilvl="1">
      <w:start w:val="1"/>
      <w:numFmt w:val="lowerRoman"/>
      <w:lvlText w:val="(%2)"/>
      <w:lvlJc w:val="left"/>
      <w:pPr>
        <w:tabs>
          <w:tab w:val="num" w:pos="1361"/>
        </w:tabs>
        <w:ind w:left="1361" w:hanging="681"/>
      </w:pPr>
      <w:rPr>
        <w:rFonts w:ascii="Trebuchet MS" w:hAnsi="Trebuchet MS" w:hint="default"/>
        <w:b/>
        <w:i w:val="0"/>
        <w:sz w:val="20"/>
      </w:rPr>
    </w:lvl>
    <w:lvl w:ilvl="2">
      <w:start w:val="1"/>
      <w:numFmt w:val="none"/>
      <w:lvlText w:val=""/>
      <w:lvlJc w:val="right"/>
      <w:pPr>
        <w:ind w:left="2040" w:hanging="680"/>
      </w:pPr>
      <w:rPr>
        <w:rFonts w:hint="default"/>
      </w:rPr>
    </w:lvl>
    <w:lvl w:ilvl="3">
      <w:start w:val="1"/>
      <w:numFmt w:val="none"/>
      <w:lvlText w:val=""/>
      <w:lvlJc w:val="left"/>
      <w:pPr>
        <w:ind w:left="2720" w:hanging="680"/>
      </w:pPr>
      <w:rPr>
        <w:rFonts w:hint="default"/>
      </w:rPr>
    </w:lvl>
    <w:lvl w:ilvl="4">
      <w:start w:val="1"/>
      <w:numFmt w:val="none"/>
      <w:lvlText w:val=""/>
      <w:lvlJc w:val="left"/>
      <w:pPr>
        <w:ind w:left="3400" w:hanging="680"/>
      </w:pPr>
      <w:rPr>
        <w:rFonts w:hint="default"/>
      </w:rPr>
    </w:lvl>
    <w:lvl w:ilvl="5">
      <w:start w:val="1"/>
      <w:numFmt w:val="none"/>
      <w:lvlText w:val=""/>
      <w:lvlJc w:val="right"/>
      <w:pPr>
        <w:ind w:left="4080" w:hanging="680"/>
      </w:pPr>
      <w:rPr>
        <w:rFonts w:hint="default"/>
      </w:rPr>
    </w:lvl>
    <w:lvl w:ilvl="6">
      <w:start w:val="1"/>
      <w:numFmt w:val="none"/>
      <w:lvlText w:val=""/>
      <w:lvlJc w:val="left"/>
      <w:pPr>
        <w:ind w:left="4760" w:hanging="680"/>
      </w:pPr>
      <w:rPr>
        <w:rFonts w:hint="default"/>
      </w:rPr>
    </w:lvl>
    <w:lvl w:ilvl="7">
      <w:start w:val="1"/>
      <w:numFmt w:val="none"/>
      <w:lvlText w:val=""/>
      <w:lvlJc w:val="left"/>
      <w:pPr>
        <w:ind w:left="5440" w:hanging="680"/>
      </w:pPr>
      <w:rPr>
        <w:rFonts w:hint="default"/>
      </w:rPr>
    </w:lvl>
    <w:lvl w:ilvl="8">
      <w:start w:val="1"/>
      <w:numFmt w:val="none"/>
      <w:lvlText w:val=""/>
      <w:lvlJc w:val="right"/>
      <w:pPr>
        <w:ind w:left="6120" w:hanging="680"/>
      </w:pPr>
      <w:rPr>
        <w:rFonts w:hint="default"/>
      </w:rPr>
    </w:lvl>
  </w:abstractNum>
  <w:abstractNum w:abstractNumId="18" w15:restartNumberingAfterBreak="0">
    <w:nsid w:val="364A620E"/>
    <w:multiLevelType w:val="multilevel"/>
    <w:tmpl w:val="6FBA8AE4"/>
    <w:lvl w:ilvl="0">
      <w:start w:val="1"/>
      <w:numFmt w:val="decimal"/>
      <w:pStyle w:val="1BracketedNumber"/>
      <w:lvlText w:val="(%1)"/>
      <w:lvlJc w:val="left"/>
      <w:pPr>
        <w:ind w:left="680" w:hanging="680"/>
      </w:pPr>
      <w:rPr>
        <w:rFonts w:ascii="Arial" w:hAnsi="Arial" w:hint="default"/>
        <w:b/>
        <w:i w:val="0"/>
        <w:sz w:val="20"/>
      </w:rPr>
    </w:lvl>
    <w:lvl w:ilvl="1">
      <w:start w:val="1"/>
      <w:numFmt w:val="lowerRoman"/>
      <w:lvlText w:val="(%2)"/>
      <w:lvlJc w:val="left"/>
      <w:pPr>
        <w:tabs>
          <w:tab w:val="num" w:pos="1418"/>
        </w:tabs>
        <w:ind w:left="1418" w:hanging="738"/>
      </w:pPr>
      <w:rPr>
        <w:rFonts w:ascii="Trebuchet MS" w:hAnsi="Trebuchet MS" w:hint="default"/>
        <w:b/>
        <w:i w:val="0"/>
        <w:sz w:val="20"/>
      </w:rPr>
    </w:lvl>
    <w:lvl w:ilvl="2">
      <w:start w:val="1"/>
      <w:numFmt w:val="bullet"/>
      <w:lvlText w:val=""/>
      <w:lvlJc w:val="left"/>
      <w:pPr>
        <w:tabs>
          <w:tab w:val="num" w:pos="1928"/>
        </w:tabs>
        <w:ind w:left="1928" w:hanging="454"/>
      </w:pPr>
      <w:rPr>
        <w:rFonts w:ascii="Symbol" w:hAnsi="Symbol" w:hint="default"/>
        <w:sz w:val="20"/>
      </w:rPr>
    </w:lvl>
    <w:lvl w:ilvl="3">
      <w:start w:val="1"/>
      <w:numFmt w:val="none"/>
      <w:lvlText w:val=""/>
      <w:lvlJc w:val="left"/>
      <w:pPr>
        <w:tabs>
          <w:tab w:val="num" w:pos="2041"/>
        </w:tabs>
        <w:ind w:left="2041" w:hanging="623"/>
      </w:pPr>
      <w:rPr>
        <w:rFonts w:hint="default"/>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19"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0" w15:restartNumberingAfterBreak="0">
    <w:nsid w:val="5B27344E"/>
    <w:multiLevelType w:val="multilevel"/>
    <w:tmpl w:val="631469CA"/>
    <w:lvl w:ilvl="0">
      <w:start w:val="1"/>
      <w:numFmt w:val="decimal"/>
      <w:pStyle w:val="Letter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680" w:hanging="680"/>
      </w:pPr>
      <w:rPr>
        <w:rFonts w:ascii="Trebuchet MS" w:hAnsi="Trebuchet MS" w:hint="default"/>
        <w:b/>
        <w:i w:val="0"/>
        <w:sz w:val="20"/>
      </w:rPr>
    </w:lvl>
    <w:lvl w:ilvl="2">
      <w:start w:val="1"/>
      <w:numFmt w:val="decimal"/>
      <w:lvlText w:val="%1.%2.%3"/>
      <w:lvlJc w:val="left"/>
      <w:pPr>
        <w:tabs>
          <w:tab w:val="num" w:pos="1474"/>
        </w:tabs>
        <w:ind w:left="1474" w:hanging="794"/>
      </w:pPr>
      <w:rPr>
        <w:rFonts w:ascii="Trebuchet MS" w:hAnsi="Trebuchet MS" w:hint="default"/>
        <w:b/>
        <w:bCs w:val="0"/>
        <w:i w:val="0"/>
        <w:iCs w:val="0"/>
        <w:caps w:val="0"/>
        <w:strike w:val="0"/>
        <w:dstrike w:val="0"/>
        <w:outline w:val="0"/>
        <w:shadow w:val="0"/>
        <w:emboss w:val="0"/>
        <w:imprint w:val="0"/>
        <w:vanish w:val="0"/>
        <w:spacing w:val="0"/>
        <w:kern w:val="0"/>
        <w:position w:val="0"/>
        <w:sz w:val="20"/>
        <w:szCs w:val="18"/>
        <w:u w:val="none"/>
        <w:effect w:val="none"/>
        <w:vertAlign w:val="baseline"/>
        <w:em w:val="none"/>
        <w14:ligatures w14:val="none"/>
        <w14:numForm w14:val="default"/>
        <w14:numSpacing w14:val="default"/>
        <w14:stylisticSets/>
        <w14:cntxtAlts w14:val="0"/>
      </w:rPr>
    </w:lvl>
    <w:lvl w:ilvl="3">
      <w:start w:val="1"/>
      <w:numFmt w:val="lowerLetter"/>
      <w:lvlText w:val="(%4)"/>
      <w:lvlJc w:val="left"/>
      <w:pPr>
        <w:tabs>
          <w:tab w:val="num" w:pos="1928"/>
        </w:tabs>
        <w:ind w:left="1928" w:hanging="454"/>
      </w:pPr>
      <w:rPr>
        <w:rFonts w:ascii="Trebuchet MS" w:hAnsi="Trebuchet MS" w:hint="default"/>
        <w:b/>
        <w:i w:val="0"/>
        <w:sz w:val="20"/>
        <w:szCs w:val="18"/>
      </w:rPr>
    </w:lvl>
    <w:lvl w:ilvl="4">
      <w:start w:val="1"/>
      <w:numFmt w:val="lowerRoman"/>
      <w:lvlText w:val="(%5)"/>
      <w:lvlJc w:val="left"/>
      <w:pPr>
        <w:tabs>
          <w:tab w:val="num" w:pos="2381"/>
        </w:tabs>
        <w:ind w:left="2381" w:hanging="453"/>
      </w:pPr>
      <w:rPr>
        <w:rFonts w:ascii="Trebuchet MS" w:hAnsi="Trebuchet MS" w:hint="default"/>
        <w:b/>
        <w:i w:val="0"/>
        <w:sz w:val="20"/>
      </w:rPr>
    </w:lvl>
    <w:lvl w:ilvl="5">
      <w:start w:val="1"/>
      <w:numFmt w:val="none"/>
      <w:lvlText w:val=""/>
      <w:lvlJc w:val="left"/>
      <w:pPr>
        <w:tabs>
          <w:tab w:val="num" w:pos="3288"/>
        </w:tabs>
        <w:ind w:left="3288" w:hanging="680"/>
      </w:pPr>
      <w:rPr>
        <w:rFonts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21" w15:restartNumberingAfterBreak="0">
    <w:nsid w:val="5C487ACC"/>
    <w:multiLevelType w:val="multilevel"/>
    <w:tmpl w:val="C78A75DE"/>
    <w:lvl w:ilvl="0">
      <w:start w:val="1"/>
      <w:numFmt w:val="lowerRoman"/>
      <w:pStyle w:val="CourtDocDraftingNotes"/>
      <w:lvlText w:val="(%1)"/>
      <w:lvlJc w:val="left"/>
      <w:pPr>
        <w:ind w:left="680" w:hanging="680"/>
      </w:pPr>
      <w:rPr>
        <w:rFonts w:ascii="Arial" w:hAnsi="Arial" w:hint="default"/>
        <w:b/>
        <w:i w:val="0"/>
        <w:sz w:val="20"/>
      </w:rPr>
    </w:lvl>
    <w:lvl w:ilvl="1">
      <w:start w:val="1"/>
      <w:numFmt w:val="lowerLetter"/>
      <w:lvlText w:val="(%2)"/>
      <w:lvlJc w:val="left"/>
      <w:pPr>
        <w:tabs>
          <w:tab w:val="num" w:pos="1361"/>
        </w:tabs>
        <w:ind w:left="1361" w:hanging="681"/>
      </w:pPr>
      <w:rPr>
        <w:rFonts w:ascii="Trebuchet MS" w:hAnsi="Trebuchet MS" w:hint="default"/>
        <w:b/>
        <w:i w:val="0"/>
        <w:sz w:val="20"/>
      </w:rPr>
    </w:lvl>
    <w:lvl w:ilvl="2">
      <w:start w:val="1"/>
      <w:numFmt w:val="decimal"/>
      <w:lvlText w:val="(%3)"/>
      <w:lvlJc w:val="left"/>
      <w:pPr>
        <w:tabs>
          <w:tab w:val="num" w:pos="680"/>
        </w:tabs>
        <w:ind w:left="680" w:hanging="680"/>
      </w:pPr>
      <w:rPr>
        <w:rFonts w:ascii="Trebuchet MS" w:hAnsi="Trebuchet MS" w:hint="default"/>
        <w:b/>
        <w:i w:val="0"/>
        <w:sz w:val="20"/>
      </w:rPr>
    </w:lvl>
    <w:lvl w:ilvl="3">
      <w:start w:val="1"/>
      <w:numFmt w:val="upperLetter"/>
      <w:lvlText w:val="(%4)"/>
      <w:lvlJc w:val="left"/>
      <w:pPr>
        <w:tabs>
          <w:tab w:val="num" w:pos="680"/>
        </w:tabs>
        <w:ind w:left="680" w:hanging="680"/>
      </w:pPr>
      <w:rPr>
        <w:rFonts w:ascii="Trebuchet MS" w:hAnsi="Trebuchet MS" w:hint="default"/>
        <w:b/>
        <w:i w:val="0"/>
        <w:sz w:val="20"/>
      </w:rPr>
    </w:lvl>
    <w:lvl w:ilvl="4">
      <w:start w:val="1"/>
      <w:numFmt w:val="lowerLetter"/>
      <w:lvlText w:val="(%5)"/>
      <w:lvlJc w:val="left"/>
      <w:pPr>
        <w:tabs>
          <w:tab w:val="num" w:pos="1361"/>
        </w:tabs>
        <w:ind w:left="1361" w:hanging="681"/>
      </w:pPr>
      <w:rPr>
        <w:rFonts w:ascii="Trebuchet MS" w:hAnsi="Trebuchet MS" w:hint="default"/>
        <w:b/>
        <w:i w:val="0"/>
        <w:sz w:val="20"/>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22" w15:restartNumberingAfterBreak="0">
    <w:nsid w:val="5EF476AD"/>
    <w:multiLevelType w:val="multilevel"/>
    <w:tmpl w:val="98348B5A"/>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i w:val="0"/>
        <w:color w:val="auto"/>
        <w:sz w:val="20"/>
      </w:rPr>
    </w:lvl>
    <w:lvl w:ilvl="2">
      <w:start w:val="1"/>
      <w:numFmt w:val="decimal"/>
      <w:pStyle w:val="Level3"/>
      <w:lvlText w:val="%1.%2.%3"/>
      <w:lvlJc w:val="left"/>
      <w:pPr>
        <w:tabs>
          <w:tab w:val="num" w:pos="1474"/>
        </w:tabs>
        <w:ind w:left="1474" w:hanging="794"/>
      </w:pPr>
      <w:rPr>
        <w:rFonts w:ascii="Arial" w:hAnsi="Arial" w:hint="default"/>
        <w:b/>
        <w:i w:val="0"/>
        <w:sz w:val="20"/>
        <w:szCs w:val="20"/>
      </w:rPr>
    </w:lvl>
    <w:lvl w:ilvl="3">
      <w:start w:val="1"/>
      <w:numFmt w:val="lowerLetter"/>
      <w:pStyle w:val="Level4"/>
      <w:lvlText w:val="(%4)"/>
      <w:lvlJc w:val="left"/>
      <w:pPr>
        <w:tabs>
          <w:tab w:val="num" w:pos="1928"/>
        </w:tabs>
        <w:ind w:left="1928" w:hanging="454"/>
      </w:pPr>
      <w:rPr>
        <w:rFonts w:ascii="Arial" w:hAnsi="Arial" w:hint="default"/>
        <w:b/>
        <w:sz w:val="20"/>
        <w:szCs w:val="20"/>
      </w:rPr>
    </w:lvl>
    <w:lvl w:ilvl="4">
      <w:start w:val="1"/>
      <w:numFmt w:val="lowerRoman"/>
      <w:pStyle w:val="Level5"/>
      <w:lvlText w:val="(%5)"/>
      <w:lvlJc w:val="left"/>
      <w:pPr>
        <w:tabs>
          <w:tab w:val="num" w:pos="2381"/>
        </w:tabs>
        <w:ind w:left="2381" w:hanging="453"/>
      </w:pPr>
      <w:rPr>
        <w:rFonts w:ascii="Arial" w:hAnsi="Arial" w:hint="default"/>
        <w:b/>
        <w:i w:val="0"/>
        <w:sz w:val="20"/>
        <w:szCs w:val="20"/>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23" w15:restartNumberingAfterBreak="0">
    <w:nsid w:val="782B6933"/>
    <w:multiLevelType w:val="multilevel"/>
    <w:tmpl w:val="5E068C94"/>
    <w:lvl w:ilvl="0">
      <w:start w:val="1"/>
      <w:numFmt w:val="none"/>
      <w:pStyle w:val="ScheduleTitle"/>
      <w:suff w:val="nothing"/>
      <w:lvlText w:val=""/>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numFmt w:val="none"/>
      <w:suff w:val="nothing"/>
      <w:lvlText w:val=""/>
      <w:lvlJc w:val="left"/>
      <w:pPr>
        <w:ind w:left="0" w:firstLine="0"/>
      </w:pPr>
      <w:rPr>
        <w:rFonts w:ascii="Trebuchet MS" w:hAnsi="Trebuchet MS" w:hint="default"/>
        <w:b/>
        <w:i w:val="0"/>
        <w:sz w:val="20"/>
      </w:rPr>
    </w:lvl>
    <w:lvl w:ilvl="2">
      <w:start w:val="1"/>
      <w:numFmt w:val="decimal"/>
      <w:lvlRestart w:val="1"/>
      <w:suff w:val="nothing"/>
      <w:lvlText w:val="Part %3"/>
      <w:lvlJc w:val="left"/>
      <w:pPr>
        <w:ind w:left="0" w:firstLine="0"/>
      </w:pPr>
      <w:rPr>
        <w:rFonts w:ascii="Trebuchet MS" w:hAnsi="Trebuchet MS" w:hint="default"/>
        <w:b/>
        <w:i w:val="0"/>
        <w:caps w:val="0"/>
        <w:smallCaps w:val="0"/>
        <w:sz w:val="22"/>
      </w:rPr>
    </w:lvl>
    <w:lvl w:ilvl="3">
      <w:start w:val="1"/>
      <w:numFmt w:val="none"/>
      <w:lvlText w:val=""/>
      <w:lvlJc w:val="left"/>
      <w:pPr>
        <w:tabs>
          <w:tab w:val="num" w:pos="0"/>
        </w:tabs>
        <w:ind w:left="0" w:firstLine="0"/>
      </w:pPr>
      <w:rPr>
        <w:rFonts w:hint="default"/>
      </w:rPr>
    </w:lvl>
    <w:lvl w:ilvl="4">
      <w:start w:val="1"/>
      <w:numFmt w:val="decimal"/>
      <w:lvlText w:val="%4.%5"/>
      <w:lvlJc w:val="left"/>
      <w:pPr>
        <w:tabs>
          <w:tab w:val="num" w:pos="850"/>
        </w:tabs>
        <w:ind w:left="0" w:firstLine="0"/>
      </w:pPr>
      <w:rPr>
        <w:rFonts w:hint="default"/>
        <w:caps w:val="0"/>
      </w:rPr>
    </w:lvl>
    <w:lvl w:ilvl="5">
      <w:start w:val="1"/>
      <w:numFmt w:val="decimal"/>
      <w:lvlText w:val="%4.%5.%6"/>
      <w:lvlJc w:val="left"/>
      <w:pPr>
        <w:tabs>
          <w:tab w:val="num" w:pos="1701"/>
        </w:tabs>
        <w:ind w:left="0" w:firstLine="0"/>
      </w:pPr>
      <w:rPr>
        <w:rFonts w:hint="default"/>
        <w:caps w:val="0"/>
      </w:rPr>
    </w:lvl>
    <w:lvl w:ilvl="6">
      <w:start w:val="1"/>
      <w:numFmt w:val="lowerLetter"/>
      <w:lvlText w:val="(%7)"/>
      <w:lvlJc w:val="left"/>
      <w:pPr>
        <w:tabs>
          <w:tab w:val="num" w:pos="2268"/>
        </w:tabs>
        <w:ind w:left="0" w:firstLine="0"/>
      </w:pPr>
      <w:rPr>
        <w:rFonts w:hint="default"/>
        <w:caps w:val="0"/>
      </w:rPr>
    </w:lvl>
    <w:lvl w:ilvl="7">
      <w:start w:val="1"/>
      <w:numFmt w:val="lowerRoman"/>
      <w:lvlText w:val="(%8)"/>
      <w:lvlJc w:val="left"/>
      <w:pPr>
        <w:tabs>
          <w:tab w:val="num" w:pos="2835"/>
        </w:tabs>
        <w:ind w:left="0" w:firstLine="0"/>
      </w:pPr>
      <w:rPr>
        <w:rFonts w:hint="default"/>
      </w:rPr>
    </w:lvl>
    <w:lvl w:ilvl="8">
      <w:start w:val="1"/>
      <w:numFmt w:val="upperLetter"/>
      <w:lvlText w:val="(%9)"/>
      <w:lvlJc w:val="left"/>
      <w:pPr>
        <w:tabs>
          <w:tab w:val="num" w:pos="3402"/>
        </w:tabs>
        <w:ind w:left="0" w:firstLine="0"/>
      </w:pPr>
      <w:rPr>
        <w:rFonts w:hint="default"/>
      </w:rPr>
    </w:lvl>
  </w:abstractNum>
  <w:num w:numId="1" w16cid:durableId="1587767406">
    <w:abstractNumId w:val="19"/>
  </w:num>
  <w:num w:numId="2" w16cid:durableId="1849783209">
    <w:abstractNumId w:val="22"/>
  </w:num>
  <w:num w:numId="3" w16cid:durableId="1986158318">
    <w:abstractNumId w:val="17"/>
  </w:num>
  <w:num w:numId="4" w16cid:durableId="766313632">
    <w:abstractNumId w:val="13"/>
  </w:num>
  <w:num w:numId="5" w16cid:durableId="538010669">
    <w:abstractNumId w:val="21"/>
  </w:num>
  <w:num w:numId="6" w16cid:durableId="1551765469">
    <w:abstractNumId w:val="15"/>
  </w:num>
  <w:num w:numId="7" w16cid:durableId="909121643">
    <w:abstractNumId w:val="20"/>
  </w:num>
  <w:num w:numId="8" w16cid:durableId="1758552388">
    <w:abstractNumId w:val="23"/>
  </w:num>
  <w:num w:numId="9" w16cid:durableId="1182738730">
    <w:abstractNumId w:val="16"/>
  </w:num>
  <w:num w:numId="10" w16cid:durableId="1715304461">
    <w:abstractNumId w:val="11"/>
  </w:num>
  <w:num w:numId="11" w16cid:durableId="1710762565">
    <w:abstractNumId w:val="18"/>
  </w:num>
  <w:num w:numId="12" w16cid:durableId="1524903678">
    <w:abstractNumId w:val="14"/>
  </w:num>
  <w:num w:numId="13" w16cid:durableId="2133935084">
    <w:abstractNumId w:val="12"/>
  </w:num>
  <w:num w:numId="14" w16cid:durableId="1365364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72369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98392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04109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94189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97897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7007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042347">
    <w:abstractNumId w:val="22"/>
  </w:num>
  <w:num w:numId="22" w16cid:durableId="224994558">
    <w:abstractNumId w:val="22"/>
  </w:num>
  <w:num w:numId="23" w16cid:durableId="1763062302">
    <w:abstractNumId w:val="9"/>
  </w:num>
  <w:num w:numId="24" w16cid:durableId="607664225">
    <w:abstractNumId w:val="7"/>
  </w:num>
  <w:num w:numId="25" w16cid:durableId="1627467012">
    <w:abstractNumId w:val="6"/>
  </w:num>
  <w:num w:numId="26" w16cid:durableId="1608852481">
    <w:abstractNumId w:val="5"/>
  </w:num>
  <w:num w:numId="27" w16cid:durableId="1030257261">
    <w:abstractNumId w:val="4"/>
  </w:num>
  <w:num w:numId="28" w16cid:durableId="562563109">
    <w:abstractNumId w:val="8"/>
  </w:num>
  <w:num w:numId="29" w16cid:durableId="1907259816">
    <w:abstractNumId w:val="3"/>
  </w:num>
  <w:num w:numId="30" w16cid:durableId="595481538">
    <w:abstractNumId w:val="2"/>
  </w:num>
  <w:num w:numId="31" w16cid:durableId="1521970852">
    <w:abstractNumId w:val="1"/>
  </w:num>
  <w:num w:numId="32" w16cid:durableId="58404051">
    <w:abstractNumId w:val="0"/>
  </w:num>
  <w:num w:numId="33" w16cid:durableId="1666131889">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article&lt;/Operative&gt;_x000d__x000a_  &lt;TemplateType&gt;null&lt;/TemplateType&gt;_x000d__x000a_  &lt;SignaturePageBreakType&gt;Yes without message&lt;/SignaturePageBreakType&gt;_x000d__x000a_&lt;/docParts&gt;"/>
    <w:docVar w:name="gentXMLPartID" w:val="{BE086BDB-E3E9-4C9E-8CC2-E67CE32C3AEF}"/>
  </w:docVars>
  <w:rsids>
    <w:rsidRoot w:val="00780D49"/>
    <w:rsid w:val="000077D6"/>
    <w:rsid w:val="00046AAD"/>
    <w:rsid w:val="0005087E"/>
    <w:rsid w:val="00092D22"/>
    <w:rsid w:val="000A0D12"/>
    <w:rsid w:val="000B1F19"/>
    <w:rsid w:val="000B7E98"/>
    <w:rsid w:val="001070AA"/>
    <w:rsid w:val="00124DD1"/>
    <w:rsid w:val="00134908"/>
    <w:rsid w:val="0017407B"/>
    <w:rsid w:val="00181D75"/>
    <w:rsid w:val="001B3971"/>
    <w:rsid w:val="001B43FB"/>
    <w:rsid w:val="001E2D38"/>
    <w:rsid w:val="001E3EBA"/>
    <w:rsid w:val="001F0C69"/>
    <w:rsid w:val="00235186"/>
    <w:rsid w:val="002976F2"/>
    <w:rsid w:val="002A0B5E"/>
    <w:rsid w:val="002C2039"/>
    <w:rsid w:val="002C7A67"/>
    <w:rsid w:val="003032D3"/>
    <w:rsid w:val="00306D20"/>
    <w:rsid w:val="003A3A5A"/>
    <w:rsid w:val="003B2B28"/>
    <w:rsid w:val="003C373E"/>
    <w:rsid w:val="003C64AD"/>
    <w:rsid w:val="003D1ED0"/>
    <w:rsid w:val="004406F1"/>
    <w:rsid w:val="004554DB"/>
    <w:rsid w:val="0047012C"/>
    <w:rsid w:val="004D2180"/>
    <w:rsid w:val="004D3D19"/>
    <w:rsid w:val="004D4F1A"/>
    <w:rsid w:val="004D7856"/>
    <w:rsid w:val="005035D9"/>
    <w:rsid w:val="00515849"/>
    <w:rsid w:val="00533822"/>
    <w:rsid w:val="005447DF"/>
    <w:rsid w:val="0054795F"/>
    <w:rsid w:val="00553795"/>
    <w:rsid w:val="00577AF3"/>
    <w:rsid w:val="005803D6"/>
    <w:rsid w:val="00594408"/>
    <w:rsid w:val="00622048"/>
    <w:rsid w:val="006661A3"/>
    <w:rsid w:val="00691A23"/>
    <w:rsid w:val="006B7166"/>
    <w:rsid w:val="006D1E74"/>
    <w:rsid w:val="006E4C90"/>
    <w:rsid w:val="007013E8"/>
    <w:rsid w:val="00715DBA"/>
    <w:rsid w:val="00721828"/>
    <w:rsid w:val="00727A48"/>
    <w:rsid w:val="00735D50"/>
    <w:rsid w:val="007418BC"/>
    <w:rsid w:val="00780D49"/>
    <w:rsid w:val="007A0C1C"/>
    <w:rsid w:val="007A16C8"/>
    <w:rsid w:val="007A1A91"/>
    <w:rsid w:val="007C0587"/>
    <w:rsid w:val="007C7F40"/>
    <w:rsid w:val="007F2EF3"/>
    <w:rsid w:val="008042C0"/>
    <w:rsid w:val="00810BE9"/>
    <w:rsid w:val="00822E93"/>
    <w:rsid w:val="00826A32"/>
    <w:rsid w:val="0083653B"/>
    <w:rsid w:val="008579EC"/>
    <w:rsid w:val="0087071A"/>
    <w:rsid w:val="00882D2C"/>
    <w:rsid w:val="008A3D38"/>
    <w:rsid w:val="008E1CEF"/>
    <w:rsid w:val="00900B09"/>
    <w:rsid w:val="00911869"/>
    <w:rsid w:val="00912FC9"/>
    <w:rsid w:val="00924108"/>
    <w:rsid w:val="00945022"/>
    <w:rsid w:val="009543AD"/>
    <w:rsid w:val="00972F50"/>
    <w:rsid w:val="009865E9"/>
    <w:rsid w:val="00995A6B"/>
    <w:rsid w:val="009A2BC7"/>
    <w:rsid w:val="009B0CD8"/>
    <w:rsid w:val="009B5143"/>
    <w:rsid w:val="00A023F2"/>
    <w:rsid w:val="00A211F7"/>
    <w:rsid w:val="00A35855"/>
    <w:rsid w:val="00A35BEC"/>
    <w:rsid w:val="00A670C5"/>
    <w:rsid w:val="00A97AAC"/>
    <w:rsid w:val="00AA55FC"/>
    <w:rsid w:val="00B272BF"/>
    <w:rsid w:val="00B33789"/>
    <w:rsid w:val="00B4246C"/>
    <w:rsid w:val="00B84826"/>
    <w:rsid w:val="00B911C6"/>
    <w:rsid w:val="00BA3654"/>
    <w:rsid w:val="00BA43AB"/>
    <w:rsid w:val="00BD1617"/>
    <w:rsid w:val="00BF2404"/>
    <w:rsid w:val="00C002F9"/>
    <w:rsid w:val="00C0566D"/>
    <w:rsid w:val="00C06B3D"/>
    <w:rsid w:val="00C515EE"/>
    <w:rsid w:val="00C64328"/>
    <w:rsid w:val="00C7122C"/>
    <w:rsid w:val="00C841F4"/>
    <w:rsid w:val="00C96E6E"/>
    <w:rsid w:val="00CA3C7F"/>
    <w:rsid w:val="00CA4B1C"/>
    <w:rsid w:val="00CB29C1"/>
    <w:rsid w:val="00D249CB"/>
    <w:rsid w:val="00D54FE8"/>
    <w:rsid w:val="00D728CD"/>
    <w:rsid w:val="00D74A87"/>
    <w:rsid w:val="00D8370E"/>
    <w:rsid w:val="00D90415"/>
    <w:rsid w:val="00DA4800"/>
    <w:rsid w:val="00DC406E"/>
    <w:rsid w:val="00DC4720"/>
    <w:rsid w:val="00DC75D2"/>
    <w:rsid w:val="00DE5C22"/>
    <w:rsid w:val="00DF0B5F"/>
    <w:rsid w:val="00E03057"/>
    <w:rsid w:val="00E12420"/>
    <w:rsid w:val="00E24DAB"/>
    <w:rsid w:val="00E324D6"/>
    <w:rsid w:val="00E45AFF"/>
    <w:rsid w:val="00E74B2E"/>
    <w:rsid w:val="00E85B1C"/>
    <w:rsid w:val="00E86519"/>
    <w:rsid w:val="00E900FA"/>
    <w:rsid w:val="00E94771"/>
    <w:rsid w:val="00EA27A3"/>
    <w:rsid w:val="00EB28F9"/>
    <w:rsid w:val="00EC1FB9"/>
    <w:rsid w:val="00EE3F1E"/>
    <w:rsid w:val="00EF29B2"/>
    <w:rsid w:val="00F127AF"/>
    <w:rsid w:val="00F13680"/>
    <w:rsid w:val="00F16C2C"/>
    <w:rsid w:val="00F52371"/>
    <w:rsid w:val="00F65676"/>
    <w:rsid w:val="00F66DC3"/>
    <w:rsid w:val="00F748C0"/>
    <w:rsid w:val="00FE0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BE686"/>
  <w15:docId w15:val="{D9314936-7CC8-441B-A6EA-AFD24A1D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7F40"/>
    <w:pPr>
      <w:spacing w:after="0" w:line="240" w:lineRule="auto"/>
    </w:pPr>
    <w:rPr>
      <w:rFonts w:eastAsiaTheme="minorHAnsi"/>
      <w:kern w:val="2"/>
      <w:sz w:val="24"/>
      <w:szCs w:val="24"/>
      <w:lang w:eastAsia="en-US"/>
      <w14:ligatures w14:val="standardContextual"/>
    </w:rPr>
  </w:style>
  <w:style w:type="paragraph" w:styleId="Heading1">
    <w:name w:val="heading 1"/>
    <w:basedOn w:val="Normal"/>
    <w:next w:val="Normal"/>
    <w:link w:val="Heading1Char"/>
    <w:uiPriority w:val="9"/>
    <w:qFormat/>
    <w:rsid w:val="00645531"/>
    <w:pPr>
      <w:keepNext/>
      <w:keepLines/>
      <w:numPr>
        <w:numId w:val="1"/>
      </w:numPr>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645531"/>
    <w:pPr>
      <w:keepNext/>
      <w:keepLines/>
      <w:numPr>
        <w:ilvl w:val="1"/>
        <w:numId w:val="1"/>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645531"/>
    <w:pPr>
      <w:keepNext/>
      <w:keepLines/>
      <w:numPr>
        <w:ilvl w:val="2"/>
        <w:numId w:val="1"/>
      </w:numPr>
      <w:tabs>
        <w:tab w:val="num" w:pos="2421"/>
      </w:tabs>
      <w:spacing w:before="200"/>
      <w:ind w:left="2268" w:hanging="567"/>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645531"/>
    <w:pPr>
      <w:keepNext/>
      <w:keepLines/>
      <w:numPr>
        <w:ilvl w:val="3"/>
        <w:numId w:val="1"/>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645531"/>
    <w:pPr>
      <w:keepNext/>
      <w:keepLines/>
      <w:numPr>
        <w:ilvl w:val="4"/>
        <w:numId w:val="1"/>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645531"/>
    <w:pPr>
      <w:keepNext/>
      <w:keepLines/>
      <w:numPr>
        <w:ilvl w:val="5"/>
        <w:numId w:val="1"/>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645531"/>
    <w:pPr>
      <w:keepNext/>
      <w:keepLines/>
      <w:numPr>
        <w:ilvl w:val="6"/>
        <w:numId w:val="1"/>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645531"/>
    <w:pPr>
      <w:keepNext/>
      <w:keepLines/>
      <w:numPr>
        <w:ilvl w:val="7"/>
        <w:numId w:val="1"/>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645531"/>
    <w:pPr>
      <w:keepNext/>
      <w:keepLines/>
      <w:numPr>
        <w:ilvl w:val="8"/>
        <w:numId w:val="1"/>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7C7F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F40"/>
  </w:style>
  <w:style w:type="paragraph" w:styleId="TOC1">
    <w:name w:val="toc 1"/>
    <w:basedOn w:val="Normal"/>
    <w:next w:val="Normal"/>
    <w:autoRedefine/>
    <w:uiPriority w:val="39"/>
    <w:qFormat/>
    <w:rsid w:val="00EE3F1E"/>
    <w:pPr>
      <w:tabs>
        <w:tab w:val="left" w:pos="440"/>
        <w:tab w:val="right" w:leader="dot" w:pos="9350"/>
      </w:tabs>
      <w:spacing w:line="300" w:lineRule="atLeast"/>
      <w:jc w:val="both"/>
    </w:pPr>
    <w:rPr>
      <w:rFonts w:ascii="Arial" w:eastAsia="Times New Roman" w:hAnsi="Arial" w:cs="Times New Roman"/>
      <w:sz w:val="20"/>
      <w:szCs w:val="20"/>
    </w:rPr>
  </w:style>
  <w:style w:type="character" w:styleId="Hyperlink">
    <w:name w:val="Hyperlink"/>
    <w:basedOn w:val="DefaultParagraphFont"/>
    <w:uiPriority w:val="99"/>
    <w:unhideWhenUsed/>
    <w:rsid w:val="00E12420"/>
    <w:rPr>
      <w:color w:val="0000FF" w:themeColor="hyperlink"/>
      <w:u w:val="single"/>
    </w:rPr>
  </w:style>
  <w:style w:type="character" w:customStyle="1" w:styleId="Heading1Char">
    <w:name w:val="Heading 1 Char"/>
    <w:basedOn w:val="DefaultParagraphFont"/>
    <w:link w:val="Heading1"/>
    <w:uiPriority w:val="9"/>
    <w:rsid w:val="00645531"/>
    <w:rPr>
      <w:rFonts w:asciiTheme="majorHAnsi" w:eastAsiaTheme="majorEastAsia" w:hAnsiTheme="majorHAnsi" w:cstheme="majorBidi"/>
      <w:b/>
      <w:bCs/>
      <w:color w:val="000000"/>
      <w:sz w:val="28"/>
      <w:szCs w:val="28"/>
      <w:lang w:eastAsia="en-US"/>
    </w:rPr>
  </w:style>
  <w:style w:type="character" w:customStyle="1" w:styleId="Heading2Char">
    <w:name w:val="Heading 2 Char"/>
    <w:basedOn w:val="DefaultParagraphFont"/>
    <w:link w:val="Heading2"/>
    <w:uiPriority w:val="9"/>
    <w:semiHidden/>
    <w:rsid w:val="00645531"/>
    <w:rPr>
      <w:rFonts w:asciiTheme="majorHAnsi" w:eastAsiaTheme="majorEastAsia" w:hAnsiTheme="majorHAnsi" w:cstheme="majorBidi"/>
      <w:b/>
      <w:bCs/>
      <w:color w:val="000000"/>
      <w:sz w:val="26"/>
      <w:szCs w:val="26"/>
      <w:lang w:eastAsia="en-US"/>
    </w:rPr>
  </w:style>
  <w:style w:type="character" w:customStyle="1" w:styleId="Heading3Char">
    <w:name w:val="Heading 3 Char"/>
    <w:basedOn w:val="DefaultParagraphFont"/>
    <w:link w:val="Heading3"/>
    <w:uiPriority w:val="9"/>
    <w:semiHidden/>
    <w:rsid w:val="00645531"/>
    <w:rPr>
      <w:rFonts w:asciiTheme="majorHAnsi" w:eastAsiaTheme="majorEastAsia" w:hAnsiTheme="majorHAnsi" w:cstheme="majorBidi"/>
      <w:b/>
      <w:bCs/>
      <w:color w:val="000000"/>
      <w:lang w:eastAsia="en-US"/>
    </w:rPr>
  </w:style>
  <w:style w:type="character" w:customStyle="1" w:styleId="Heading4Char">
    <w:name w:val="Heading 4 Char"/>
    <w:basedOn w:val="DefaultParagraphFont"/>
    <w:link w:val="Heading4"/>
    <w:uiPriority w:val="9"/>
    <w:semiHidden/>
    <w:rsid w:val="00645531"/>
    <w:rPr>
      <w:rFonts w:asciiTheme="majorHAnsi" w:eastAsiaTheme="majorEastAsia" w:hAnsiTheme="majorHAnsi" w:cstheme="majorBidi"/>
      <w:b/>
      <w:bCs/>
      <w:i/>
      <w:iCs/>
      <w:color w:val="000000"/>
      <w:lang w:eastAsia="en-US"/>
    </w:rPr>
  </w:style>
  <w:style w:type="character" w:customStyle="1" w:styleId="Heading5Char">
    <w:name w:val="Heading 5 Char"/>
    <w:basedOn w:val="DefaultParagraphFont"/>
    <w:link w:val="Heading5"/>
    <w:uiPriority w:val="9"/>
    <w:semiHidden/>
    <w:rsid w:val="00645531"/>
    <w:rPr>
      <w:rFonts w:asciiTheme="majorHAnsi" w:eastAsiaTheme="majorEastAsia" w:hAnsiTheme="majorHAnsi" w:cstheme="majorBidi"/>
      <w:color w:val="000000"/>
      <w:lang w:eastAsia="en-US"/>
    </w:rPr>
  </w:style>
  <w:style w:type="character" w:customStyle="1" w:styleId="Heading6Char">
    <w:name w:val="Heading 6 Char"/>
    <w:basedOn w:val="DefaultParagraphFont"/>
    <w:link w:val="Heading6"/>
    <w:uiPriority w:val="9"/>
    <w:semiHidden/>
    <w:rsid w:val="00645531"/>
    <w:rPr>
      <w:rFonts w:asciiTheme="majorHAnsi" w:eastAsiaTheme="majorEastAsia" w:hAnsiTheme="majorHAnsi" w:cstheme="majorBidi"/>
      <w:i/>
      <w:iCs/>
      <w:color w:val="000000"/>
      <w:lang w:eastAsia="en-US"/>
    </w:rPr>
  </w:style>
  <w:style w:type="character" w:customStyle="1" w:styleId="Heading7Char">
    <w:name w:val="Heading 7 Char"/>
    <w:basedOn w:val="DefaultParagraphFont"/>
    <w:link w:val="Heading7"/>
    <w:uiPriority w:val="9"/>
    <w:semiHidden/>
    <w:rsid w:val="00645531"/>
    <w:rPr>
      <w:rFonts w:asciiTheme="majorHAnsi" w:eastAsiaTheme="majorEastAsia" w:hAnsiTheme="majorHAnsi" w:cstheme="majorBidi"/>
      <w:i/>
      <w:iCs/>
      <w:color w:val="000000"/>
      <w:lang w:eastAsia="en-US"/>
    </w:rPr>
  </w:style>
  <w:style w:type="character" w:customStyle="1" w:styleId="Heading8Char">
    <w:name w:val="Heading 8 Char"/>
    <w:basedOn w:val="DefaultParagraphFont"/>
    <w:link w:val="Heading8"/>
    <w:uiPriority w:val="9"/>
    <w:semiHidden/>
    <w:rsid w:val="00645531"/>
    <w:rPr>
      <w:rFonts w:asciiTheme="majorHAnsi" w:eastAsiaTheme="majorEastAsia" w:hAnsiTheme="majorHAnsi" w:cstheme="majorBidi"/>
      <w:color w:val="000000"/>
      <w:sz w:val="20"/>
      <w:szCs w:val="20"/>
      <w:lang w:eastAsia="en-US"/>
    </w:rPr>
  </w:style>
  <w:style w:type="character" w:customStyle="1" w:styleId="Heading9Char">
    <w:name w:val="Heading 9 Char"/>
    <w:basedOn w:val="DefaultParagraphFont"/>
    <w:link w:val="Heading9"/>
    <w:uiPriority w:val="9"/>
    <w:semiHidden/>
    <w:rsid w:val="00645531"/>
    <w:rPr>
      <w:rFonts w:asciiTheme="majorHAnsi" w:eastAsiaTheme="majorEastAsia" w:hAnsiTheme="majorHAnsi" w:cstheme="majorBidi"/>
      <w:i/>
      <w:iCs/>
      <w:color w:val="000000"/>
      <w:sz w:val="20"/>
      <w:szCs w:val="20"/>
      <w:lang w:eastAsia="en-US"/>
    </w:rPr>
  </w:style>
  <w:style w:type="paragraph" w:styleId="Revision">
    <w:name w:val="Revision"/>
    <w:hidden/>
    <w:uiPriority w:val="99"/>
    <w:semiHidden/>
    <w:rsid w:val="00645531"/>
    <w:pPr>
      <w:spacing w:after="0" w:line="240" w:lineRule="auto"/>
    </w:pPr>
    <w:rPr>
      <w:color w:val="000000"/>
    </w:rPr>
  </w:style>
  <w:style w:type="paragraph" w:customStyle="1" w:styleId="Title">
    <w:name w:val="*   Title"/>
    <w:basedOn w:val="Normal"/>
    <w:next w:val="Normal"/>
    <w:link w:val="TitleChar"/>
    <w:qFormat/>
    <w:rsid w:val="00DC4720"/>
    <w:pPr>
      <w:overflowPunct w:val="0"/>
      <w:autoSpaceDE w:val="0"/>
      <w:autoSpaceDN w:val="0"/>
      <w:adjustRightInd w:val="0"/>
      <w:spacing w:after="140" w:line="290" w:lineRule="auto"/>
      <w:jc w:val="center"/>
      <w:textAlignment w:val="baseline"/>
    </w:pPr>
    <w:rPr>
      <w:rFonts w:ascii="Arial" w:eastAsiaTheme="minorEastAsia" w:hAnsi="Arial" w:cs="Arial"/>
      <w:b/>
      <w:kern w:val="20"/>
      <w:sz w:val="28"/>
      <w:szCs w:val="20"/>
      <w:lang w:eastAsia="en-GB"/>
    </w:rPr>
  </w:style>
  <w:style w:type="character" w:customStyle="1" w:styleId="TitleChar">
    <w:name w:val="*   Title Char"/>
    <w:basedOn w:val="DefaultParagraphFont"/>
    <w:link w:val="Title"/>
    <w:rsid w:val="00DC4720"/>
    <w:rPr>
      <w:rFonts w:ascii="Arial" w:hAnsi="Arial" w:cs="Arial"/>
      <w:b/>
      <w:kern w:val="20"/>
      <w:sz w:val="28"/>
      <w:szCs w:val="20"/>
    </w:rPr>
  </w:style>
  <w:style w:type="paragraph" w:customStyle="1" w:styleId="Subtitle">
    <w:name w:val="*  Subtitle"/>
    <w:basedOn w:val="Title"/>
    <w:qFormat/>
    <w:rsid w:val="00DC4720"/>
    <w:pPr>
      <w:jc w:val="both"/>
    </w:pPr>
    <w:rPr>
      <w:sz w:val="22"/>
    </w:rPr>
  </w:style>
  <w:style w:type="paragraph" w:customStyle="1" w:styleId="Level1">
    <w:name w:val="* Level 1"/>
    <w:basedOn w:val="Subtitle"/>
    <w:qFormat/>
    <w:rsid w:val="00DC4720"/>
    <w:pPr>
      <w:keepNext/>
      <w:numPr>
        <w:numId w:val="2"/>
      </w:numPr>
      <w:spacing w:before="140"/>
      <w:outlineLvl w:val="0"/>
    </w:pPr>
    <w:rPr>
      <w:szCs w:val="28"/>
    </w:rPr>
  </w:style>
  <w:style w:type="paragraph" w:customStyle="1" w:styleId="1Parties">
    <w:name w:val="* (1) Parties"/>
    <w:basedOn w:val="Level1"/>
    <w:qFormat/>
    <w:rsid w:val="00DC4720"/>
    <w:pPr>
      <w:keepNext w:val="0"/>
      <w:numPr>
        <w:numId w:val="3"/>
      </w:numPr>
    </w:pPr>
    <w:rPr>
      <w:b w:val="0"/>
      <w:sz w:val="20"/>
      <w:szCs w:val="22"/>
    </w:rPr>
  </w:style>
  <w:style w:type="paragraph" w:customStyle="1" w:styleId="ABackground">
    <w:name w:val="* (A) Background"/>
    <w:basedOn w:val="Normal"/>
    <w:qFormat/>
    <w:rsid w:val="00DC4720"/>
    <w:pPr>
      <w:numPr>
        <w:numId w:val="4"/>
      </w:numPr>
      <w:overflowPunct w:val="0"/>
      <w:autoSpaceDE w:val="0"/>
      <w:autoSpaceDN w:val="0"/>
      <w:adjustRightInd w:val="0"/>
      <w:spacing w:before="140" w:after="140" w:line="290" w:lineRule="auto"/>
      <w:jc w:val="both"/>
      <w:textAlignment w:val="baseline"/>
      <w:outlineLvl w:val="0"/>
    </w:pPr>
    <w:rPr>
      <w:rFonts w:ascii="Arial" w:eastAsiaTheme="minorEastAsia" w:hAnsi="Arial" w:cs="Arial"/>
      <w:kern w:val="20"/>
      <w:sz w:val="20"/>
      <w:szCs w:val="20"/>
      <w:lang w:eastAsia="en-GB"/>
    </w:rPr>
  </w:style>
  <w:style w:type="paragraph" w:customStyle="1" w:styleId="Body2">
    <w:name w:val="* Body 2"/>
    <w:basedOn w:val="Subtitle"/>
    <w:qFormat/>
    <w:rsid w:val="00DC4720"/>
    <w:pPr>
      <w:ind w:left="680"/>
    </w:pPr>
    <w:rPr>
      <w:b w:val="0"/>
      <w:sz w:val="20"/>
      <w:szCs w:val="28"/>
    </w:rPr>
  </w:style>
  <w:style w:type="paragraph" w:customStyle="1" w:styleId="Body1">
    <w:name w:val="* Body 1"/>
    <w:basedOn w:val="Body2"/>
    <w:qFormat/>
    <w:rsid w:val="00DC4720"/>
    <w:pPr>
      <w:ind w:left="0"/>
    </w:pPr>
  </w:style>
  <w:style w:type="paragraph" w:customStyle="1" w:styleId="Body3">
    <w:name w:val="* Body 3"/>
    <w:basedOn w:val="Body2"/>
    <w:qFormat/>
    <w:rsid w:val="00DC4720"/>
    <w:pPr>
      <w:ind w:left="1474"/>
    </w:pPr>
  </w:style>
  <w:style w:type="paragraph" w:customStyle="1" w:styleId="Body4">
    <w:name w:val="* Body 4"/>
    <w:basedOn w:val="Body3"/>
    <w:qFormat/>
    <w:rsid w:val="00DC4720"/>
    <w:pPr>
      <w:ind w:left="1928"/>
    </w:pPr>
  </w:style>
  <w:style w:type="paragraph" w:customStyle="1" w:styleId="Body5">
    <w:name w:val="* Body 5"/>
    <w:basedOn w:val="Body4"/>
    <w:qFormat/>
    <w:rsid w:val="00DC4720"/>
    <w:pPr>
      <w:ind w:left="2381"/>
    </w:pPr>
  </w:style>
  <w:style w:type="paragraph" w:customStyle="1" w:styleId="CourtDocBodyText">
    <w:name w:val="* Court Doc Body Text"/>
    <w:basedOn w:val="Normal"/>
    <w:qFormat/>
    <w:rsid w:val="00DC4720"/>
    <w:pPr>
      <w:spacing w:after="120" w:line="360" w:lineRule="auto"/>
      <w:jc w:val="both"/>
    </w:pPr>
    <w:rPr>
      <w:rFonts w:ascii="Arial" w:eastAsiaTheme="minorEastAsia" w:hAnsi="Arial"/>
      <w:sz w:val="20"/>
      <w:szCs w:val="20"/>
      <w:lang w:eastAsia="en-GB"/>
    </w:rPr>
  </w:style>
  <w:style w:type="paragraph" w:customStyle="1" w:styleId="CourtDocDraftingNotes">
    <w:name w:val="* Court Doc Drafting Notes"/>
    <w:basedOn w:val="Normal"/>
    <w:qFormat/>
    <w:rsid w:val="00DC4720"/>
    <w:pPr>
      <w:numPr>
        <w:numId w:val="5"/>
      </w:numPr>
      <w:spacing w:after="120" w:line="360" w:lineRule="auto"/>
      <w:jc w:val="both"/>
    </w:pPr>
    <w:rPr>
      <w:rFonts w:ascii="Arial" w:eastAsia="Times New Roman" w:hAnsi="Arial" w:cs="Times New Roman"/>
      <w:sz w:val="20"/>
      <w:szCs w:val="20"/>
      <w:lang w:eastAsia="en-GB"/>
    </w:rPr>
  </w:style>
  <w:style w:type="paragraph" w:customStyle="1" w:styleId="CourtDocNumbering">
    <w:name w:val="* Court Doc Numbering"/>
    <w:basedOn w:val="Normal"/>
    <w:qFormat/>
    <w:rsid w:val="00DC4720"/>
    <w:pPr>
      <w:numPr>
        <w:numId w:val="6"/>
      </w:numPr>
      <w:spacing w:after="120" w:line="360" w:lineRule="auto"/>
      <w:jc w:val="both"/>
    </w:pPr>
    <w:rPr>
      <w:rFonts w:ascii="Arial" w:eastAsiaTheme="minorEastAsia" w:hAnsi="Arial" w:cs="Arial"/>
      <w:kern w:val="20"/>
      <w:sz w:val="20"/>
      <w:szCs w:val="20"/>
      <w:lang w:eastAsia="en-GB"/>
    </w:rPr>
  </w:style>
  <w:style w:type="paragraph" w:customStyle="1" w:styleId="LetterBody">
    <w:name w:val="* Letter Body"/>
    <w:basedOn w:val="Body1"/>
    <w:qFormat/>
    <w:rsid w:val="00DC4720"/>
    <w:pPr>
      <w:spacing w:after="200"/>
    </w:pPr>
  </w:style>
  <w:style w:type="paragraph" w:customStyle="1" w:styleId="LetterNumbering">
    <w:name w:val="* Letter Numbering"/>
    <w:basedOn w:val="Normal"/>
    <w:qFormat/>
    <w:rsid w:val="00DC4720"/>
    <w:pPr>
      <w:numPr>
        <w:numId w:val="7"/>
      </w:numPr>
      <w:spacing w:before="140" w:after="140" w:line="290" w:lineRule="auto"/>
      <w:jc w:val="both"/>
    </w:pPr>
    <w:rPr>
      <w:rFonts w:ascii="Arial" w:eastAsia="Times New Roman" w:hAnsi="Arial" w:cs="Times New Roman"/>
      <w:sz w:val="20"/>
      <w:szCs w:val="20"/>
      <w:lang w:eastAsia="en-GB"/>
    </w:rPr>
  </w:style>
  <w:style w:type="paragraph" w:customStyle="1" w:styleId="LetterSubtitle">
    <w:name w:val="* Letter Subtitle"/>
    <w:basedOn w:val="Normal"/>
    <w:qFormat/>
    <w:rsid w:val="00DC4720"/>
    <w:pPr>
      <w:jc w:val="both"/>
    </w:pPr>
    <w:rPr>
      <w:rFonts w:ascii="Arial" w:eastAsia="Times New Roman" w:hAnsi="Arial" w:cs="Times New Roman"/>
      <w:b/>
      <w:sz w:val="20"/>
      <w:szCs w:val="20"/>
      <w:lang w:eastAsia="en-GB"/>
    </w:rPr>
  </w:style>
  <w:style w:type="paragraph" w:customStyle="1" w:styleId="Level2">
    <w:name w:val="* Level 2"/>
    <w:basedOn w:val="Level1"/>
    <w:qFormat/>
    <w:rsid w:val="00DC4720"/>
    <w:pPr>
      <w:keepNext w:val="0"/>
      <w:numPr>
        <w:ilvl w:val="1"/>
      </w:numPr>
      <w:spacing w:before="0"/>
      <w:outlineLvl w:val="1"/>
    </w:pPr>
    <w:rPr>
      <w:b w:val="0"/>
      <w:sz w:val="20"/>
    </w:rPr>
  </w:style>
  <w:style w:type="paragraph" w:customStyle="1" w:styleId="Level3">
    <w:name w:val="* Level 3"/>
    <w:basedOn w:val="Level2"/>
    <w:qFormat/>
    <w:rsid w:val="00DC4720"/>
    <w:pPr>
      <w:numPr>
        <w:ilvl w:val="2"/>
      </w:numPr>
      <w:outlineLvl w:val="2"/>
    </w:pPr>
  </w:style>
  <w:style w:type="paragraph" w:customStyle="1" w:styleId="Level4">
    <w:name w:val="* Level 4"/>
    <w:basedOn w:val="Level3"/>
    <w:qFormat/>
    <w:rsid w:val="00DC4720"/>
    <w:pPr>
      <w:numPr>
        <w:ilvl w:val="3"/>
      </w:numPr>
      <w:outlineLvl w:val="3"/>
    </w:pPr>
  </w:style>
  <w:style w:type="paragraph" w:customStyle="1" w:styleId="Level5">
    <w:name w:val="* Level 5"/>
    <w:basedOn w:val="Level4"/>
    <w:qFormat/>
    <w:rsid w:val="00DC4720"/>
    <w:pPr>
      <w:numPr>
        <w:ilvl w:val="4"/>
      </w:numPr>
      <w:outlineLvl w:val="4"/>
    </w:pPr>
  </w:style>
  <w:style w:type="paragraph" w:customStyle="1" w:styleId="ScheduleTitle">
    <w:name w:val="* Schedule Title"/>
    <w:basedOn w:val="Title"/>
    <w:next w:val="Normal"/>
    <w:qFormat/>
    <w:rsid w:val="00DC4720"/>
    <w:pPr>
      <w:numPr>
        <w:numId w:val="8"/>
      </w:numPr>
    </w:pPr>
    <w:rPr>
      <w:sz w:val="22"/>
      <w:szCs w:val="28"/>
    </w:rPr>
  </w:style>
  <w:style w:type="paragraph" w:customStyle="1" w:styleId="ScheduleSubtitle">
    <w:name w:val="* Schedule Subtitle"/>
    <w:basedOn w:val="ScheduleTitle"/>
    <w:qFormat/>
    <w:rsid w:val="00DC4720"/>
    <w:pPr>
      <w:numPr>
        <w:ilvl w:val="1"/>
        <w:numId w:val="9"/>
      </w:numPr>
    </w:pPr>
    <w:rPr>
      <w:sz w:val="20"/>
    </w:rPr>
  </w:style>
  <w:style w:type="paragraph" w:customStyle="1" w:styleId="PartTitle">
    <w:name w:val="* Part Title"/>
    <w:basedOn w:val="ScheduleSubtitle"/>
    <w:next w:val="Normal"/>
    <w:qFormat/>
    <w:rsid w:val="00DC4720"/>
    <w:pPr>
      <w:numPr>
        <w:ilvl w:val="0"/>
        <w:numId w:val="0"/>
      </w:numPr>
    </w:pPr>
    <w:rPr>
      <w:szCs w:val="22"/>
    </w:rPr>
  </w:style>
  <w:style w:type="paragraph" w:customStyle="1" w:styleId="PartSubtitle">
    <w:name w:val="* Part Subtitle"/>
    <w:basedOn w:val="PartTitle"/>
    <w:next w:val="Normal"/>
    <w:qFormat/>
    <w:rsid w:val="00DC4720"/>
    <w:pPr>
      <w:numPr>
        <w:ilvl w:val="3"/>
        <w:numId w:val="9"/>
      </w:numPr>
    </w:pPr>
  </w:style>
  <w:style w:type="paragraph" w:customStyle="1" w:styleId="SchedNumbering1">
    <w:name w:val="* Sched Numbering 1"/>
    <w:basedOn w:val="Normal"/>
    <w:qFormat/>
    <w:rsid w:val="00DC4720"/>
    <w:pPr>
      <w:numPr>
        <w:numId w:val="10"/>
      </w:numPr>
      <w:overflowPunct w:val="0"/>
      <w:autoSpaceDE w:val="0"/>
      <w:autoSpaceDN w:val="0"/>
      <w:adjustRightInd w:val="0"/>
      <w:spacing w:before="140" w:after="140" w:line="290" w:lineRule="auto"/>
      <w:jc w:val="both"/>
      <w:textAlignment w:val="baseline"/>
      <w:outlineLvl w:val="0"/>
    </w:pPr>
    <w:rPr>
      <w:rFonts w:ascii="Arial" w:eastAsiaTheme="minorEastAsia" w:hAnsi="Arial"/>
      <w:kern w:val="20"/>
      <w:sz w:val="20"/>
      <w:szCs w:val="20"/>
      <w:lang w:eastAsia="en-GB"/>
    </w:rPr>
  </w:style>
  <w:style w:type="paragraph" w:customStyle="1" w:styleId="SchedNumbering2">
    <w:name w:val="* Sched Numbering 2"/>
    <w:basedOn w:val="SchedNumbering1"/>
    <w:qFormat/>
    <w:rsid w:val="00DC4720"/>
    <w:pPr>
      <w:numPr>
        <w:ilvl w:val="1"/>
      </w:numPr>
      <w:spacing w:before="0"/>
    </w:pPr>
    <w:rPr>
      <w:rFonts w:cs="Arial"/>
    </w:rPr>
  </w:style>
  <w:style w:type="paragraph" w:customStyle="1" w:styleId="SchedNumbering3">
    <w:name w:val="* Sched Numbering 3"/>
    <w:basedOn w:val="SchedNumbering2"/>
    <w:qFormat/>
    <w:rsid w:val="00DC4720"/>
    <w:pPr>
      <w:numPr>
        <w:ilvl w:val="2"/>
      </w:numPr>
    </w:pPr>
    <w:rPr>
      <w:rFonts w:cstheme="minorBidi"/>
    </w:rPr>
  </w:style>
  <w:style w:type="paragraph" w:customStyle="1" w:styleId="SchedNumbering4">
    <w:name w:val="* Sched Numbering 4"/>
    <w:basedOn w:val="SchedNumbering3"/>
    <w:qFormat/>
    <w:rsid w:val="00DC4720"/>
    <w:pPr>
      <w:numPr>
        <w:ilvl w:val="3"/>
      </w:numPr>
    </w:pPr>
    <w:rPr>
      <w:rFonts w:cs="Arial"/>
    </w:rPr>
  </w:style>
  <w:style w:type="paragraph" w:customStyle="1" w:styleId="SchedNumbering5">
    <w:name w:val="* Sched Numbering 5"/>
    <w:basedOn w:val="SchedNumbering4"/>
    <w:qFormat/>
    <w:rsid w:val="00DC4720"/>
    <w:pPr>
      <w:numPr>
        <w:ilvl w:val="4"/>
      </w:numPr>
    </w:pPr>
  </w:style>
  <w:style w:type="paragraph" w:customStyle="1" w:styleId="Title0">
    <w:name w:val="* Title"/>
    <w:basedOn w:val="Normal"/>
    <w:next w:val="Normal"/>
    <w:link w:val="TitleChar0"/>
    <w:qFormat/>
    <w:rsid w:val="00DC4720"/>
    <w:pPr>
      <w:overflowPunct w:val="0"/>
      <w:autoSpaceDE w:val="0"/>
      <w:autoSpaceDN w:val="0"/>
      <w:adjustRightInd w:val="0"/>
      <w:spacing w:after="140" w:line="290" w:lineRule="auto"/>
      <w:jc w:val="center"/>
      <w:textAlignment w:val="baseline"/>
    </w:pPr>
    <w:rPr>
      <w:rFonts w:ascii="Trebuchet MS" w:eastAsiaTheme="minorEastAsia" w:hAnsi="Trebuchet MS" w:cs="Arial"/>
      <w:b/>
      <w:kern w:val="20"/>
    </w:rPr>
  </w:style>
  <w:style w:type="character" w:customStyle="1" w:styleId="TitleChar0">
    <w:name w:val="* Title Char"/>
    <w:basedOn w:val="DefaultParagraphFont"/>
    <w:link w:val="Title0"/>
    <w:rsid w:val="00DC4720"/>
    <w:rPr>
      <w:rFonts w:ascii="Trebuchet MS" w:hAnsi="Trebuchet MS" w:cs="Arial"/>
      <w:b/>
      <w:kern w:val="20"/>
      <w:lang w:eastAsia="en-US"/>
    </w:rPr>
  </w:style>
  <w:style w:type="paragraph" w:customStyle="1" w:styleId="1BracketedNumber">
    <w:name w:val="*(1) Bracketed Number"/>
    <w:basedOn w:val="Normal"/>
    <w:rsid w:val="00DC4720"/>
    <w:pPr>
      <w:numPr>
        <w:numId w:val="11"/>
      </w:numPr>
      <w:overflowPunct w:val="0"/>
      <w:autoSpaceDE w:val="0"/>
      <w:autoSpaceDN w:val="0"/>
      <w:adjustRightInd w:val="0"/>
      <w:spacing w:before="140" w:after="140" w:line="290" w:lineRule="auto"/>
      <w:jc w:val="both"/>
      <w:textAlignment w:val="baseline"/>
    </w:pPr>
    <w:rPr>
      <w:rFonts w:ascii="Arial" w:eastAsiaTheme="minorEastAsia" w:hAnsi="Arial" w:cs="Arial"/>
      <w:kern w:val="20"/>
      <w:sz w:val="20"/>
      <w:szCs w:val="20"/>
      <w:lang w:eastAsia="en-GB"/>
    </w:rPr>
  </w:style>
  <w:style w:type="paragraph" w:customStyle="1" w:styleId="ABracketedLetter">
    <w:name w:val="*(A) Bracketed Letter"/>
    <w:basedOn w:val="1BracketedNumber"/>
    <w:rsid w:val="00DC4720"/>
    <w:pPr>
      <w:numPr>
        <w:numId w:val="12"/>
      </w:numPr>
    </w:pPr>
  </w:style>
  <w:style w:type="paragraph" w:customStyle="1" w:styleId="AttendMemoBody">
    <w:name w:val="*Attend/Memo Body"/>
    <w:basedOn w:val="Normal"/>
    <w:qFormat/>
    <w:rsid w:val="00DC4720"/>
    <w:pPr>
      <w:spacing w:after="140" w:line="290" w:lineRule="auto"/>
      <w:jc w:val="both"/>
    </w:pPr>
    <w:rPr>
      <w:rFonts w:ascii="Arial" w:eastAsia="Times New Roman" w:hAnsi="Arial" w:cs="Times New Roman"/>
      <w:sz w:val="20"/>
      <w:szCs w:val="20"/>
      <w:lang w:eastAsia="en-GB"/>
    </w:rPr>
  </w:style>
  <w:style w:type="paragraph" w:customStyle="1" w:styleId="BulletedList">
    <w:name w:val="*Bulleted List"/>
    <w:qFormat/>
    <w:rsid w:val="00DC4720"/>
    <w:pPr>
      <w:numPr>
        <w:numId w:val="13"/>
      </w:numPr>
      <w:spacing w:line="240" w:lineRule="auto"/>
      <w:jc w:val="both"/>
    </w:pPr>
    <w:rPr>
      <w:rFonts w:ascii="Arial" w:hAnsi="Arial" w:cs="Arial"/>
      <w:kern w:val="20"/>
      <w:sz w:val="20"/>
      <w:szCs w:val="20"/>
      <w:lang w:eastAsia="en-US"/>
    </w:rPr>
  </w:style>
  <w:style w:type="paragraph" w:customStyle="1" w:styleId="CommercialScheduleTitle">
    <w:name w:val="*Commercial .Schedule Title"/>
    <w:basedOn w:val="Title"/>
    <w:next w:val="ScheduleSubtitle"/>
    <w:link w:val="CommercialScheduleTitleChar"/>
    <w:qFormat/>
    <w:rsid w:val="00DC4720"/>
    <w:pPr>
      <w:pageBreakBefore/>
      <w:numPr>
        <w:numId w:val="9"/>
      </w:numPr>
      <w:spacing w:before="140"/>
    </w:pPr>
    <w:rPr>
      <w:rFonts w:eastAsia="Times New Roman"/>
      <w:sz w:val="22"/>
    </w:rPr>
  </w:style>
  <w:style w:type="character" w:customStyle="1" w:styleId="CommercialScheduleTitleChar">
    <w:name w:val="*Commercial .Schedule Title Char"/>
    <w:link w:val="CommercialScheduleTitle"/>
    <w:rsid w:val="00DC4720"/>
    <w:rPr>
      <w:rFonts w:ascii="Arial" w:eastAsia="Times New Roman" w:hAnsi="Arial" w:cs="Arial"/>
      <w:b/>
      <w:kern w:val="20"/>
      <w:szCs w:val="20"/>
    </w:rPr>
  </w:style>
  <w:style w:type="paragraph" w:customStyle="1" w:styleId="CommercialPartTitle">
    <w:name w:val="*Commercial Part Title"/>
    <w:basedOn w:val="PartTitle"/>
    <w:next w:val="PartSubtitle"/>
    <w:qFormat/>
    <w:rsid w:val="00DC4720"/>
    <w:pPr>
      <w:numPr>
        <w:ilvl w:val="2"/>
        <w:numId w:val="9"/>
      </w:numPr>
    </w:pPr>
  </w:style>
  <w:style w:type="paragraph" w:styleId="Header">
    <w:name w:val="header"/>
    <w:basedOn w:val="Normal"/>
    <w:link w:val="HeaderChar"/>
    <w:uiPriority w:val="99"/>
    <w:unhideWhenUsed/>
    <w:rsid w:val="001070AA"/>
    <w:pPr>
      <w:tabs>
        <w:tab w:val="center" w:pos="4513"/>
        <w:tab w:val="right" w:pos="9026"/>
      </w:tabs>
    </w:pPr>
  </w:style>
  <w:style w:type="character" w:customStyle="1" w:styleId="HeaderChar">
    <w:name w:val="Header Char"/>
    <w:basedOn w:val="DefaultParagraphFont"/>
    <w:link w:val="Header"/>
    <w:uiPriority w:val="99"/>
    <w:rsid w:val="001070AA"/>
    <w:rPr>
      <w:rFonts w:eastAsiaTheme="minorHAnsi"/>
      <w:lang w:eastAsia="en-US"/>
    </w:rPr>
  </w:style>
  <w:style w:type="paragraph" w:styleId="Footer">
    <w:name w:val="footer"/>
    <w:basedOn w:val="Normal"/>
    <w:link w:val="FooterChar"/>
    <w:uiPriority w:val="99"/>
    <w:unhideWhenUsed/>
    <w:rsid w:val="001070AA"/>
    <w:pPr>
      <w:tabs>
        <w:tab w:val="center" w:pos="4513"/>
        <w:tab w:val="right" w:pos="9026"/>
      </w:tabs>
    </w:pPr>
  </w:style>
  <w:style w:type="character" w:customStyle="1" w:styleId="FooterChar">
    <w:name w:val="Footer Char"/>
    <w:basedOn w:val="DefaultParagraphFont"/>
    <w:link w:val="Footer"/>
    <w:uiPriority w:val="99"/>
    <w:rsid w:val="001070AA"/>
    <w:rPr>
      <w:rFonts w:eastAsiaTheme="minorHAnsi"/>
      <w:lang w:eastAsia="en-US"/>
    </w:rPr>
  </w:style>
  <w:style w:type="character" w:styleId="CommentReference">
    <w:name w:val="annotation reference"/>
    <w:basedOn w:val="DefaultParagraphFont"/>
    <w:uiPriority w:val="99"/>
    <w:semiHidden/>
    <w:unhideWhenUsed/>
    <w:rsid w:val="00E45AFF"/>
    <w:rPr>
      <w:sz w:val="16"/>
      <w:szCs w:val="16"/>
    </w:rPr>
  </w:style>
  <w:style w:type="paragraph" w:styleId="CommentText">
    <w:name w:val="annotation text"/>
    <w:basedOn w:val="Normal"/>
    <w:link w:val="CommentTextChar"/>
    <w:uiPriority w:val="99"/>
    <w:semiHidden/>
    <w:unhideWhenUsed/>
    <w:rsid w:val="00E45AFF"/>
    <w:rPr>
      <w:sz w:val="20"/>
      <w:szCs w:val="20"/>
    </w:rPr>
  </w:style>
  <w:style w:type="character" w:customStyle="1" w:styleId="CommentTextChar">
    <w:name w:val="Comment Text Char"/>
    <w:basedOn w:val="DefaultParagraphFont"/>
    <w:link w:val="CommentText"/>
    <w:uiPriority w:val="99"/>
    <w:semiHidden/>
    <w:rsid w:val="00E45AFF"/>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E45AFF"/>
    <w:rPr>
      <w:b/>
      <w:bCs/>
    </w:rPr>
  </w:style>
  <w:style w:type="character" w:customStyle="1" w:styleId="CommentSubjectChar">
    <w:name w:val="Comment Subject Char"/>
    <w:basedOn w:val="CommentTextChar"/>
    <w:link w:val="CommentSubject"/>
    <w:uiPriority w:val="99"/>
    <w:semiHidden/>
    <w:rsid w:val="00E45AFF"/>
    <w:rPr>
      <w:rFonts w:eastAsiaTheme="minorHAnsi"/>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document xmlns:xsd="http://www.w3.org/2001/XMLSchema" xmlns:xsi="http://www.w3.org/2001/XMLSchema-instance" guid="0" synced="true" validated="true">
  <n-docbody>
    <standard.doc precedenttype="agreement">
      <prelim>
        <product.name>product.name0</product.name>
        <title>Articles of association (Model Articles): non-leveraged investments</title>
        <author>Practical Law Corporate</author>
        <resource.type>Standard documents</resource.type>
        <juris>juris0</juris>
        <juris>juris1</juris>
      </prelim>
      <abstract>
        <para>
          <paratext>A sample set of articles of association to be used for companies incorporated on or after 1 October 2009 which are backed by a non-leveraged venture capital equity investment.</paratext>
        </para>
        <para>
          <paratext>These articles are originally based on the BVCA model articles of association for early stage investments.</paratext>
        </para>
      </abstract>
      <toc.identifier hasToc="true"/>
      <body>
        <cover.sheet>
          <head align="left" preservecase="true">
            <headtext>THE COMPANIES ACT 2006</headtext>
          </head>
          <subject.intro>PRIVATE COMPANY LIMITED BY SHARES</subject.intro>
          <subject.text>ARTICLES OF ASSOCIATION</subject.text>
        </cover.sheet>
        <preamble>
          <para>
            <paratext>
              <table frame="none" pgwide="1">
                <tgroup cols="1">
                  <colspec colname="1" colnum="1" colwidth="100"/>
                  <tbody>
                    <row>
                      <entry valign="top">
                        <para align="center">
                          <paratext>
                            <bold>Company number [NUMBER]</bold>
                          </paratext>
                        </para>
                      </entry>
                    </row>
                    <row>
                      <entry valign="top">
                        <para align="center">
                          <paratext>
                            <bold>THE COMPANIES ACT 2006</bold>
                          </paratext>
                        </para>
                      </entry>
                    </row>
                    <row>
                      <entry valign="top">
                        <para align="center">
                          <paratext>
                            <bold>PRIVATE COMPANY LIMITED BY SHARES</bold>
                          </paratext>
                        </para>
                      </entry>
                    </row>
                    <row>
                      <entry valign="top">
                        <para align="center">
                          <paratext>
                            <bold>ARTICLES OF ASSOCIATION</bold>
                          </paratext>
                        </para>
                      </entry>
                    </row>
                    <row>
                      <entry valign="top">
                        <para align="center">
                          <paratext>
                            <bold>OF</bold>
                          </paratext>
                        </para>
                      </entry>
                    </row>
                    <row>
                      <entry valign="top">
                        <para align="center">
                          <paratext>
                            <bold>[FULL NAME OF COMPANY] LIMITED</bold>
                          </paratext>
                        </para>
                      </entry>
                    </row>
                    <row>
                      <entry valign="top">
                        <para align="center">
                          <paratext>
                            <bold>(Adopted by special resolution passed on [DATE])</bold>
                          </paratext>
                        </para>
                      </entry>
                    </row>
                  </tbody>
                </tgroup>
              </table>
            </paratext>
          </para>
        </preamble>
        <operative xrefname="article">
          <drafting.note id="a661159" jurisdiction="">
            <head align="left" preservecase="true">
              <headtext>Drafting assumptions</headtext>
            </head>
            <division id="a000003" level="1">
              <para>
                <paratext>
                  The 
                  <link href="4-385-1463" style="ACTLinkPLCtoPLC">
                    <bold>
                      <ital>Model Articles</ital>
                    </bold>
                  </link>
                   are the default set of articles of association (articles) applicable to UK companies. The model articles are automatically incorporated into a company's constitution, to the extent not excluded or modified (
                  <link href="6-505-5089" style="ACTLinkPLCtoPLC">
                    <ital>section 20</ital>
                  </link>
                  <ital>, Companies Act 2006 (CA 2006)</ital>
                  ). For a commentary on the provisions of the model articles as they relate to private companies limited by shares (Model Articles), see 
                  <link href="8-384-4772" style="ACTLinkPLCtoPLC">
                    <ital>Practice note, Model articles: private companies limited by shares: Companies Act 2006</ital>
                  </link>
                  .
                </paratext>
              </para>
              <para>
                <paratext>
                  A company which does not wish to adopt the model articles prescribed for the particular type of company without amendment must file a set of articles at Companies House (
                  <link href="3-505-5321" style="ACTLinkPLCtoPLC">
                    <ital>section 9(5)</ital>
                  </link>
                  <ital>, CA 2006</ital>
                  ). This standard document, which constitutes a set of articles for a non-leveraged venture capital backed private company, incorporates the 
                  <link href="6-505-5094" style="ACTLinkPLCtoPLC">
                    <ital>Model Articles</ital>
                  </link>
                   by reference and sets out only those articles which modify the Model Articles, rather than filing a long form set of articles reproducing the Model Articles in full. For a discussion of the validity of the incorporation of Model Articles by reference only, as well as other issues concerning articles under the 
                  <link href="3-503-8567" style="ACTLinkPLCtoPLC">
                    <ital>CA 2006</ital>
                  </link>
                  , see 
                  <link href="3-385-9469" style="ACTLinkPLCtoPLC">
                    <ital>Practice note, Ask the Team: Articles and memorandum of association: 1 October 2009</ital>
                  </link>
                  .
                </paratext>
              </para>
              <para>
                <paratext>The standard document (which must be tailored to each company's particular requirements) makes the following assumptions:</paratext>
              </para>
              <list type="bulleted">
                <list.item>
                  <para>
                    <paratext>
                      The company is incorporated on or after 1 October 2009 under the 
                      <link href="3-503-8567" style="ACTLinkPLCtoPLC">
                        <ital>CA 2006</ital>
                      </link>
                      .
                    </paratext>
                  </para>
                </list.item>
                <list.item>
                  <para>
                    <paratext>
                      The company has unrestricted objects (
                      <link href="9-505-5120" style="ACTLinkPLCtoPLC">
                        <ital>section 31</ital>
                      </link>
                      <ital>, CA 2006</ital>
                      ).
                    </paratext>
                  </para>
                </list.item>
                <list.item>
                  <para>
                    <paratext>
                      All of the company's shares (other than those taken on incorporation) are issued fully paid (
                      <link href="6-505-5094" style="ACTLinkPLCtoPLC">
                        <ital>model article 21(1)</ital>
                      </link>
                      ).
                    </paratext>
                  </para>
                </list.item>
                <list.item>
                  <para>
                    <paratext>
                      The company's share capital only comprises equity shares (preferred shares to be held by the investors; ordinary shares to be held by all other shareholders). For a consideration of the potential effect of funding part of an investment through non-equity shares on investment, see 
                      <link href="6-384-9563" style="ACTLinkPLCtoPLC">
                        <ital>Practice note, Internal rate of return (IRR): an introduction</ital>
                      </link>
                      .
                    </paratext>
                  </para>
                </list.item>
                <list.item>
                  <para>
                    <paratext>The company is the holding company of a group of subsidiary companies.</paratext>
                  </para>
                </list.item>
                <list.item>
                  <para>
                    <paratext>
                      The company's shareholders do not have the right under 
                      <link href="4-505-5127" style="ACTLinkPLCtoPLC">
                        <ital>section 145</ital>
                      </link>
                       of the CA 2006 to nominate another person to enjoy some or all of that shareholder's rights. If such provision is required, see 
                      <link href="2-385-7036" style="ACTLinkPLCtoPLC">
                        <ital>Standard clause, Articles of association: Exercise of shareholder's rights by nominee (section 145, Companies Act 2006): 1 October 2007</ital>
                      </link>
                      .
                    </paratext>
                  </para>
                </list.item>
                <list.item>
                  <para>
                    <paratext>
                      The directors do not have the right to appoint 
                      <link href="2-107-6390" style="ACTLinkPLCtoPLC">
                        <bold>
                          <ital>alternate directors</ital>
                        </bold>
                      </link>
                       (the directors may take decisions in an almost unlimited manner under the standard document). If such provision is required, articles 11 to 13 (inclusive) of 
                      <link href="8-385-5275#a140186" style="ACTLinkPLCtoPLC">
                        <ital>Standard document, Articles of association: private company with several shareholders</ital>
                      </link>
                       may be adapted for the purpose.
                    </paratext>
                  </para>
                </list.item>
                <list.item>
                  <para>
                    <paratext>
                      Shareholders cannot cast votes at general meetings in advance (
                      <ital>section 322A, CA 2006</ital>
                      ).
                    </paratext>
                  </para>
                </list.item>
              </list>
              <para>
                <paratext>
                  The standard document does not unnecessarily duplicate matters dealt with in the CA 2006 and so practitioners should advise companies on those matters of law. For a checklist of those matters in the CA 2006 which may be excluded or modified by articles, or which will not apply unless expressly incorporated into a set of articles, see 
                  <link href="7-385-0867" style="ACTLinkPLCtoPLC">
                    <ital>Checklist, Provisions of the Companies Act 2006 that can be included, excluded or modified by articles of association of companies incorporated on or after 1 October 2009</ital>
                  </link>
                  .
                </paratext>
              </para>
              <para>
                <paratext>
                  For more on the requirements of the 
                  <link href="3-503-8567" style="ACTLinkPLCtoPLC">
                    <ital>CA 2006</ital>
                  </link>
                   in relation to articles of association, see 
                  <link href="6-386-8924" style="ACTLinkPLCtoPLC">
                    <ital>Practice note, Articles of association: content</ital>
                  </link>
                  .
                </paratext>
              </para>
            </division>
          </drafting.note>
          <head align="left" preservecase="true">
            <headtext>INTRODUCTION</headtext>
          </head>
          <clause id="a831611">
            <identifier>1.</identifier>
            <head align="left" preservecase="true">
              <headtext>Interpretation</headtext>
            </head>
            <subclause1 id="a308401">
              <identifier>1.1</identifier>
              <para>
                <paratext>The following definitions and rules of interpretation apply in these Articles:</paratext>
              </para>
              <defn.item id="a323931">
                <defn.term>Act</defn.term>
                <defn>
                  <para>
                    <paratext>the Companies Act 2006.</paratext>
                  </para>
                </defn>
              </defn.item>
              <defn.item id="a578251">
                <defn.term>acting in concert</defn.term>
                <defn>
                  <para>
                    <paratext>has the meaning given to it in the City Code on Takeovers and Mergers published by the Panel on Takeovers and Mergers (as amended).</paratext>
                  </para>
                </defn>
              </defn.item>
              <defn.item id="a418233">
                <defn.term>Adoption Date</defn.term>
                <defn>
                  <para>
                    <paratext>the date of adoption of these Articles.</paratext>
                  </para>
                </defn>
              </defn.item>
              <defn.item id="a258945">
                <defn.term>Articles</defn.term>
                <defn>
                  <para>
                    <paratext>the Company's articles of association for the time being in force.</paratext>
                  </para>
                </defn>
              </defn.item>
              <defn.item id="a598572">
                <defn.term>Available Profits</defn.term>
                <defn>
                  <para>
                    <paratext>profits available for distribution within the meaning of part 23 of the Act.</paratext>
                  </para>
                </defn>
              </defn.item>
              <defn.item id="a454186">
                <defn.term>Bad Leaver</defn.term>
                <defn>
                  <para>
                    <paratext>an Employee who ceases to be an Employee as a consequence of:</paratext>
                  </para>
                  <list type="loweralpha">
                    <list.item>
                      <para>
                        <paratext>such person's resignation as an Employee [at any time during the Relevant Period], except in circumstances which constitute a constructive, wrongful and/or unfair dismissal save in the case that unfair dismissal is as a result of a procedural defect; or</paratext>
                      </para>
                    </list.item>
                    <list.item>
                      <para>
                        <paratext>that person's dismissal as an Employee for cause, where "cause" shall mean: (i) the lawful termination of that person's contract of employment or consultancy without notice or payment in lieu of notice as a consequence of that person's misconduct [or as otherwise permitted pursuant to the terms of that person's contract of employment or consultancy]; and/or (ii) that person's fair dismissal pursuant to section 98(2) (a) (capability) or 98(2) (b) (conduct) of the Employment Rights Act 1996.</paratext>
                      </para>
                    </list.item>
                  </list>
                </defn>
                <drafting.note id="a817158" jurisdiction="">
                  <head align="left" preservecase="true">
                    <headtext>Definition: Bad Leavers</headtext>
                  </head>
                  <division id="a000004" level="1">
                    <para>
                      <paratext>
                        The definition of a 'Bad Leaver' (as well as the definitions of 'Good Leaver' and 'Early Leaver') are relevant to determine the price at which a Departing Employee's Shares are to be offered for sale under the compulsory transfer provisions of 
                        <internal.reference refid="a627423">article 21.5</internal.reference>
                        .
                      </paratext>
                    </para>
                    <para>
                      <paratext>
                        While a person will only be an Early Leaver if they become a Departing Employee within a certain period of the Adoption Date (see 
                        <internal.reference refid="a972425">Drafting note, Definition: Early Leavers</internal.reference>
                        ), whether a person is a Good Leaver or a Bad Leaver will depend on the circumstances in which they leave the Group. To avoid the risk of a leaver falling outside the prescribed circumstances of those two definitions, it is common only to define the specific reasons for departure within one of those terms, with the other term covering 'any other reason'. This ensures that no unforeseen circumstance would not be covered by one or other of the definitions.
                      </paratext>
                    </para>
                    <para>
                      <paratext>
                        In these Articles, the definition of 'Bad Leaver' sets out the limited circumstances in which a person will be deemed a Bad Leaver. All other leavers will either be Early Leavers or Good Leavers. This formulation is considered more reasonable than a mechanism that narrowly defines a Good Leaver, with all other leavers being Bad Leavers. For sample wording that takes the opposing position, see 
                        <link href="6-569-4525" style="ACTLinkPLCtoPLC">
                          <ital>Standard document, Shareholders' agreement: share transfers</ital>
                        </link>
                        .
                      </paratext>
                    </para>
                    <para>
                      <paratext>
                        In drafting any vesting and/or compulsory transfer clause, or Bad Leaver definition, it will be necessary to consider whether the mechanism might constitute an unlawful penalty and be void as a result (see 
                        <internal.reference refid="a810059">Drafting note, Can a bad leaver clause constitute a penalty or unfair prejudice?</internal.reference>
                        ).
                      </paratext>
                    </para>
                    <para>
                      <paratext>Include the optional wording relating to the Relevant Period if the Bad Leaver provisions are only intended to operate for a limited period. In practice, this would be unusual; generally the Bad Leaver provisions continue to apply without any time limitation to any Departing Employee who falls within the definition of a Bad Leaver. The optional wording is unlikely to be necessary if the articles make provision (as this standard document does) for Early Leavers.</paratext>
                    </para>
                  </division>
                </drafting.note>
              </defn.item>
              <defn.item id="a699435">
                <defn.term>Business Day</defn.term>
                <defn>
                  <para>
                    <paratext>a day other than a Saturday, Sunday or public holiday in England when banks in London are open for business.</paratext>
                  </para>
                </defn>
              </defn.item>
              <defn.item id="a185810">
                <defn.term>Chair</defn.term>
                <defn>
                  <para>
                    <paratext>
                      has the meaning given to it in 
                      <internal.reference refid="a798536">article 6.6</internal.reference>
                      ;
                    </paratext>
                  </para>
                </defn>
              </defn.item>
              <defn.item id="a401072">
                <defn.term>Company</defn.term>
                <defn>
                  <para>
                    <paratext>means [NAME OF COMPANY] Limited (Company number [NUMBER]).</paratext>
                  </para>
                </defn>
              </defn.item>
              <defn.item id="a291867">
                <defn.term>Company's Lien</defn.term>
                <defn>
                  <para>
                    <paratext>
                      has the meaning given to it in 
                      <internal.reference refid="a342989">article 27.1</internal.reference>
                      .
                    </paratext>
                  </para>
                </defn>
              </defn.item>
              <defn.item id="a333182">
                <defn.term>connected</defn.term>
                <defn>
                  <para>
                    <paratext>has the meaning given in section 252 of the Act.</paratext>
                  </para>
                </defn>
                <drafting.note id="a427305" jurisdiction="">
                  <head align="left" preservecase="true">
                    <headtext>Definition: Connected persons</headtext>
                  </head>
                  <division id="a000005" level="1">
                    <para>
                      <paratext>
                        Consider who should be deemed to be a connected person for the purposes of any particular provision of the Articles. The default position in the standard document is that such term shall be construed according to the provisions of 
                        <link href="9-505-7930" style="ACTLinkPLCtoPLC">
                          <ital>section 252</ital>
                        </link>
                         of the CA 2006, which sets out those persons considered to be connected to a director. The term is used in 
                        <internal.reference refid="a148780">article 7(f)</internal.reference>
                         and the definition of 'Transfer Price' in 
                        <internal.reference refid="a635429">article 20.1</internal.reference>
                        .
                      </paratext>
                    </para>
                    <para>
                      <paratext>
                        Although not required in this standard document, if there is need to define those persons deemed to be connected to any person other than a director, consider making reference to 
                        <link href="8-505-9289" style="ACTLinkPLCtoPLC">
                          <ital>section 1122</ital>
                        </link>
                         of the 
                        <link href="7-505-5456" style="ACTLinkPLCtoPLC">
                          <ital>Corporation Tax Act 2010</ital>
                        </link>
                        .
                      </paratext>
                    </para>
                  </division>
                </drafting.note>
              </defn.item>
              <defn.item id="a563655">
                <defn.term>Controlling Interest</defn.term>
                <defn>
                  <para>
                    <paratext>an interest in Shares conferring on the holder or holders control of the Company within the meaning of section 1124 of the Corporation Tax Act 2010.</paratext>
                  </para>
                </defn>
              </defn.item>
              <defn.item id="a711935">
                <defn.term>Credit Institution</defn.term>
                <defn>
                  <para>
                    <paratext>any Financial Conduct Authority registered credit institution (or a credit institution registered with the equivalent body or authority in the country of the relevant credit institution's principal place of business).</paratext>
                  </para>
                </defn>
              </defn.item>
              <defn.item id="a836081">
                <defn.term>Deemed Transfer Notice</defn.term>
                <defn>
                  <para>
                    <paratext>a Transfer Notice which is deemed to have been served by any of the provisions of these Articles.</paratext>
                  </para>
                </defn>
              </defn.item>
              <defn.item id="a810902">
                <defn.term>Departing Employee</defn.term>
                <defn>
                  <para>
                    <paratext>an Employee who ceases to be a director or employee of [, or consultant to,] any Group Company and who does not continue as, or become, a director or employee of [, or consultant to,] any Group Company.</paratext>
                  </para>
                </defn>
                <drafting.note id="a687680" jurisdiction="">
                  <head align="left" preservecase="true">
                    <headtext>Definition: Departing Employee</headtext>
                  </head>
                  <division id="a000006" level="1">
                    <para>
                      <paratext>
                        It is not enough, to trigger the compulsory transfer provisions on cessation of employment or office (
                        <internal.reference refid="a368481">article 21.4</internal.reference>
                        ) that an Employee ceases to be a director or employee of the group company by which is was previously appointed or employed. It is quite possible for an employee to leave one group company to be employed by another. It may also be the case that an individual is director of more than one group company and is not leaving all such offices. In that case, the compulsory transfer provisions should not apply, the shareholder remains employed by the Group. As such, the words "and does not continue as, or become" are included to cover such scenarios. The compulsory transfer provisions of these Articles on the cessation of employment or office should trigger only when a director or employee leaves the Group.
                      </paratext>
                    </para>
                  </division>
                </drafting.note>
              </defn.item>
              <defn.item id="a451990">
                <defn.term>Directors</defn.term>
                <defn>
                  <para>
                    <paratext>the directors of the Company from time to time.</paratext>
                  </para>
                </defn>
              </defn.item>
              <defn.item id="a352933">
                <defn.term>Disposal</defn.term>
                <defn>
                  <para>
                    <paratext>the disposal by the Company of all, or a substantial part of, its business and assets.</paratext>
                  </para>
                </defn>
              </defn.item>
              <defn.item id="a115270">
                <defn.term>Early Leaver</defn.term>
                <defn>
                  <para>
                    <paratext>an Employee who becomes a Departing Employee for any reason within [NUMBER] months of (but excluding) the Adoption Date.</paratext>
                  </para>
                </defn>
                <drafting.note id="a972425" jurisdiction="">
                  <head align="left" preservecase="true">
                    <headtext>Definition: Early Leavers</headtext>
                  </head>
                  <division id="a000007" level="1">
                    <para>
                      <paratext>
                        For general background on the 'Good Leaver', 'Bad Leaver' and 'Early Leaver' definitions, see 
                        <internal.reference refid="a817158">Drafting note, Definition: Bad Leavers</internal.reference>
                        .
                      </paratext>
                    </para>
                    <para>
                      <paratext>In these Articles, any Employee who becomes a Departing Employee within a specified period after the Adoption Date will be an Early Leaver, regardless of the circumstances in which that person leaves the Group. An investor seeking to include this concept in the Articles may argue that to leave within that period would effectively break the commitment to the business given at the time of investment. Such commitment may have formed a material part of the investor's decision to invest and so the investor considers that such a person should not be allowed to benefit from any increase in the value of their shares as a result.</paratext>
                    </para>
                    <para>
                      <paratext>An alternative to the Early Leaver concept is to vest value in the Ordinary Shares held by Employee Shareholders over time.</paratext>
                    </para>
                  </division>
                </drafting.note>
              </defn.item>
              <defn.item id="a517407">
                <defn.term>Eligible Director</defn.term>
                <defn>
                  <para>
                    <paratext>means a Director who would be entitled to vote on the matter at a meeting of Directors (but excluding any Director whose vote is not to be counted in respect of the particular matter).</paratext>
                  </para>
                </defn>
                <drafting.note id="a225541" jurisdiction="">
                  <head align="left" preservecase="true">
                    <headtext>Definition: Eligible Directors</headtext>
                  </head>
                  <division id="a000008" level="1">
                    <para>
                      <paratext>
                        The words in brackets at the end of the definition of 'Eligible Director' amend the equivalent definition in 
                        <link href="6-505-5094" style="ACTLinkPLCtoPLC">
                          <ital>model article 8(3)</ital>
                        </link>
                         (excluded by 
                        <internal.reference refid="a852328">article 2.2</internal.reference>
                         of this standard document).
                      </paratext>
                    </para>
                    <para>
                      <paratext>The amended definition is intended to remove the risk of any challenge to the validity of a unanimous decision not passed by conflicted directors, ensuring that only non-conflicted directors are required to pass an effective unanimous resolution.</paratext>
                    </para>
                    <para>
                      <paratext>
                        This risk arises because 
                        <link href="0-505-5167" style="ACTLinkPLCtoPLC">
                          <ital>section 175(6)</ital>
                        </link>
                         of the CA 2006 provides that a resolution to authorise a director's situational conflict will be ineffective unless the meeting is quorate without counting the conflicted director and the authorising resolution would be passed without the conflicted director voting, or without their vote being counted.
                      </paratext>
                    </para>
                    <para>
                      <paratext>
                        It is arguable that this means the conflicted director is entitled to form part of the quorum at the relevant meeting and to vote on the resolution to authorise the conflict, but that their inclusion within the quorum and their vote must not be counted. In that case, a conflicted director would not be excluded from the definition of an 'eligible director' within its meaning in 
                        <link href="6-505-5094" style="ACTLinkPLCtoPLC">
                          <ital>model article 8(3)</ital>
                        </link>
                         (as the conflicted director is, technically, entitled to vote). That being the case, such a conflicted, but eligible, director would be required to participate in a unanimous decision under 
                        <internal.reference refid="a167806">article 4.2</internal.reference>
                         of this document (
                        <ital>model article 8</ital>
                        ).
                      </paratext>
                    </para>
                  </division>
                </drafting.note>
              </defn.item>
              <defn.item id="a767500">
                <defn.term>Employee</defn.term>
                <defn>
                  <para>
                    <paratext>an individual who is, or has been, a director and/or an employee of, or who does provide or has provided consultancy services to, any Group Company.</paratext>
                  </para>
                </defn>
                <drafting.note id="a124183" jurisdiction="">
                  <head align="left" preservecase="true">
                    <headtext>Definition: Employee</headtext>
                  </head>
                  <division id="a000009" level="1">
                    <para>
                      <paratext>Although this definition uses the word 'Employee', it will also extend to non-executive directors who are not employed by the Group. Consider whether the management structure requires the definition to include persons carrying out any other role, such as consultants. Care should also be taken where any individual provides services to the company (whether as a non-executive director, consultant or otherwise) through a management or service company. In that case, the definition should extend to cover the individual concerned, as well as (or in place of) the management or service company which is the director or consultant.</paratext>
                    </para>
                  </division>
                </drafting.note>
              </defn.item>
              <defn.item id="a378573">
                <defn.term>Employee Trust</defn.term>
                <defn>
                  <para>
                    <paratext>a trust, the terms of which are approved by an Investor Majority, whose beneficiaries are the bona fide employees of the Group.</paratext>
                  </para>
                </defn>
              </defn.item>
              <defn.item id="a672918">
                <defn.term>Equity Shares</defn.term>
                <defn>
                  <para>
                    <paratext>the Preferred Shares and the Ordinary Shares.</paratext>
                  </para>
                </defn>
                <drafting.note id="a333765" jurisdiction="">
                  <head align="left" preservecase="true">
                    <headtext>Definition: Equity Shares</headtext>
                  </head>
                  <division id="a000010" level="1">
                    <para>
                      <paratext>The definition of 'Equity Shares' in this standard document is not strictly required, as the Articles do not anticipate any class of Shares other than the Preferred Shares and the Ordinary Shares. It is included to provide certainty for the directors.</paratext>
                    </para>
                    <para>
                      <paratext>
                        If any mechanism for the conversion of any Shares into Deferred Shares is included, or other means by which a new class of Shares may be created, this definition will take on more importance (to separate those Shares which are truly within the company's 'equity share capital' within the meaning of 
                        <link href="2-505-9329" style="ACTLinkPLCtoPLC">
                          <ital>section 548</ital>
                        </link>
                         of the CA 2006 from those which are not, such as preference shares).
                      </paratext>
                    </para>
                  </division>
                </drafting.note>
              </defn.item>
              <defn.item id="a980175">
                <defn.term>Exit</defn.term>
                <defn>
                  <para>
                    <paratext>a Share Sale, a Disposal or a Listing.</paratext>
                  </para>
                </defn>
              </defn.item>
              <defn.item id="a274761">
                <defn.term>Fair Value</defn.term>
                <defn>
                  <para>
                    <paratext>
                      has the meaning given in 
                      <internal.reference refid="a472853">article 20.4</internal.reference>
                      .
                    </paratext>
                  </para>
                </defn>
              </defn.item>
              <defn.item id="a115216">
                <defn.term>Family Trust</defn.term>
                <defn>
                  <para>
                    <paratext>as regards any particular Shareholder who is an individual (or deceased or former Shareholder who is an individual) any trust (whether arising under a settlement, declaration of trust or other instrument by whomsoever or wheresoever made, or under a testamentary disposition or on an intestacy) under which no immediate beneficial interest in any of the Shares in question is for the time being vested in any person other than the particular Shareholder and/or any of the Privileged Relations of that Shareholder (and so that for this purpose a person shall be considered to be beneficially interested in a Share if such Share or the income thereof is liable to be transferred or paid or applied or appointed to or for the benefit of any such person or any voting or other rights attaching thereto are exercisable by or as directed by any such person pursuant to the terms of the relevant trusts or in consequence of an exercise of a power or discretion conferred thereby on any person or persons).</paratext>
                  </para>
                </defn>
              </defn.item>
              <defn.item id="a292686">
                <defn.term>Financial Year</defn.term>
                <defn>
                  <para>
                    <paratext>an accounting reference period (as defined in section 391 of the Act) of the Company.</paratext>
                  </para>
                </defn>
              </defn.item>
              <defn.item id="a179466">
                <defn.term>First Offer Shareholders</defn.term>
                <defn>
                  <para>
                    <paratext>in respect of:</paratext>
                  </para>
                  <list type="loweralpha">
                    <list.item>
                      <para>
                        <paratext>an offer of Preferred Shares, the holders of Preferred Shares; and</paratext>
                      </para>
                    </list.item>
                    <list.item>
                      <para>
                        <paratext>an offer of Ordinary Shares, the holders of Ordinary Shares.</paratext>
                      </para>
                    </list.item>
                  </list>
                </defn>
              </defn.item>
              <defn.item id="a260152">
                <defn.term>Fund Manager</defn.term>
                <defn>
                  <para>
                    <paratext>a person whose principal business is to make, manage or advise upon investments in securities.</paratext>
                  </para>
                </defn>
              </defn.item>
              <defn.item id="a252826">
                <defn.term>Good Leaver</defn.term>
                <defn>
                  <para>
                    <paratext>an Employee who ceases to be an Employee and who is not a Bad Leaver or an Early Leaver [and shall include, without limitation, when the Directors (including the Investor Director) determine that a person is not a Bad Leaver.</paratext>
                  </para>
                </defn>
                <drafting.note id="a360944" jurisdiction="">
                  <head align="left" preservecase="true">
                    <headtext>Definition: Good Leavers</headtext>
                  </head>
                  <division id="a000011" level="1">
                    <para>
                      <paratext>
                        For general background on the 'Good Leaver', 'Bad Leaver' and 'Early Leaver' definitions, see 
                        <internal.reference refid="a817158">Drafting note, Definition: Bad Leavers</internal.reference>
                        .
                      </paratext>
                    </para>
                  </division>
                </drafting.note>
              </defn.item>
              <defn.item id="a253728">
                <defn.term>Group</defn.term>
                <defn>
                  <para>
                    <paratext>
                      the Company, any subsidiary or any holding company from time to time of the Company, and any subsidiary from time to time of a holding company of the Company from time to time and 
                      <defn.term>Group Company</defn.term>
                      : shall be construed accordingly.
                    </paratext>
                  </para>
                </defn>
              </defn.item>
              <defn.item id="a609896">
                <defn.term>holding company</defn.term>
                <defn>
                  <para>
                    <paratext>
                      has the meaning given in 
                      <internal.reference refid="a407766">article 1.11</internal.reference>
                      .
                    </paratext>
                  </para>
                </defn>
              </defn.item>
              <defn.item id="a196900">
                <defn.term>Independent Expert</defn.term>
                <defn>
                  <para>
                    <paratext>
                      the auditors for the time being of the Company or, if they decline the instruction, an independent firm of chartered accountants of [international] repute appointed by the Company and the Seller (or, for the purposes of 
                      <internal.reference refid="a75639">article 15.5</internal.reference>
                      , an Investor Majority) in accordance with 
                      <internal.reference refid="a1026593">article 20</internal.reference>
                      .
                    </paratext>
                  </para>
                </defn>
              </defn.item>
              <defn.item id="a223009">
                <defn.term>Institutional Investor</defn.term>
                <defn>
                  <para>
                    <paratext>a fund, partnership, body corporate, trust or other person or entity whose principal business is to make investments or a person whose business is to make, manage or advise upon investments for any of the foregoing.</paratext>
                  </para>
                </defn>
              </defn.item>
              <defn.item id="a579625">
                <defn.term>Investment Agreement</defn.term>
                <defn>
                  <para>
                    <paratext>the investment agreement dated on or around the Adoption Date between, amongst others, the Company and the Investors (as the same may have been varied, supplemented, adhered to or superseded in accordance with its terms [(or these Articles)] for the time being).</paratext>
                  </para>
                </defn>
                <drafting.note id="a228723" jurisdiction="">
                  <head align="left" preservecase="true">
                    <headtext>Definition: Investment Agreement</headtext>
                  </head>
                  <division id="a000012" level="1">
                    <para>
                      <paratext>
                        It is possible that 
                        <link href="9-505-5078" style="ACTLinkPLCtoPLC">
                          <ital>section 29</ital>
                        </link>
                         of the CA 2006 will include an investment agreement as an agreement to which Chapter 3 of Part 3 of the 
                        <link href="3-503-8567" style="ACTLinkPLCtoPLC">
                          <ital>CA 2006</ital>
                        </link>
                         will apply. In that case, a strict interpretation is that the investment agreement is a document which should be filed with Companies House. Given the private nature of the arrangements set out in the investment agreement, this will not be an acceptable conclusion for any investor. As was the debate under the 
                        <link href="2-505-5086" style="ACTLinkPLCtoPLC">
                          <ital>1985 Act</ital>
                        </link>
                        , It is arguable that express reference to the investment agreement in the Articles strengthens the argument that such agreement should be filed and a number of firms and venture capital houses take the view that the Articles should make no reference to the investment agreement.
                      </paratext>
                    </para>
                    <para>
                      <paratext>
                        In these Articles, the term is used (as optional wording) in the definition of 'Relevant Securities' and in 
                        <internal.reference refid="a926657">article 17.5</internal.reference>
                        .
                      </paratext>
                    </para>
                    <para>
                      <paratext>
                        If the definition of 'Investment Agreement' is included, the optional words in square brackets, referring to the Articles, should be included if reference is made to the Investment Agreement in 
                        <internal.reference refid="a926657">article 17.5</internal.reference>
                        .
                      </paratext>
                    </para>
                  </division>
                </drafting.note>
              </defn.item>
              <defn.item id="a838165">
                <defn.term>Investor</defn.term>
                <defn>
                  <para>
                    <paratext>
                      [a holder for the time being of Preferred Shares 
                      <bold>OR</bold>
                       [each of] [NAME OF INVESTOR] [, [NAME OF INVESTOR] and [NAME OF INVESTOR]] and its [or their] Permitted Transferees].
                    </paratext>
                  </para>
                </defn>
                <drafting.note id="a976415" jurisdiction="">
                  <head align="left" preservecase="true">
                    <headtext>Definition: Investor</headtext>
                  </head>
                  <division id="a000013" level="1">
                    <para>
                      <paratext>
                        Consideration should be given to whether there is any likely risk that a non-investor may acquire Preferred Shares. If so, it may not be appropriate to define an investor as any shareholder holding Preferred Shares. Under 
                        <internal.reference refid="a73365">article 19</internal.reference>
                        , any Sale Shares (which are Preferred Shares) not accepted by the preferred shareholders are then offered to the ordinary shareholders. That risk may be minimised by providing that if an ordinary shareholder acquires Preferred Shares, such Preferred Shares will automatically convert into Ordinary Shares (to avoid an ordinary shareholder acquiring rights intended for the investor only).
                      </paratext>
                    </para>
                  </division>
                </drafting.note>
              </defn.item>
              <defn.item id="a508401">
                <defn.term>Investor Consent</defn.term>
                <defn>
                  <para>
                    <paratext>the prior consent in writing of an Investor Majority.</paratext>
                  </para>
                </defn>
                <drafting.note id="a236813" jurisdiction="">
                  <head align="left" preservecase="true">
                    <headtext>Definition: Investor Consent</headtext>
                  </head>
                  <division id="a000014" level="1">
                    <para>
                      <paratext>The definition of 'Investor Consent' assumes that there is more than one Investor holding Preferred Shares. Although this document generally assumes that only one venture capital house has invested in the company, it is quite possible that that house will split its investment across a number of the funds it manages. In that case (and even though it is likely that each such fund will have delegated such consent matters to the same fund manager), it would not be appropriate to simply refer to the consent of the Investor.</paratext>
                    </para>
                  </division>
                </drafting.note>
              </defn.item>
              <defn.item id="a267866">
                <defn.term>Investor Director</defn.term>
                <defn>
                  <para>
                    <paratext>
                      has the meaning given in 
                      <internal.reference refid="a907940">article 6.1</internal.reference>
                      .
                    </paratext>
                  </para>
                </defn>
              </defn.item>
              <defn.item id="a544774">
                <defn.term>Investor Majority</defn.term>
                <defn>
                  <para>
                    <paratext>the holder(s) for the time being of not less than [PERCENTAGE]% by nominal value of all Preferred Shares held by Investors from time to time [(and all Ordinary Shares in issue from time to time resulting from the conversion of Preferred Shares held by Investors under these Articles)].</paratext>
                  </para>
                </defn>
                <drafting.note id="a908282" jurisdiction="">
                  <head align="left" preservecase="true">
                    <headtext>Definition: Investor Majority</headtext>
                  </head>
                  <division id="a000015" level="1">
                    <para>
                      <paratext>
                        The threshold to be set out in the definition of an 'Investor Majority' will usually be a matter to be determined exclusively between the investors, according to the relative holdings of Preferred Shares held by each of them. Note that the definition may be relevant to a consideration of whether the Articles contain any provision for entrenchment (see 
                        <internal.reference refid="a937842">Drafting note, Provision for entrenchment</internal.reference>
                        ).
                      </paratext>
                    </para>
                    <para>
                      <paratext>
                        The definition includes optional wording so that an investor which has converted some or all of its Preferred Shares into Ordinary Shares in accordance with 
                        <internal.reference refid="a103637">article 14</internal.reference>
                        <ital> </ital>
                        can be counted towards an investor majority. Including that wording will mean that the particular investor will retain many of the veto rights attached to the Preferred Shares, despite no longer holding those Shares. Management may consider that the investor should choose to either hold Ordinary Shares or to retain the Preferred Shares' rights (but not both). Note that if those optional words are included, care should be taken where the Preferred Shares and the Ordinary Shares have different nominal values, to ensure that neither class has a disproportionate right to veto investor majority decisions.
                      </paratext>
                    </para>
                  </division>
                </drafting.note>
              </defn.item>
              <defn.item id="a423914">
                <defn.term>Issue Price</defn.term>
                <defn>
                  <para>
                    <paratext>in respect of any Share, the subscription price paid (or agreed to be paid) in respect of that Share, including any share premium.</paratext>
                  </para>
                </defn>
              </defn.item>
              <defn.item id="a976444">
                <defn.term>Lien Enforcement Notice</defn.term>
                <defn>
                  <para>
                    <paratext>
                      means a notice in writing which complies with the requirements of 
                      <internal.reference refid="a850814">article 28.2</internal.reference>
                      .
                    </paratext>
                  </para>
                </defn>
              </defn.item>
              <defn.item id="a935361">
                <defn.term>Listing</defn.term>
                <defn>
                  <para>
                    <paratext>the successful application and admission of all or any of the Shares, or securities representing such Shares (including American depositary receipts, American depositary shares and/or other instruments) to the Official List of the Financial Conduct Authority or on the AIM market operated by the London Stock Exchange plc, or the Nasdaq National Stock Market of the Nasdaq Stock Market Inc., or to any recognised investment exchange (as defined in section 285 of the Financial Services and Markets Act 2000).</paratext>
                  </para>
                </defn>
              </defn.item>
              <defn.item id="a900448">
                <defn.term>Member of the Same Group</defn.term>
                <defn>
                  <para>
                    <paratext>as regards any company, a company which is from time to time a holding company or a subsidiary of that company or a subsidiary of any such holding company.</paratext>
                  </para>
                </defn>
              </defn.item>
              <defn.item id="a436895">
                <defn.term>Member of the Same Fund Group</defn.term>
                <defn>
                  <para>
                    <paratext>
                      if the Shareholder is a fund, partnership, company, syndicate or other entity whose business is managed by a Fund Manager (an 
                      <defn.term>Investment Fund</defn.term>
                      : ) or a nominee of that person:
                    </paratext>
                  </para>
                  <list type="loweralpha">
                    <list.item>
                      <para>
                        <paratext>any participant or partner in or member of any such Investment Fund or the holders of any unit trust which is a participant or partner in or member of any Investment Fund (but only in connection with the dissolution of the Investment Fund or any distribution of assets of the Investment Fund pursuant to the operation of the Investment Fund in the ordinary course of business);</paratext>
                      </para>
                    </list.item>
                    <list.item>
                      <para>
                        <paratext>any Investment Fund managed by that Fund Manager [or a Fund Manager which is a Member of the Same Group as that Fund Manager];</paratext>
                      </para>
                    </list.item>
                    <list.item>
                      <para>
                        <paratext>any trustee, nominee or custodian of such Investment Fund and vice versa;</paratext>
                      </para>
                    </list.item>
                    <list.item>
                      <para>
                        <paratext>the Fund Manager of that Investment Fund [or a Fund Manager of any other Investment Fund which is a Member of the Same Fund Group as that Investment Fund (or a nominee of any such Fund Manager)] and vice versa; or</paratext>
                      </para>
                    </list.item>
                    <list.item>
                      <para>
                        <paratext>any Member of the same Group as that Fund Manager.</paratext>
                      </para>
                    </list.item>
                  </list>
                </defn>
                <drafting.note id="a826876" jurisdiction="">
                  <head align="left" preservecase="true">
                    <headtext>Definition: Member of the Same Fund Group</headtext>
                  </head>
                  <division id="a000016" level="1">
                    <para>
                      <paratext>This definition should be drafted in consultation with the investor executives, to ensure that it is suitable for the particular way its funds and the management of those funds is structured. In particular, it may be necessary to adapt reference to Members of the Same Group as a Fund Manager, if such Fund Manager is a limited liability partnership, or other entity which is not a company.</paratext>
                    </para>
                  </division>
                </drafting.note>
              </defn.item>
              <defn.item id="a476391">
                <defn.term>Model Articles</defn.term>
                <defn>
                  <para>
                    <paratext>
                      the model articles for private companies limited by shares contained in Schedule 1 to The Companies (Model Articles) Regulations 2008 (
                      <ital>SI 2008/3229</ital>
                      ), as amended prior to the Adoption Date.
                    </paratext>
                  </para>
                </defn>
                <drafting.note id="a815079" jurisdiction="">
                  <head align="left" preservecase="true">
                    <headtext>Definition: Model Articles</headtext>
                  </head>
                  <division id="a000017" level="1">
                    <para>
                      <paratext>
                        For a copy of the Model Articles, see 
                        <link href="6-505-5094" style="ACTLinkPLCtoPLC">
                          <ital>The Companies (Model Articles) Regulations 2008</ital>
                        </link>
                         (
                        <ital>SI 2008/3229</ital>
                        ).
                      </paratext>
                    </para>
                    <para>
                      <paratext>
                        The Model Articles were amended with effect on and from 28 April 2013 by section 3 of the 
                        <link href="2-525-8852" style="ACTLinkPLCtoPLC">
                          <ital>Mental Health (Discrimination) Act 2013</ital>
                        </link>
                        . That Act revoked article 18(e) of the Model Articles under which a person would automatically cease to be a director upon the order of a court of competent jurisdiction that wholly or partly deprives a person from personally exercising any powers or rights which that person would otherwise have. The articles of a company incorporated on or after 28 April 2013 will therefore not include model article 18(e), unless the company chooses to insert an equivalent provision. A company incorporated before that date and whose articles include model article 18(e) (or an equivalent provision) should consider removing it. Although the provision may not be directly discriminatory, unless the company can objectively justify its inclusion as a proportionate means of achieving a legitimate business aim, it may still fall foul of the Equality Act 2010. For further discussion of this issue, see 
                        <link href="8-525-8868" style="ACTLinkPLCtoPLC">
                          <ital>Ask, Articles: removal of directors: mental health: must a company delete model article 18(e) from its articles?</ital>
                        </link>
                      </paratext>
                    </para>
                  </division>
                </drafting.note>
              </defn.item>
              <defn.item id="a481362">
                <defn.term>Ordinary Shares</defn.term>
                <defn>
                  <para>
                    <paratext>the ordinary shares of £[AMOUNT] each in the capital of the Company.</paratext>
                  </para>
                </defn>
              </defn.item>
              <defn.item id="a282169">
                <defn.term>Original Shareholder</defn.term>
                <defn>
                  <para>
                    <paratext>
                      has the meaning given in 
                      <internal.reference refid="a879121">article 18.1</internal.reference>
                      .
                    </paratext>
                  </para>
                </defn>
              </defn.item>
              <defn.item id="a712959">
                <defn.term>Permitted Transfer</defn.term>
                <defn>
                  <para>
                    <paratext>
                      a transfer of Shares made in accordance with 
                      <internal.reference refid="a817012">article 18</internal.reference>
                      .
                    </paratext>
                  </para>
                </defn>
              </defn.item>
              <defn.item id="a344695">
                <defn.term>Permitted Transferee</defn.term>
                <defn>
                  <para>
                    <paratext>in relation to:</paratext>
                  </para>
                  <list type="loweralpha">
                    <list.item>
                      <para>
                        <paratext>a Shareholder who is an individual, any of their Privileged Relations or the trustee(s) of a Family Trust;</paratext>
                      </para>
                    </list.item>
                    <list.item>
                      <para>
                        <paratext>a Shareholder which is a company, a Member of the Same Group as that company; and</paratext>
                      </para>
                    </list.item>
                    <list.item>
                      <para>
                        <paratext>an Investor, to (i) a Member of the Same Fund Group as that Investor, or (ii) a Member of the Same Group as that Investor, or (iii) any nominee of that Investor (or of a Member of the Same Fund Group as that Investor) [, or (iv) to any other Investor] [,or (v) to any other Credit Institution or Institutional Investor].</paratext>
                      </para>
                    </list.item>
                  </list>
                </defn>
                <drafting.note id="a890964" jurisdiction="">
                  <head align="left" preservecase="true">
                    <headtext>Definition: Investor permitted transferees</headtext>
                  </head>
                  <division id="a000018" level="1">
                    <para>
                      <paratext>
                        The optional wording of sub-paragraphs (c)(iv) and c(v) of the definition of 'Permitted Transferee' should be resisted by management. If those words are included, an investor will be able to avoid the restrictions on transfers of shares in these Articles (in particular the pre-emption provisions in 
                        <internal.reference refid="a73365">article 19</internal.reference>
                        ) and effect an exit from its investment by selling its shareholding to, for example, another venture capital house. If more than one venture capital house has invested in the company, it will be in each investor's interest to resist the inclusion of sub-paragraph (c)(v) to avoid changes in the constitution of any investor syndicate without its consent.
                      </paratext>
                    </para>
                  </division>
                </drafting.note>
              </defn.item>
              <defn.item id="a243729">
                <defn.term>Preferred Shares</defn.term>
                <defn>
                  <para>
                    <paratext>the preferred ordinary shares of £[AMOUNT] each in the capital of the Company.</paratext>
                  </para>
                </defn>
              </defn.item>
              <defn.item id="a405885">
                <defn.term>Privileged Relation</defn.term>
                <defn>
                  <para>
                    <paratext>in relation to a Shareholder who is an individual (or a deceased or former Shareholder who is an individual), a spouse, civil partner (as defined in the Civil Partnerships Act 2004), child or grandchild (including step or adopted or illegitimate child and their issue).</paratext>
                  </para>
                </defn>
              </defn.item>
              <defn.item id="a133975">
                <defn.term>Qualifying Listing</defn.term>
                <defn>
                  <para>
                    <paratext>a fully underwritten Listing which values the Shares the subject of the Listing at, in aggregate, no less than £[AMOUNT] or more at a price per Share of £[AMOUNT] or more (such Share price being adjusted to take account of any subdivision, consolidation or other re-organisation of the equity share capital of the Company after the Adoption Date) [, but excluding for the purposes of such valuation any Shares issued or subscribed at the time of or in connection with the Qualifying Listing, other than any Shares issued under the terms of a Share Option Scheme] [or any Listing designated by notice in writing (addressed to the Company) as a Qualifying Listing by an Investor Majority].</paratext>
                  </para>
                </defn>
                <drafting.note id="a923216" jurisdiction="">
                  <head align="left" preservecase="true">
                    <headtext>Definition: Qualifying Listing</headtext>
                  </head>
                  <division id="a000019" level="1">
                    <para>
                      <paratext>
                        For general information, see 
                        <internal.reference refid="a515453">Drafting note, Listing or Qualifying Listing</internal.reference>
                        .
                      </paratext>
                    </para>
                    <para>
                      <paratext>The definition includes optional wording relating to a number of matters, which should be considered based in the investors' instructions.</paratext>
                    </para>
                    <para>
                      <paratext>The exclusion of value attached to new shares issued in connection with a Listing is designed to ensure that a true valuation of the company, as it existed prior to the Listing, is achieved.</paratext>
                    </para>
                    <para>
                      <paratext>The inclusion of the final set of words in square brackets would allow the investors to disregard the financial aspects of a Listing, for the benefit of management (as the priority financial rights of the Preferred Shares will be removed on a Qualifying Listing).</paratext>
                    </para>
                  </division>
                </drafting.note>
              </defn.item>
              <defn.item condition="optional" id="a598337">
                <defn.term>Relevant Period: the period of [NUMBER] months from the Adoption Date.</defn.term>
                <defn>
                  <para>
                    <paratext/>
                  </para>
                </defn>
                <drafting.note id="a363791" jurisdiction="">
                  <head align="left" preservecase="true">
                    <headtext>Definition: Relevant Period</headtext>
                  </head>
                  <division id="a000020" level="1">
                    <para>
                      <paratext>
                        Only include this definition if the optional wording relating to the Relevant Period is included in the definition of 
                        <internal.reference refid="a454186">Bad Leaver</internal.reference>
                        .
                      </paratext>
                    </para>
                  </division>
                </drafting.note>
              </defn.item>
              <defn.item id="a663176">
                <defn.term>Relevant Securities</defn.term>
                <defn>
                  <para>
                    <paratext>any Shares or other securities convertible into, or carrying the right to subscribe for Shares, issued by the Company after the Adoption Date, other than:</paratext>
                  </para>
                  <list type="loweralpha">
                    <list.item>
                      <para>
                        <paratext>the grant of any options under a Share Option Plan (and the issue of Shares on the exercise of any such options);</paratext>
                      </para>
                    </list.item>
                    <list.item>
                      <para>
                        <paratext>any Shares or other securities issued by the Company in order for the Company to comply with its obligations under these Articles [and/or the Investment Agreement]; and</paratext>
                      </para>
                    </list.item>
                    <list.item>
                      <para>
                        <paratext>any Shares or other securities issued in consideration of the acquisition by the Company of any company or business which has been approved by Investor Consent.</paratext>
                      </para>
                    </list.item>
                  </list>
                </defn>
              </defn.item>
              <defn.item id="a481660">
                <defn.term>Relevant Shares</defn.term>
                <defn>
                  <para>
                    <paratext>in relation to an Employee means all Shares held by:</paratext>
                  </para>
                  <list type="loweralpha">
                    <list.item>
                      <para>
                        <paratext>the Employee in question; and</paratext>
                      </para>
                    </list.item>
                    <list.item>
                      <para>
                        <paratext>any Permitted Transferee of that Employee (other than those Shares held by those persons that an Investor Majority declares itself satisfied were not acquired directly or indirectly from the Employee or by reason of their relationship with the Employee) [,</paratext>
                      </para>
                    </list.item>
                    <list.item>
                      <para>
                        <paratext>and including any Shares acquired by any such person after the date the relevant Transfer Notice is deemed given but before completion of the transfer of Shares pursuant to the relevant Transfer Notice].</paratext>
                      </para>
                    </list.item>
                  </list>
                </defn>
              </defn.item>
              <defn.item id="a662171">
                <defn.term>Restricted Shares</defn.term>
                <defn>
                  <para>
                    <paratext>
                      has the meaning given in 
                      <internal.reference refid="a890822">article 21.7</internal.reference>
                      .
                    </paratext>
                  </para>
                </defn>
              </defn.item>
              <defn.item id="a298262">
                <defn.term>Sale Proceeds</defn.term>
                <defn>
                  <para>
                    <paratext>means the consideration payable (including any deferred and/or contingent consideration) whether in cash or otherwise to those Shareholders selling Shares under a Share Sale [(less any fees and expenses payable by the selling Shareholders under that Share Sale)].</paratext>
                  </para>
                </defn>
                <drafting.note id="a792617" jurisdiction="">
                  <head align="left" preservecase="true">
                    <headtext>Sale Proceeds</headtext>
                  </head>
                  <division id="a000021" level="1">
                    <para>
                      <paratext>
                        The definition of "Sale Proceeds" is used in 
                        <internal.reference refid="a723154">article 12</internal.reference>
                        , which requires the proceeds of a Share Sale to be distributed among the selling shareholders in the manner set out in 
                        <internal.reference refid="a302537">article 11</internal.reference>
                        . Where the share sale involves deferred or contingent consideration, the ordinary shareholders should seek to include the words in square brackets in 
                        <internal.reference refid="a175418">article 12.1(b)</internal.reference>
                        , to resist potential liability for failure to comply with their obligation under that article as a result of any matter which is not within their control.
                      </paratext>
                    </para>
                    <para>
                      <paratext>Including the words in square brackets in the definition of "Sale Proceeds" will mean that all costs incurred by the selling shareholders will be borne proportionately by each of them. Consider whether the maximum aggregate fees and expenses should be capped, or subject to some form of prior approval.</paratext>
                    </para>
                  </division>
                </drafting.note>
              </defn.item>
              <defn.item id="a743036">
                <defn.term>Sale Shares</defn.term>
                <defn>
                  <para>
                    <paratext>
                      has the meaning given in 
                      <internal.reference refid="a124078">article 19.2(a)</internal.reference>
                      .
                    </paratext>
                  </para>
                </defn>
              </defn.item>
              <defn.item id="a918368">
                <defn.term>Second Offer Shareholders</defn.term>
                <defn>
                  <para>
                    <paratext>in respect of:</paratext>
                  </para>
                  <list type="loweralpha">
                    <list.item>
                      <para>
                        <paratext>an offer of Preferred Shares, the holders of Ordinary Shares; and</paratext>
                      </para>
                    </list.item>
                    <list.item>
                      <para>
                        <paratext>an offer of Ordinary Shares, the holders of Preferred Shares.</paratext>
                      </para>
                    </list.item>
                  </list>
                </defn>
              </defn.item>
              <defn.item id="a540406">
                <defn.term>Seller</defn.term>
                <defn>
                  <para>
                    <paratext>
                      has the meaning given in 
                      <internal.reference refid="a130715">article 19.2</internal.reference>
                      .
                    </paratext>
                  </para>
                </defn>
              </defn.item>
              <defn.item id="a264517">
                <defn.term>Shareholder</defn.term>
                <defn>
                  <para>
                    <paratext>a holder for the time being of any Share or Shares[, but excluding any member holding Shares in treasury].</paratext>
                  </para>
                </defn>
                <drafting.note id="a589672" jurisdiction="">
                  <head align="left" preservecase="true">
                    <headtext>Definition: Shareholder: treasury shares</headtext>
                  </head>
                  <division id="a000022" level="1">
                    <para>
                      <paratext>
                        Under 
                        <link href="4-506-4754" style="ACTLinkPLCtoPLC">
                          <ital>section 724</ital>
                        </link>
                         of the CA 2006, a private company may hold its own shares in treasury. In that case, the company must be included in its own register of members as a holder of its own shares (
                        <link href="8-507-0197" style="ACTLinkPLCtoPLC">
                          <ital>section 124(2)</ital>
                        </link>
                        , CA 2006).
                      </paratext>
                    </para>
                    <para>
                      <paratext>These Articles confer rights, powers and obligations upon "Shareholders". By including the words in square brackets within the definition of "Shareholder", no such right, power or obligation will be conferred upon the Company where it is a member of itself due to a holding of treasury shares.</paratext>
                    </para>
                    <para>
                      <paratext>Consider whether this is appropriate in every instance the term "Shareholder" is used in these Articles, or whether certain references to “"Shareholder" should include the Company.</paratext>
                    </para>
                  </division>
                </drafting.note>
              </defn.item>
              <defn.item id="a812308">
                <defn.term>Share Option Scheme</defn.term>
                <defn>
                  <para>
                    <paratext>any share option scheme of the Company which an Investor Majority identifies in writing as being a Share Option Scheme for the purposes of these Articles.</paratext>
                  </para>
                </defn>
              </defn.item>
              <defn.item id="a729986">
                <defn.term>Shares</defn.term>
                <defn>
                  <para>
                    <paratext>
                      shares (of any class) in the capital of the Company and 
                      <defn.term>Share</defn.term>
                      : shall be construed accordingly.
                    </paratext>
                  </para>
                </defn>
              </defn.item>
              <defn.item id="a691300">
                <defn.term>Share Sale</defn.term>
                <defn>
                  <para>
                    <paratext>the sale of (or the grant of a right to acquire or to dispose of) any Shares (in one transaction or as a series of transactions) which would, if completed, result in the buyer of those Shares (or grantee of that right) and persons acting in concert with the buyer of those Shares together acquiring a Controlling Interest, except where the identities of the shareholders in the buyer and the proportion of shares of the buyer held by each of them following completion of the sale are the same as the identities of the Shareholders and their respective shareholdings in the Company immediately before the sale.</paratext>
                  </para>
                </defn>
              </defn.item>
              <defn.item id="a316240">
                <defn.term>subsidiary</defn.term>
                <defn>
                  <para>
                    <paratext>
                      has the meaning given in 
                      <internal.reference refid="a407766">article 1.11</internal.reference>
                      .
                    </paratext>
                  </para>
                </defn>
              </defn.item>
              <defn.item id="a883422">
                <defn.term>Termination Date</defn.term>
                <defn>
                  <para>
                    <paratext/>
                  </para>
                  <list type="loweralpha">
                    <list.item>
                      <para>
                        <paratext>where employment ceases by virtue of notice given by the employer to the employee, the date on which notice of termination was served;</paratext>
                      </para>
                    </list.item>
                    <list.item>
                      <para>
                        <paratext>where a contract of employment is terminated by the employer and a payment is made in lieu of notice, the date on which notice of termination was served;</paratext>
                      </para>
                    </list.item>
                    <list.item>
                      <para>
                        <paratext>where an Employee dies, the date of their death;</paratext>
                      </para>
                    </list.item>
                    <list.item>
                      <para>
                        <paratext>where the Employee concerned is a director but not an employee, the date on which their service agreement (or other terms of appointment) with the relevant Group Company is terminated; or</paratext>
                      </para>
                    </list.item>
                    <list.item>
                      <para>
                        <paratext>in any other case, the date on which the employment or holding of office is terminated.</paratext>
                      </para>
                    </list.item>
                  </list>
                </defn>
                <drafting.note id="a158687" jurisdiction="">
                  <head align="left" preservecase="true">
                    <headtext>Definition: Termination Date</headtext>
                  </head>
                  <division id="a000023" level="1">
                    <para>
                      <paratext>
                        If the definition of 'Employee' is to cover consultants or any other person (as well as directors and employees; see 
                        <internal.reference refid="a124183">Drafting note, Definition: Employee</internal.reference>
                        ), care should be taken to ensure that the Termination Date in respect of that category of persons is adequately defined.
                      </paratext>
                    </para>
                    <para>
                      <paratext>
                        As drafted, the good/bad leaver provisions of 
                        <internal.reference refid="a368481">article 21.4</internal.reference>
                         are triggered on an Employee becoming a Departing Employee. A Departing Employee is deemed to have served a transfer notice in respect of all their Shares prior to, or within a specified period of time after, the relevant Termination Date. So, an Employee who is aware that their employment is to be terminated may seek to avoid the compulsory transfer provisions (and the associated restrictions on the transfer price) by serving a voluntary transfer notice under 
                        <internal.reference refid="a73365">article 19</internal.reference>
                         before the relevant Termination Date. 
                        <internal.reference refid="a125468">article 17.9</internal.reference>
                         operates to revoke a voluntary Transfer Notice if a Transfer Notice is deemed to be served before the voluntary sale process has completed. However, if that sale process completes before the Termination Date, an Employee who would be categorised as a Bad Leaver may be able to avoid the price restrictions applicable to Bad Leavers under 
                        <internal.reference refid="a627423">article 21.5</internal.reference>
                         by serving a voluntary transfer notice as soon as they become aware of their impending termination.
                      </paratext>
                    </para>
                    <para>
                      <paratext>To counter this risk, it may be possible to amend the definition of Termination Date, so that a Transfer Notice is deemed served at an earlier stage in the process. However, this may have a potentially unfair effect on Employees. For example, deeming the Termination Date of potential redundancy candidates to be a date earlier than the actual date of termination may deprive such a person of their Shares, for less than market value, even if their employment continues uninterrupted following completion of the redundancy consultation process. It may be preferable to address these risks through a different categorisation of who is a Good Leaver (and will therefore receive market value for their Shares following service of a Deemed Transfer Notice).</paratext>
                    </para>
                  </division>
                </drafting.note>
              </defn.item>
              <defn.item id="a669351">
                <defn.term>Transfer Notice</defn.term>
                <defn>
                  <para>
                    <paratext>
                      has the meaning given in 
                      <internal.reference refid="a130715">article 19.2</internal.reference>
                      .
                    </paratext>
                  </para>
                </defn>
              </defn.item>
              <defn.item id="a879711">
                <defn.term>Transfer Price</defn.term>
                <defn>
                  <para>
                    <paratext>
                      has the meaning given in 
                      <internal.reference refid="a1026593">article 20</internal.reference>
                      .
                    </paratext>
                  </para>
                </defn>
              </defn.item>
              <defn.item condition="optional" id="a825560">
                <defn.term>Writing or written</defn.term>
                <defn>
                  <para>
                    <paratext>the representation or reproduction of words, symbols or other information in a visible form by any method or combination of methods, whether sent or supplied in electronic form or otherwise, save that, in relation to a Transfer Notice (or Deemed Transfer Notice), "writing" or "written" shall not include the sending or supply of notices, documents or information in electronic form (other than by fax).</paratext>
                  </para>
                </defn>
                <drafting.note id="a190752" jurisdiction="">
                  <head align="left" preservecase="true">
                    <headtext>Writing or written</headtext>
                  </head>
                  <division id="a000024" level="1">
                    <para>
                      <paratext>
                        The definition in the standard document amends the definition of "writing" used in the Model Articles specifically to exclude the use of electronic forms of communication (other than fax) when the parties are serving a Transfer Notice under the provisions dealing with the transfer of shares in the company. In those cases, where a more formal procedure may be preferred, the standard document provides that electronic forms of communication (other than by fax) are specifically excluded for the purposes of serving the various Transfer Notices that trigger those transfer procedures. Any further notices required to be served to complete such procedures may take electronic form and be served by electronic means and so, if that is not the preferred approach, consider amending the wording of 
                        <internal.reference refid="a678785">article 29.3</internal.reference>
                         (which deals with proof of service of Transfer Notices) as well as amending the definition of "Writing or written".
                      </paratext>
                    </para>
                    <para>
                      <paratext>
                        Consider also whether there are other types of notice which should not be communicated or served by electronic means, such as documents that require a response within a specific time frame or the contents of which will have a material bearing on the recipient. For example, 
                        <internal.reference refid="a707506">article 19.9</internal.reference>
                         requires an offeree of new shares to respond with their acceptance within a prescribed period.
                      </paratext>
                    </para>
                    <para>
                      <paratext>
                        Electronic forms of communication should make the day-to-day decision making and administration of the company easier and more efficient for the directors. 
                        <internal.reference refid="a694601">article 4.11</internal.reference>
                         of the standard document requires that any decisions taken by electronic means by the directors be recorded by them in a form that enables the company to retain a copy of such decisions.
                      </paratext>
                    </para>
                  </division>
                </drafting.note>
              </defn.item>
            </subclause1>
            <subclause1 id="a67735">
              <identifier>1.2</identifier>
              <para>
                <paratext>Headings in these Articles shall not affect the interpretation of these Articles.</paratext>
              </para>
            </subclause1>
            <subclause1 id="a847471">
              <identifier>1.3</identifier>
              <para>
                <paratext>Unless the context otherwise requires, words in the singular shall include the plural and the plural shall include the singular.</paratext>
              </para>
            </subclause1>
            <subclause1 id="a242681">
              <identifier>1.4</identifier>
              <para>
                <paratext>Unless the context otherwise requires, a reference to one gender shall include a reference to the other genders.</paratext>
              </para>
            </subclause1>
            <subclause1 id="a1057052">
              <identifier>1.5</identifier>
              <para>
                <paratext>Save as otherwise specifically provided in these Articles, words and expressions which have particular meanings in the Model Articles shall have the same meanings in these Articles, subject to which and unless the context otherwise requires, words and expressions which have particular meanings in the Act shall have the same meanings in these Articles (but excluding any statutory modification of them not in force on the Adoption Date).</paratext>
              </para>
            </subclause1>
            <subclause1 id="a400488">
              <identifier>1.6</identifier>
              <para>
                <paratext>A reference in these Articles to:</paratext>
              </para>
              <subclause2 id="a214860">
                <identifier>(a)</identifier>
                <para>
                  <paratext>
                    an 
                    <bold>Article</bold>
                     is a reference to the relevant numbered article of these Articles; and
                  </paratext>
                </para>
              </subclause2>
              <subclause2 id="a37323">
                <identifier>(b)</identifier>
                <para>
                  <paratext>
                    a 
                    <bold>model article</bold>
                     is a reference to the relevant article,
                  </paratext>
                </para>
              </subclause2>
              <para>
                <paratext>unless expressly provided otherwise.</paratext>
              </para>
            </subclause1>
            <subclause1 id="a879515">
              <identifier>1.7</identifier>
              <para>
                <paratext>
                  A reference to legislation or a legislative provision is a reference to it as [amended, extended or re-enacted from time to time 
                  <bold>OR</bold>
                   it is in force on the Adoption Date]. A reference to legislation or a legislative provision shall include all subordinate legislation made [from time to time 
                  <bold>OR</bold>
                   as at the Adoption Date] under that legislation or legislative provision.
                </paratext>
              </para>
            </subclause1>
            <subclause1 id="a146549">
              <identifier>1.8</identifier>
              <para>
                <paratext>
                  Any words following the terms 
                  <bold>including</bold>
                  , 
                  <bold>include</bold>
                  , 
                  <bold>in particular</bold>
                  , 
                  <bold>for example</bold>
                   or any similar expression shall be construed as illustrative and shall not limit the sense of the words, description, definition, phrase or term preceding those terms.
                </paratext>
              </para>
            </subclause1>
            <subclause1 id="a823285">
              <identifier>1.9</identifier>
              <para>
                <paratext>
                  Where the context permits, 
                  <bold>other</bold>
                   and 
                  <bold>otherwise</bold>
                   are illustrative and shall not limit the sense of the words preceding them.
                </paratext>
              </para>
            </subclause1>
            <subclause1 condition="optional" id="a764618">
              <identifier>1.10</identifier>
              <para>
                <paratext>A reference in these Articles to a holder, or the holder(s), of Shares, Equity Shares or any class of Shares as the case may be shall, in each case, be deemed to exclude any member holding Shares in treasury.</paratext>
              </para>
              <drafting.note id="a110149" jurisdiction="">
                <head align="left" preservecase="true">
                  <headtext>Treasury shares</headtext>
                </head>
                <division id="a000025" level="1">
                  <para>
                    <paratext>
                      Under 
                      <link href="4-506-4754" style="ACTLinkPLCtoPLC">
                        <ital>section 724</ital>
                      </link>
                       of the CA 2006, a private company may hold its own shares in treasury. In that case, the company must be included in its own register of members as a holder of its own shares (
                      <link href="8-507-0197" style="ACTLinkPLCtoPLC">
                        <ital>section 124(2)</ital>
                      </link>
                      , CA 2006). Numerous provisions of these articles confer rights, powers and obligations upon holders of:
                    </paratext>
                  </para>
                  <list type="bulleted">
                    <list.item>
                      <para>
                        <paratext>Shares.</paratext>
                      </para>
                    </list.item>
                    <list.item>
                      <para>
                        <paratext>Equity Shares.</paratext>
                      </para>
                    </list.item>
                    <list.item>
                      <para>
                        <paratext>Preferred Shares.</paratext>
                      </para>
                    </list.item>
                    <list.item>
                      <para>
                        <paratext>Ordinary Shares.</paratext>
                      </para>
                    </list.item>
                  </list>
                  <para>
                    <paratext>Including the words in square brackets will ensure that the Company is not considered a holder of any such Shares for the purpose of any provision of these Articles.</paratext>
                  </para>
                  <para>
                    <paratext>Consider whether this is appropriate in every instance, or whether the Company ought to be considered a holder of particular shares for any provision of these Articles.</paratext>
                  </para>
                </division>
              </drafting.note>
            </subclause1>
            <subclause1 id="a407766">
              <identifier>1.11</identifier>
              <para>
                <paratext>
                  A reference to a 
                  <bold>holding company</bold>
                   or a 
                  <bold>subsidiary</bold>
                   means a holding company or a subsidiary (as the case may be) as defined in section 1159 of the Act [and for the purposes only of the membership requirement contained in sections 1159(1)(b) and (c), a company shall be treated as a member of another company even if its shares in that other company are registered in the name of:
                </paratext>
              </para>
              <subclause2 id="a515793">
                <identifier>(a)</identifier>
                <para>
                  <paratext>another person (or its nominee), by way of security or in connection with the taking of security; or</paratext>
                </para>
              </subclause2>
              <subclause2 id="a322206">
                <identifier>(b)</identifier>
                <para>
                  <paratext>its nominee.]</paratext>
                </para>
              </subclause2>
              <para>
                <paratext>[In the case of a limited liability partnership which is a subsidiary of a company or another limited liability partnership, section 1159 of the Act shall be construed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drafting.note id="a482041" jurisdiction="">
                <head align="left" preservecase="true">
                  <headtext>Subsidiary and holding companies</headtext>
                </head>
                <division id="a000026" level="1">
                  <para>
                    <paratext>
                      This article defines "holding company" and "subsidiary" by reference to the meanings given to those terms in 
                      <link href="6-505-7253" style="ACTLinkPLCtoPLC">
                        <ital>section 1159</ital>
                      </link>
                       of the CA 2006.
                    </paratext>
                  </para>
                  <division id="a129184" level="2">
                    <head align="left" preservecase="true">
                      <headtext>Decision in Enviroco</headtext>
                    </head>
                    <para>
                      <paratext>
                        Under 
                        <link href="6-505-7253" style="ACTLinkPLCtoPLC">
                          <ital>section 1159</ital>
                        </link>
                        , a company is a "subsidiary" of another company (its "holding company") if the holding company meets one of the following tests:
                      </paratext>
                    </para>
                    <list type="bulleted">
                      <list.item>
                        <para>
                          <paratext>It holds a majority of the voting rights in the subsidiary (first test).</paratext>
                        </para>
                      </list.item>
                      <list.item>
                        <para>
                          <paratext>It is a member of the subsidiary and has the right to appoint or remove a majority of its board of directors (second test).</paratext>
                        </para>
                      </list.item>
                      <list.item>
                        <para>
                          <paratext>It is a member of the subsidiary and controls alone, under an agreement with other members, a majority of the voting rights (third test).</paratext>
                        </para>
                      </list.item>
                    </list>
                    <para>
                      <paratext>Membership of a company, which is required under the second and third tests, is a question of fact. Therefore, if company A is not a member of company B (that is, company A is not entered in company B's register of members), it cannot be the holding company of company B under the second or third tests.</paratext>
                    </para>
                    <para>
                      <paratext>
                        This issue was highlighted in the Court of Appeal's decision in 
                        <link href="D-000-0207" style="ACTLinkURL">
                          <ital>Enviroco Ltd v Farstad Supply A/S [2009] EWCA Civ 1399</ital>
                        </link>
                        , which was upheld by the Supreme Court in 
                        <link href="D-000-0170" style="ACTLinkURL">
                          <ital>Farstad Supply AS v Enviroco Ltd [2011] UKSC 16</ital>
                        </link>
                        . In this case, a company (Asco) transferred its shares in its subsidiary (Enviroco) to a lender as security. Enviroco entered the lender's name in the register of members as the holder of those shares. As a result, it was held that Asco was no longer a member of Enviroco which meant, in turn, that Enviroco ceased to be a subsidiary of Asco within the meaning of 
                        <link href="6-505-7253" style="ACTLinkPLCtoPLC">
                          <ital>section 1159</ital>
                        </link>
                        .
                      </paratext>
                    </para>
                    <para>
                      <paratext>
                        To avoid the situation that arose in Enviroco, the wording in square brackets can be included to make it clear that the membership requirement in the second and third tests under 
                        <link href="6-505-7253" style="ACTLinkPLCtoPLC">
                          <ital>section 1159</ital>
                        </link>
                         will continue to be satisfied where the shares are held by a lender by way of security, or by a nominee.
                      </paratext>
                    </para>
                    <para>
                      <paratext>
                        For further consideration of this issue, see clause 1.6 of 
                        <link href="5-107-3795" style="ACTLinkPLCtoPLC">
                          <ital>Standard clause, Interpretation</ital>
                        </link>
                         and the related integrated drafting notes.
                      </paratext>
                    </para>
                  </division>
                  <division id="a605609" level="2">
                    <head align="left" preservecase="true">
                      <headtext>Limited liability partnerships</headtext>
                    </head>
                    <para>
                      <paratext>
                        The definition of subsidiary under 
                        <link href="6-505-7253" style="ACTLinkPLCtoPLC">
                          <ital>section 1159</ital>
                        </link>
                         applies to any body corporate (
                        <ital>section 1159(4), Companies Act 2006</ital>
                        ) which means that it should capture limited liability partnerships (LLPs). However, it is unclear how the reference to voting rights in the first test under section 1159(1)(a) and the reference to the appointment or removal of a majority of directors in the second test in section 1159(1)(b) should be interpreted in relation to LLPs. If, for example, a shareholder's group includes an LLP, consider adding wording to 
                        <internal.reference refid="a407766">article 1.11</internal.reference>
                         to clarify the application of section 1159(1) in relation to LLPs.
                      </paratext>
                    </para>
                    <para>
                      <paratext>
                        For further information on this issue, see clause 1.6 of 
                        <link href="5-107-3795" style="ACTLinkPLCtoPLC">
                          <ital>Standard clause, Interpretation</ital>
                        </link>
                         and the related integrated drafting notes.
                      </paratext>
                    </para>
                  </division>
                </division>
              </drafting.note>
            </subclause1>
          </clause>
          <clause id="a400367">
            <identifier>2.</identifier>
            <head align="left" preservecase="true">
              <headtext>Adoption of the Model Articles</headtext>
            </head>
            <subclause1 id="a328943">
              <identifier>2.1</identifier>
              <para>
                <paratext>The Model Articles shall apply to the Company, except in so far as they are modified or excluded by these Articles or are inconsistent with these Articles, and, subject to any such modifications, exclusions or inconsistencies, shall together with these Articles constitute the articles of association of the Company to the exclusion of any other articles or regulations set out in any statute or in any statutory instrument or other subordinate legislation. [A copy is set out in the schedule to these Articles.]</paratext>
              </para>
              <drafting.note id="a851755" jurisdiction="">
                <head align="left" preservecase="true">
                  <headtext>Adoption of the Model Articles</headtext>
                </head>
                <division id="a000027" level="1">
                  <para>
                    <paratext>
                      The standard document is based on the model articles for private companies limited by shares as set out in Schedule 1 to the 
                      <link href="6-505-5094" style="ACTLinkPLCtoPLC">
                        <ital>Companies (Model Articles) Regulations 2008</ital>
                      </link>
                      <ital> (SI 2008/3229)</ital>
                       (Model Articles) but with specific exclusions and amendments to reflect the requirements of the investment, as well as other appropriate changes.
                    </paratext>
                  </para>
                  <para>
                    <paratext>
                      The Model Articles were amended with effect on and from 28 April 2013 by section 3 of the 
                      <link href="2-525-8852" style="ACTLinkPLCtoPLC">
                        <ital>Mental Health (Discrimination) Act 2013</ital>
                      </link>
                      . That Act revoked article 18(e) of the Model Articles under which a person would automatically cease to be a director upon the order of a court of competent jurisdiction that wholly or partly deprives a person from personally exercising any powers or rights which that person would otherwise have. The articles of a company incorporated on or after 28 April 2013 will therefore not include model article 18(e), unless the company chooses to insert an equivalent provision. A company incorporated before that date and whose articles include model article 18(e) (or an equivalent provision) should consider removing it. Although the provision may not be directly discriminatory, unless the company can objectively justify its inclusion as a proportionate means of achieving a legitimate business aim, it may still fall foul of the Equality Act 2010. For further discussion of this issue, see Ask, 
                      <link href="8-525-8868" style="ACTLinkPLCtoPLC">
                        <ital>Ask, Articles: removal of directors: mental health: must a company delete model article 18(e) from its articles?</ital>
                      </link>
                    </paratext>
                  </para>
                  <para>
                    <paratext>An alternative approach to that taken in the standard document is to adopt long-form articles. The approach taken by this standard document makes the articles shorter and makes it easier to find new provisions that have been introduced. However, it also means that it is necessary to consider which of the provisions of the Model Articles should not apply and to check carefully that those not needed have been properly excluded.</paratext>
                  </para>
                  <para>
                    <paratext>
                      For commentary on the provisions of the Model Articles as they relate to private companies limited by shares, see 
                      <link href="8-384-4772" style="ACTLinkPLCtoPLC">
                        <ital>Practice note, Model articles: private companies limited by shares: Companies Act 2006</ital>
                      </link>
                      .
                    </paratext>
                  </para>
                </division>
              </drafting.note>
            </subclause1>
            <subclause1 id="a852328">
              <identifier>2.2</identifier>
              <para>
                <paratext>Model articles 7, 8, 9(1) [and (3)], 11(2) and (3), 12, [13,] 14(1) to (4) (inclusive), [16,] [18(e),] 22, 26(5), 38, 39, [44(2),] [49,] [50] and 51 to 53 (inclusive) shall not apply to the Company.</paratext>
              </para>
              <drafting.note id="a367163" jurisdiction="">
                <head align="left" preservecase="true">
                  <headtext>Excluded provisions</headtext>
                </head>
                <division id="a000028" level="1">
                  <para>
                    <paratext>
                      Here is why each of the 
                      <link href="6-505-5094" style="ACTLinkPLCtoPLC">
                        <ital>model articles</ital>
                      </link>
                       listed in 
                      <internal.reference refid="a852328">article 2.2</internal.reference>
                       has been excluded in this standard document:
                    </paratext>
                  </para>
                  <list type="bulleted">
                    <list.item>
                      <para>
                        <paratext>
                          Model article 7 (Directors to take decisions collectively): Model article 7(1) is replaced by 
                          <internal.reference refid="a574254">article 4.1</internal.reference>
                           (see 
                          <internal.reference refid="a678345">Drafting note, Decisions of directors</internal.reference>
                          ).
                        </paratext>
                      </para>
                      <para>
                        <paratext>
                          Model article 7(2) has no relevance to the company, as 
                          <internal.reference refid="a918621">article 3</internal.reference>
                           requires a minimum of two directors to hold office at all times (see 
                          <internal.reference refid="a1055492">Drafting note, Insufficient directors to form a quorum</internal.reference>
                          ).
                        </paratext>
                      </para>
                    </list.item>
                  </list>
                  <list type="bulleted">
                    <list.item>
                      <para>
                        <paratext>
                          Model article 8 (Unanimous decisions): Model article 8 is replaced by 
                          <internal.reference refid="a167806">article 4.2</internal.reference>
                           to 
                          <internal.reference refid="a947466">article 4.4</internal.reference>
                           (inclusive).
                        </paratext>
                      </para>
                    </list.item>
                    <list.item>
                      <para>
                        <paratext>
                          Model article 9(1) (Any director may call a meeting): Model article 9(1) is replaced by the second sentence of 
                          <internal.reference refid="a349920">article 4.6</internal.reference>
                           (see 
                          <internal.reference refid="a826429">Drafting note, Calling directors' meetings</internal.reference>
                          ).
                        </paratext>
                      </para>
                    </list.item>
                    <list.item>
                      <para>
                        <paratext>
                          Model article 9(3) (Notice of meetings need not be in writing): Model article 9(3) should be excluded if 
                          <internal.reference refid="a349920">article 4.6</internal.reference>
                           requires notice of directors' meetings to be given in writing, but not otherwise (see 
                          <internal.reference refid="a826429">Drafting note, Calling directors' meetings</internal.reference>
                          ).
                        </paratext>
                      </para>
                    </list.item>
                    <list.item>
                      <para>
                        <paratext>
                          Model article 11(2) (Quorum for a directors' meeting never less than two): Model article 11(2) is replaced by 
                          <internal.reference refid="a873305">article 4.7</internal.reference>
                          .
                        </paratext>
                      </para>
                    </list.item>
                    <list.item>
                      <para>
                        <paratext>
                          Model article 11(3) (Proceedings if insufficient directors to form quorum): Model article 11(3) is replaced by 
                          <internal.reference refid="a158054">article 4.9</internal.reference>
                           (see 
                          <internal.reference refid="a1055492">Drafting note, Insufficient directors to form a quorum</internal.reference>
                          ).
                        </paratext>
                      </para>
                    </list.item>
                    <list.item>
                      <para>
                        <paratext>
                          Model article 12 (Chairing of directors' meetings): Model article 12 is replaced by 
                          <internal.reference refid="a798536">article 6.6</internal.reference>
                           (see 
                          <internal.reference refid="a841647">Drafting note, Chair</internal.reference>
                          ).
                        </paratext>
                      </para>
                    </list.item>
                    <list.item>
                      <para>
                        <paratext>
                          Model article 13 (Casting vote): Model article 13 should be excluded if 
                          <internal.reference refid="a463370">article 4.10</internal.reference>
                           is included (and vice-versa) (see 
                          <internal.reference refid="a437900">Drafting note, Casting vote</internal.reference>
                          ).
                        </paratext>
                      </para>
                    </list.item>
                    <list.item>
                      <para>
                        <paratext>
                          Model article 14(1) to (4) (inclusive) (Conflicts of interest): Model articles 14(1), (2), (3) and (4) are replaced by 
                          <internal.reference refid="a168790">article 7</internal.reference>
                          .
                        </paratext>
                      </para>
                    </list.item>
                    <list.item>
                      <para>
                        <paratext>
                          Model article 16 (Directors' discretion to make further rules): Model article 16 should be excluded if 
                          <internal.reference refid="a527458">article 4.12</internal.reference>
                           is included (and vice-versa) (see 
                          <internal.reference refid="a361709">Drafting note, Rules of procedure</internal.reference>
                          ).
                        </paratext>
                      </para>
                    </list.item>
                    <list.item>
                      <para>
                        <paratext>
                          Model article 18(e) (Now deleted under the Mental Health (Discrimination) Act 2013): See 
                          <internal.reference refid="a815079">Drafting note, Definition: Model Articles</internal.reference>
                          .
                        </paratext>
                      </para>
                    </list.item>
                    <list.item>
                      <para>
                        <paratext>
                          Model article 22 (Powers to issue different classes of share): Model article 22(1) is replaced by 
                          <internal.reference refid="a583587">article 16.1</internal.reference>
                           and 
                          <internal.reference refid="a312508">article 16.2</internal.reference>
                          .
                        </paratext>
                      </para>
                      <para>
                        <paratext>
                          Model article 22(2) is omitted to exclude the directors' right to determine the terms, conditions and manner of redemption of any redeemable shares. Subject to investor vetoes over the creation of new shares (see 
                          <internal.reference refid="a971415">article 13.2</internal.reference>
                          ), the directors will have the right to issue redeemable shares under 
                          <link href="8-505-5192" style="ACTLinkPLCtoPLC">
                            <ital>section 684(1)</ital>
                          </link>
                           of the CA 2006. No further authority is required in the Articles. The exclusion of model article 22(2) means that if any redeemable shares are issued, the terms, conditions and manner of redemption must be set out in the Articles (
                          <link href="0-505-5228" style="ACTLinkPLCtoPLC">
                            <ital>section 685(4)</ital>
                          </link>
                          <ital>, CA 2006</ital>
                          ).
                        </paratext>
                      </para>
                    </list.item>
                  </list>
                  <list type="bulleted">
                    <list.item>
                      <para>
                        <paratext>
                          Model article 26(5) (Directors may refuse to register the transfer of a share): Model article 26(5) is replaced by 
                          <internal.reference refid="a253734">article 17.2</internal.reference>
                          .
                        </paratext>
                      </para>
                    </list.item>
                    <list.item>
                      <para>
                        <paratext>
                          Model article 38 (Quorum for general meetings): Model article 38 is replaced by 
                          <internal.reference refid="a898417">article 24.1</internal.reference>
                          .
                        </paratext>
                      </para>
                    </list.item>
                    <list.item>
                      <para>
                        <paratext>
                          Model article 39 (Chairing general meetings): Model article 39 is replaced by 
                          <internal.reference refid="a561265">article 24.2</internal.reference>
                          .
                        </paratext>
                      </para>
                    </list.item>
                    <list.item>
                      <para>
                        <paratext>
                          Model article 44(2) (Persons who may demand a poll): Model article 44(2) should be excluded if 
                          <internal.reference refid="a461088">article 25.2</internal.reference>
                           is included.
                        </paratext>
                      </para>
                    </list.item>
                    <list.item>
                      <para>
                        <paratext>
                          Model article 49 (Company seals): Model article 49 may be excluded if the company does not have a common seal, although there is no requirement to do so. 
                          <link href="0-505-5228" style="ACTLinkPLCtoPLC">
                            <ital>Section 45(1)</ital>
                          </link>
                           of the CA 2006 provides that a company may have a common seal, but need not have one.
                        </paratext>
                      </para>
                    </list.item>
                    <list.item>
                      <para>
                        <paratext>
                          Model article 50 (No right to inspect accounts and other records): Model article 50 may be excluded where an investor wishes to have the right to inspect the accounting and other records of the company in its capacity as shareholder. However, excluding model article 50 would also vest that right (subject to any restrictions in the 
                          <link href="3-503-8567" style="ACTLinkPLCtoPLC">
                            <ital>CA 2006</ital>
                          </link>
                          ) in all shareholders equally.
                        </paratext>
                      </para>
                      <para>
                        <paratext>It is more likely that an investor will seek express rights to receive and inspect company records in the investment agreement (which would exist as contractual rights despite the inclusion of model article 50).</paratext>
                      </para>
                    </list.item>
                  </list>
                  <list type="bulleted">
                    <list.item>
                      <para>
                        <paratext>Model article 51 (Provision for employees on cessation of business): By excluding model article 51, the power to make provision for the company's employees on the cessation or transfer of the business is reserved to the shareholders. Such exclusion should usually be accompanied by an express veto within the investment agreement over any approval of such arrangements, without investor consent.</paratext>
                      </para>
                    </list.item>
                    <list.item>
                      <para>
                        <paratext>
                          Model articles 52 (Indemnity) and 53 (Insurance): Model articles 52 and 53 are replaced by 
                          <internal.reference refid="a934506">article 30</internal.reference>
                          .
                        </paratext>
                      </para>
                    </list.item>
                  </list>
                </division>
              </drafting.note>
            </subclause1>
            <subclause1 condition="optional" id="a282173">
              <identifier>2.3</identifier>
              <para>
                <paratext>Model article 20 shall be amended by the insertion of the words "and the secretary" before the words "properly incur".</paratext>
              </para>
            </subclause1>
            <subclause1 condition="optional" id="a523798">
              <identifier>2.4</identifier>
              <para>
                <paratext>In model article 25(2)(c), the words "evidence, indemnity and the payment of a reasonable fee" shall be deleted and replaced with the words "evidence and indemnity".</paratext>
              </para>
            </subclause1>
            <subclause1 id="a442393">
              <identifier>2.5</identifier>
              <para>
                <paratext>Model article 29 shall be amended by the insertion of the words ", or the name of any person(s) named as the transferee(s) in an instrument of transfer executed under article 28(2)," after the words "the transmittee's name".</paratext>
              </para>
            </subclause1>
          </clause>
          <head align="left" preservecase="true">
            <headtext>DIRECTORS</headtext>
          </head>
          <clause id="a918621">
            <identifier>3.</identifier>
            <head align="left" preservecase="true">
              <headtext>Number of directors</headtext>
            </head>
            <subclause1 id="a698359">
              <para>
                <paratext>Unless otherwise determined by ordinary resolution, the number of Directors shall [not exceed [NUMBER] but shall] not be less than [two].</paratext>
              </para>
              <drafting.note id="a777559" jurisdiction="">
                <head align="left" preservecase="true">
                  <headtext>Number of directors</headtext>
                </head>
                <division id="a000029" level="1">
                  <para>
                    <paratext>
                      The 
                      <link href="3-503-8567" style="ACTLinkPLCtoPLC">
                        <ital>CA 2006</ital>
                      </link>
                       only requires a private company to have one director, who must be a natural person (
                      <link href="7-505-5381" style="ACTLinkPLCtoPLC">
                        <ital>sections 154</ital>
                      </link>
                      <ital> and </ital>
                      <link href="5-505-5382" style="ACTLinkPLCtoPLC">
                        <ital>155</ital>
                      </link>
                      <ital>, CA 2006</ital>
                      ). However, a key part of any venture capital investment will be the composition and quality of the board. 
                      <internal.reference refid="a918621">Article 3</internal.reference>
                       provides that, to transact business, there must be at least two directors, although whether that number should be higher will be a matter for negotiation between the parties.
                    </paratext>
                  </para>
                  <para>
                    <paratext>
                      At the same time, a board consisting of a large number of directors may become unwieldy. As such, 
                      <internal.reference refid="a918621">article 3</internal.reference>
                       permits the parties to place a cap on the number of directors which may be appointed.
                    </paratext>
                  </para>
                  <para>
                    <paratext>
                      In the event that the number of directors in office falls below the minimum number, 
                      <link href="6-505-5094" style="ACTLinkPLCtoPLC">
                        <ital>model article 11(3)</ital>
                      </link>
                       will apply. The remaining directors may not transact any business other than to appoint further directors (or to call a general meeting to allow the shareholders to appoint further directors). Any such appointment is likely to be subject to receiving investor consent to such appointment, whether under the investment agreement or a variation of class rights provision in the Articles (see 
                      <internal.reference refid="a779152">article 13.2(j)</internal.reference>
                      ).
                    </paratext>
                  </para>
                  <para>
                    <paratext>
                      Note that 
                      <link href="6-505-5555" style="ACTLinkPLCtoPLC">
                        <ital>section 157</ital>
                      </link>
                       of the CA 2006 provides for a minimum age (of 16 years) for any natural person to be appointed as a director.
                    </paratext>
                  </para>
                </division>
              </drafting.note>
            </subclause1>
          </clause>
          <clause id="a858579">
            <identifier>4.</identifier>
            <head align="left" preservecase="true">
              <headtext>Proceedings of directors</headtext>
            </head>
            <subclause1 id="a574254">
              <identifier>4.1</identifier>
              <para>
                <paratext>
                  Any decision of the Directors must be taken at a meeting of Directors in accordance with these Articles or must be a decision taken in accordance with 
                  <internal.reference refid="a167806">article 4.2</internal.reference>
                   (subject to 
                  <internal.reference refid="a573139">article 4.3</internal.reference>
                   and 
                  <internal.reference refid="a947466">article 4.4</internal.reference>
                  ). [All decisions made at any meeting of the Directors (or any committee of the Directors) shall be made only by resolution and resolutions at any meeting of the Directors (or committee of the Directors) shall be decided by a majority of votes.]
                </paratext>
              </para>
              <drafting.note id="a678345" jurisdiction="">
                <head align="left" preservecase="true">
                  <headtext>Decisions of directors</headtext>
                </head>
                <division id="a000030" level="1">
                  <para>
                    <paratext>
                      <internal.reference refid="a574254">article 4.1</internal.reference>
                       replaces 
                      <link href="6-505-5094" style="ACTLinkPLCtoPLC">
                        <ital>model article 7(1)</ital>
                      </link>
                      . The terms of model article 7(1) are not substantively amended by 
                      <internal.reference refid="a574254">article 4.1</internal.reference>
                      , which serves as introduction to the bespoke provisions on unanimous decisions, set out in 
                      <internal.reference refid="a167806">article 4.2</internal.reference>
                       to 
                      <internal.reference refid="a947466">article 4.4</internal.reference>
                      . However, if the Articles are to grant any weighted voting rights to any particular director, or vetoes over particular resolutions given to any director, the second sentence of 
                      <internal.reference refid="a574254">article 4.1</internal.reference>
                       (in square brackets) should be made expressly subject to any article setting out such weighted voting rights.
                    </paratext>
                  </para>
                </division>
              </drafting.note>
            </subclause1>
            <subclause1 id="a167806">
              <identifier>4.2</identifier>
              <para>
                <paratext>A unanimous decision of the Directors is taken when all Eligible Directors indicate to each other by any means that they share a common view on a matter.</paratext>
              </para>
              <drafting.note id="a468072" jurisdiction="">
                <head align="left" preservecase="true">
                  <headtext>Decisions of directors other than at meetings</headtext>
                </head>
                <division id="a000031" level="1">
                  <para>
                    <paratext>
                      The 
                      <link href="https://uk.practicallaw.thomsonreuters.com/6-505-5094?originationContext=document&amp;amp;transitionType=PLDocumentLink&amp;amp;contextData=(sc.Default)&amp;amp;ppcid=60afe8505bc04d73a9d423acaf11dd9b" style="ACTLinkURL">
                        <ital>Model Articles</ital>
                      </link>
                       broadened the manner in which directors may take decisions beyond the two methods (meeting or written resolution) provided by Table A (regulations 88 and 93, Table A), to take account of modern ways of communicating. 
                      <link anchor="co_anchor_a167806"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4.2</ital>
                      </link>
                       duplicates model article 8(1) which permits decisions to be made outside board meetings, provided such decisions are passed by unanimity of the eligible directors. The use of the words "any means" in 
                      <link anchor="co_anchor_a167806"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4.2</ital>
                      </link>
                       suggests that decisions may be taken, for example, by text message, provided that a particular director's decision is notified to each other eligible director.
                    </paratext>
                  </para>
                  <para>
                    <paratext>
                      If the parties do not wish the means of the directors taking decisions to be as broad as this, the standard document will need to be amended to specify, for example, the use only of written resolutions as an alternative to directors' meetings. Article 7, article 17 and article 18 for public companies (Schedule 3 to the 
                      <link href="https://uk.practicallaw.thomsonreuters.com/6-505-5094?originationContext=document&amp;amp;transitionType=PLDocumentLink&amp;amp;contextData=(sc.Default)&amp;amp;ppcid=60afe8505bc04d73a9d423acaf11dd9b" style="ACTLinkURL">
                        <ital>Companies (Model Articles) Regulations 2008</ital>
                      </link>
                       (
                      <ital>SI 2008/3229</ital>
                      )) provide language which may be adapted for this purpose.
                    </paratext>
                  </para>
                  <para>
                    <paratext>
                      A decision is passed unanimously when passed by all eligible directors (see the definition of 
                      <link anchor="co_anchor_a517407"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Eligible Director</ital>
                      </link>
                       and 
                      <link anchor="co_anchor_a225541"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Drafting note, Definition: Eligible Directors</ital>
                      </link>
                      ). 
                      <link href="https://uk.practicallaw.thomsonreuters.com/0-505-5167?originationContext=document&amp;amp;transitionType=PLDocumentLink&amp;amp;contextData=(sc.Default)&amp;amp;ppcid=60afe8505bc04d73a9d423acaf11dd9b" style="ACTLinkURL">
                        <ital>Section 175(6)</ital>
                      </link>
                       of the CA 2006 provides that a resolution to authorise a director's conflict will be ineffective unless the meeting is quorate without counting the conflicted director and that the authorising resolution would be passed without the conflicted director's voting, or without their vote being counted. It is arguable that this means that the conflicted director is entitled to vote on the resolution to authorise the conflict, but that their vote must not be counted. In that case, a conflicted director would not be excluded from the definition of an 'eligible director' within its meaning in 
                      <link href="https://uk.practicallaw.thomsonreuters.com/6-505-5094?originationContext=document&amp;amp;transitionType=PLDocumentLink&amp;amp;contextData=(sc.Default)&amp;amp;ppcid=60afe8505bc04d73a9d423acaf11dd9b" style="ACTLinkURL">
                        <ital>model article 8(3)</ital>
                      </link>
                       (as they are, technically, entitled to vote).
                    </paratext>
                  </para>
                  <para>
                    <paratext>
                      The definition of 
                      <link anchor="co_anchor_a517407"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Eligible Director</ital>
                      </link>
                       (extending (and excluding) the definition contained in 
                      <link href="https://uk.practicallaw.thomsonreuters.com/6-505-5094?originationContext=document&amp;amp;transitionType=PLDocumentLink&amp;amp;contextData=(sc.Default)&amp;amp;ppcid=60afe8505bc04d73a9d423acaf11dd9b" style="ACTLinkURL">
                        <ital>model article 8(3)</ital>
                      </link>
                      ) is intended to remove any risk of challenge to the validity of a unanimous decision not passed by any conflicted directors (so that only non-conflicted directors are required to pass an effective unanimous resolution).
                    </paratext>
                  </para>
                  <para>
                    <paratext>
                      There is no requirement, under the 
                      <link href="https://uk.practicallaw.thomsonreuters.com/6-505-5094?originationContext=document&amp;amp;transitionType=PLDocumentLink&amp;amp;contextData=(sc.Default)&amp;amp;ppcid=60afe8505bc04d73a9d423acaf11dd9b" style="ACTLinkURL">
                        <ital>Model Articles</ital>
                      </link>
                      , for notice of proposed unanimous decisions of directors to be given in writing. However, 
                      <link anchor="co_anchor_a463370" href="https://uk.practicallaw.thomsonreuters.com/Document/I64dd8fe1e1a211e398db8b09b4f043e0/View/FullText.html?navigationPath=Search%2Fv1%2Fresults%2Fnavigation%2Fi0ad604ab0000017c1761b615dc9af1d5%3Fppcid%3D53c80ade99cb43678211c0febe901c34%26Nav%3DKNOWHOW_TOPIC_UK%26fragmentIdentifier%3DI64dd8fe1e1a211e398db8b09b4f043e0%26parentRank%3D0%26startIndex%3D1%26contextData%3D%2528sc.Default%2529%26transitionType%3DSearchItem&amp;amp;listSource=Search&amp;amp;listPageSource=94f4699de93f353ea2f2bf3d22ee1ffc&amp;amp;list=KNOWHOW_TOPIC_UK&amp;amp;rank=1&amp;amp;sessionScopeId=001a2bceb1c5460d4fc37042ab937b391965b454ae2ba440f776b21888900bbd&amp;amp;ppcid=53c80ade99cb43678211c0febe901c34&amp;amp;originationContext=Search%20Result&amp;amp;transitionType=SearchItem&amp;amp;contextData=(sc.Default)&amp;amp;comp=pluk" style="ACTLinkURL">
                        <ital>Article 4.10</ital>
                      </link>
                       requires records of unanimous decisions taken by electronic means to be kept in permanent form
                    </paratext>
                  </para>
                </division>
              </drafting.note>
            </subclause1>
            <subclause1 id="a573139">
              <identifier>4.3</identifier>
              <para>
                <paratext>
                  A decision taken in accordance with 
                  <internal.reference refid="a167806">article 4.2</internal.reference>
                   may take the form of a resolution in writing, where each Eligible Director has signed one or more copies of it, or to which each Eligible Director has otherwise indicated agreement in writing.
                </paratext>
              </para>
              <drafting.note id="a896672" jurisdiction="">
                <head align="left" preservecase="true">
                  <headtext>Directors' written resolutions</headtext>
                </head>
                <division id="a000032" level="1">
                  <para>
                    <paratext>
                      The drafting of the provision on written resolutions in model article 8(2) is unsatisfactory as it is not clear whether, in the case of there being multiple copies, each has to be signed by every director. The amendments to that model article made by 
                      <internal.reference refid="a573139">article 4.3</internal.reference>
                       reflect the wording of article 18(1) of the model articles for public companies (Schedule 3 to the 
                      <link href="6-505-5094" style="ACTLinkPLCtoPLC">
                        <ital>Companies (Model Articles) Regulations 2008</ital>
                      </link>
                       (
                      <ital>SI 2008/3229</ital>
                      )).
                    </paratext>
                  </para>
                </division>
              </drafting.note>
            </subclause1>
            <subclause1 id="a947466">
              <identifier>4.4</identifier>
              <para>
                <paratext>
                  A decision may not be taken in accordance with 
                  <internal.reference refid="a167806">article 4.2</internal.reference>
                   if the Eligible Directors would not have formed a quorum at a Directors' meeting to vote on the matter in accordance with 
                  <internal.reference refid="a873305">article 4.7</internal.reference>
                   and 
                  <internal.reference refid="a86827">article 4.8</internal.reference>
                  .
                </paratext>
              </para>
            </subclause1>
            <subclause1 condition="optional" id="a612908">
              <identifier>4.5</identifier>
              <para>
                <paratext>Model articles 5(1) to (3) (inclusive) and 6(2) shall be modified by the insertion of the words "(acting with Investor Consent)" following each reference to "the directors" in such model articles.</paratext>
              </para>
              <drafting.note id="a630929" jurisdiction="">
                <head align="left" preservecase="true">
                  <headtext>Limit of directors' discretion</headtext>
                </head>
                <division id="a000033" level="1">
                  <para>
                    <paratext>
                      Although an investor will have appointed a director to the board, such investor director will (unless granted weighted voting rights) only hold one vote at board meetings. 
                      <link href="6-505-5094" style="ACTLinkPLCtoPLC">
                        <ital>Model articles 5(1) to (3)</ital>
                      </link>
                       permit the directors to delegate any of their authority to any person they see fit (and to revoke such delegation). Model article 6(2) allows the directors to overrule the Articles and create rules of procedure for committee meetings. For more, see 
                      <link href="8-384-4772" style="ACTLinkPLCtoPLC">
                        <ital>Practice note, Model articles: private companies limited by shares: Companies Act 2006</ital>
                      </link>
                      . It is likely that an investor will seek to restrict the exercise of this discretion afforded to the directors, without its consent first being obtained. 
                      <internal.reference refid="a574254">article 4.1</internal.reference>
                       provides such restriction, although such restriction might also be set out in the investment agreement.
                    </paratext>
                  </para>
                </division>
              </drafting.note>
            </subclause1>
            <subclause1 id="a349920">
              <identifier>4.6</identifier>
              <para>
                <paratext>Meetings of the Directors shall take place at least [NUMBER] times in each year, with a period of not more than [NUMBER] weeks between any two meetings. Any Director may call a meeting of the Directors [, or authorise the company secretary (if any) to give such notice]. At least [NUMBER] Business Days' advance notice [in writing] of each such meeting shall be given to each Director (except with the prior consent [in writing] of an Investor Director, when meetings of the Directors may take place less frequently or on shorter notice).</paratext>
              </para>
              <drafting.note id="a826429" jurisdiction="">
                <head align="left" preservecase="true">
                  <headtext>Calling directors' meetings</headtext>
                </head>
                <division id="a000034" level="1">
                  <para>
                    <paratext>
                      Neither the 
                      <link href="3-503-8567" style="ACTLinkPLCtoPLC">
                        <ital>CA 2006</ital>
                      </link>
                       nor the 
                      <link href="6-505-5094" style="ACTLinkPLCtoPLC">
                        <ital>Model Articles</ital>
                      </link>
                       specify the frequency with which board meetings must be held. 
                      <internal.reference refid="a349920">article 4.6</internal.reference>
                       provides for a minimum number of meetings to be held each year, at regular intervals. Although the investment agreement will usually set out the periodic information which an investor is entitled to receive (for example, management accounts), an investor will usually want regular board meetings to be held to allow its non-executive investor director to keep up to date with the company's operations and to contribute to discussions on matters of strategic or operational importance.
                    </paratext>
                  </para>
                  <para>
                    <paratext>
                      <internal.reference refid="a349920">article 4.6</internal.reference>
                       requires a minimum period of notice to be given of each meeting. Notice must be given to all directors, whether within or outside the United Kingdom. An investor will not want board meetings to be called on short notice, at a time when its investor director is not able to attend. Also, as the directors have a statutory duty to promote the best interests of the company (
                      <link href="5-505-5377" style="ACTLinkPLCtoPLC">
                        <ital>section 172</ital>
                      </link>
                      <ital>, CA 2006</ital>
                      ), it may not be appropriate for decisions to be proposed before sufficient background information has been produced (for example, by way of board papers) to enable a director to make an informed decision.
                    </paratext>
                  </para>
                  <para>
                    <paratext>
                      At the same time, there may be circumstances in which urgent consideration of a particular matter is required at board level. Given the lack of a notice requirement for directors' unanimous decisions under 
                      <internal.reference refid="a167806">article 4.2</internal.reference>
                      , it could be seen as anomalous for the directors to be able to take immediate decisions by email, but not by face to face meeting. 
                      <internal.reference refid="a349920">article 4.6</internal.reference>
                       therefore allows meetings to be called on short notice, provided the investor director consents. In any event, in these Articles, no board meeting (except one in relation to which the investor director is not an eligible director) can be quorate without their attendance. Were that not to be the case, the inclusion of 
                      <internal.reference refid="a349920">article 4.6</internal.reference>
                       would take on greater importance to ensure that the investor director has every opportunity to attend board meetings. 
                      <link href="6-505-5094" style="ACTLinkPLCtoPLC">
                        <ital>Model article 10</ital>
                      </link>
                       allows remote participation in directors' meetings, subject only to the requirements of that model article and so physical attendance by the investor director will not be required.
                    </paratext>
                  </para>
                  <para>
                    <paratext>
                      Including a requirement that notice of directors' meetings be given in writing may formalise the calling of meetings, although such an article would dilute much of the flexibility which the Model Articles are designed to afford. It seems unlikely, then, that many investors will require inclusion of the words "in writing". However, if written notice of board meetings is required, it may be appropriate to include further requirements of such notice (for example, see 
                      <link anchor="a775041" href="6-386-2465" style="ACTLinkPLCtoPLC">
                        <ital>Standard document, Articles of association: joint venture deadlock company: articles 6.2 and 6.3</ital>
                      </link>
                      ).
                    </paratext>
                  </para>
                  <para>
                    <paratext>
                      Any director may call a board meeting (or authorise the secretary, if any, to do so). Despite the exclusion of 
                      <link href="6-505-5094" style="ACTLinkPLCtoPLC">
                        <ital>model articles 9(1)</ital>
                      </link>
                       and 9(3) (see 
                      <internal.reference refid="a852328">article 2.2</internal.reference>
                      ), model article 9(2) will apply and sets out the minimum content requirements for such notice (whether given in writing or otherwise). If any observer has been appointed, such observer will also be entitled to receive notice of all board (and committee) meetings, as if they were a director (see 
                      <internal.reference refid="a196337">article 6.4</internal.reference>
                      ).
                    </paratext>
                  </para>
                </division>
              </drafting.note>
            </subclause1>
            <subclause1 id="a873305">
              <identifier>4.7</identifier>
              <para>
                <paratext>The quorum for any meeting (or, where specified below, part of a meeting) of the Directors shall be two Eligible Directors, which must include the Investor Director in office for the time being, unless:</paratext>
              </para>
              <subclause2 id="a303150">
                <identifier>(a)</identifier>
                <para>
                  <paratext>there is no Investor Director in office for the time being; or</paratext>
                </para>
              </subclause2>
              <subclause2 id="a544775">
                <identifier>(b)</identifier>
                <para>
                  <paratext>such Investor Director has, in respect of any particular meeting (or part of a meeting), otherwise agreed [in writing] ahead of such meeting; or</paratext>
                </para>
              </subclause2>
              <subclause2 id="a819898">
                <identifier>(c)</identifier>
                <para>
                  <paratext>such Investor Director is not, in respect of any particular meeting (or part of a meeting), an Eligible Director.</paratext>
                </para>
              </subclause2>
              <para>
                <paratext>
                  in which case, subject to 
                  <internal.reference refid="a86827">article 4.8</internal.reference>
                  , the quorum for such meeting (or part of the meeting, as the case may be) shall be any two Eligible Directors. If the necessary quorum is not present within 30 minutes from the time appointed for the meeting, or if, during a meeting, such quorum ceases to be present, the meeting shall stand adjourned to such time and place as the [Chair 
                  <bold>OR</bold>
                   Directors] determine. [If a quorum is not present at any such adjourned meeting within 30 minutes from the time appointed, then the meeting shall proceed.]
                </paratext>
              </para>
              <drafting.note id="a216686" jurisdiction="">
                <head align="left" preservecase="true">
                  <headtext>Quorum for directors' meetings</headtext>
                </head>
                <division id="a000035" level="1">
                  <para>
                    <paratext>
                      An investor will usually insist that their appointee to the board be present at every board meeting, to allow such director to monitor board discussions and decisions. However, in certain cases, a director will not be entitled to count towards the quorum and so, without the carve out of 
                      <internal.reference refid="a819898">article 4.7(c)</internal.reference>
                      , there would be risk of the board not being able to transact business.
                    </paratext>
                  </para>
                  <para>
                    <paratext>
                      For example, 
                      <link href="0-505-5167" style="ACTLinkPLCtoPLC">
                        <ital>section 175(6)(a)</ital>
                      </link>
                       of the CA 2006 provides that a resolution to authorise a director's situational conflict will be invalid if the relevant meeting would not have been quorate had the conflicted director not attended. As such, it will be important to ensure that any quorum provision set out in the Articles makes adequate provision to ensure that a directors' meeting may be quorate without a conflicted investor director.
                    </paratext>
                  </para>
                  <para>
                    <paratext>
                      If the independent directors, when authorising an investor director's conflict of interest under 
                      <internal.reference refid="a1004072">article 8</internal.reference>
                      , attach particular conditions to such authorisation (see 
                      <internal.reference refid="a865667">article 8.3</internal.reference>
                      ), for example that the investor director in question is not permitted to attend and vote on matters connected with their conflict, or their vote should not be counted on any decision related to the matter connected with their conflict, they would not constitute an eligible director for these purposes and the quorum for that part of the meeting would, under 
                      <internal.reference refid="a873305">article 4.7</internal.reference>
                      , be any two eligible directors.
                    </paratext>
                  </para>
                  <para>
                    <paratext>If there is more than one investor, each of whom has the right to appoint an investor director, consider whether the quorum should require the attendance of each of them, or whether one (or other number) will suffice. The greater the number of directors whose attendance is required before business can be transacted, the greater the risk of not convening a quorate board meeting on any given occasion.</paratext>
                  </para>
                  <para>
                    <paratext>The final words in square brackets allows adjourned meetings to be held where the investor director is not present within 30 minutes of the start of the meeting. Consideration should be given to the need to balance the company's ability to transact business in the absence of the investor director and the investor's desire for the investor director to attend all meetings. This will be a matter for negotiation between the parties.</paratext>
                  </para>
                </division>
              </drafting.note>
            </subclause1>
            <subclause1 id="a86827">
              <identifier>4.8</identifier>
              <para>
                <paratext>
                  For the purposes of any meeting (or part of a meeting) held pursuant to 
                  <internal.reference refid="a1004072">article 8</internal.reference>
                   to authorise a Conflict (as defined in 
                  <internal.reference refid="a442007">article 8.1</internal.reference>
                  ), if there is only one Eligible Director in office other than the conflicted Director(s), the quorum for such meeting (or part of a meeting) shall be one Eligible Director.
                </paratext>
              </para>
              <drafting.note id="a578987" jurisdiction="">
                <head align="left" preservecase="true">
                  <headtext>Quorum for authorisation of directors' conflicts</headtext>
                </head>
                <division id="a000036" level="1">
                  <para>
                    <paratext>
                      <link href="0-505-5167" style="ACTLinkPLCtoPLC">
                        <ital>Section 175(6)(a)</ital>
                      </link>
                       of the CA 2006 provides that a resolution to authorise a director's situational conflict will be invalid if the relevant meeting would not have been quorate had the conflicted director not attended. As such, it will be important to ensure that any quorum provision set out in a company's articles makes adequate provision to ensure that a directors' meeting may be quorate without the conflicted director(s).
                    </paratext>
                  </para>
                </division>
              </drafting.note>
            </subclause1>
            <subclause1 id="a158054">
              <identifier>4.9</identifier>
              <para>
                <paratext>If the number of Directors in office for the time being is less than [two], the Director[s] in office must not take any decision other than a decision to:</paratext>
              </para>
              <subclause2 id="a866771">
                <identifier>(a)</identifier>
                <para>
                  <paratext>appoint further Directors; or</paratext>
                </para>
              </subclause2>
              <subclause2 id="a264254">
                <identifier>(b)</identifier>
                <para>
                  <paratext>call a general meeting so as to enable the Shareholders to appoint further Directors.</paratext>
                </para>
                <drafting.note id="a1055492" jurisdiction="">
                  <head align="left" preservecase="true">
                    <headtext>Insufficient directors to form a quorum</headtext>
                  </head>
                  <division id="a000037" level="1">
                    <para>
                      <paratext>
                        <link href="6-505-5094" style="ACTLinkPLCtoPLC">
                          <ital>Model article 7(2)</ital>
                        </link>
                        , which permits a sole director to transact business, will not apply to these Articles, as they specify a minimum requirement of two directors to hold office at all times (see 
                        <internal.reference refid="a918621">article 3</internal.reference>
                        ).
                      </paratext>
                    </para>
                    <para>
                      <paratext>
                        <internal.reference refid="a158054">Article 4.9</internal.reference>
                         replaces 
                        <link href="6-505-5094" style="ACTLinkPLCtoPLC">
                          <ital>model article 11(3)</ital>
                        </link>
                         which provides that if the directors in office cannot form a quorum, the extent to which the remaining directors can transact business is limited to the appointment of further directors (whether at board or shareholder level). However, in these Articles:
                      </paratext>
                    </para>
                    <list type="bulleted">
                      <list.item>
                        <para>
                          <paratext>
                            If an investor director is the sole director in office, they may form a quorum for directors' meetings on their own (see 
                            <internal.reference refid="a873305">article 4.7</internal.reference>
                            ), but would not satisfy the minimum director requirement of 
                            <internal.reference refid="a918621">article 3</internal.reference>
                            .
                          </paratext>
                        </para>
                      </list.item>
                      <list.item>
                        <para>
                          <paratext>
                            If no investor director is in office, the quorum is any two eligible directors, or one eligible director in the circumstances set out in 
                            <internal.reference refid="a86827">article 4.8</internal.reference>
                            . However, there must still always be two directors in office.
                          </paratext>
                        </para>
                      </list.item>
                    </list>
                    <para>
                      <paratext>
                        As a result, it would be inappropriate in these Articles to use the wording of 
                        <link href="6-505-5094" style="ACTLinkPLCtoPLC">
                          <ital>model article 11(3)</ital>
                        </link>
                         ("If the total number of directors for the time being is less than the quorum required..."). 
                        <internal.reference refid="a158054">article 4.9</internal.reference>
                         omits reference to the quorum requirement and refers instead to the situation where the number of directors in office is less than the number specified in 
                        <internal.reference refid="a918621">article 3</internal.reference>
                        . In that case:
                      </paratext>
                    </para>
                    <list type="bulleted">
                      <list.item>
                        <para>
                          <paratext>
                            A sole director may (subject to investor consent under 
                            <internal.reference refid="a779152">article 13.2(j)</internal.reference>
                            ), appoint another director (or call a general meeting for the shareholders to do so).
                          </paratext>
                        </para>
                      </list.item>
                      <list.item>
                        <para>
                          <paratext>
                            Where the sole director is not an investor director, the investor may appoint an investor director under 
                            <internal.reference refid="a907940">article 6.1</internal.reference>
                            .
                          </paratext>
                        </para>
                      </list.item>
                    </list>
                  </division>
                </drafting.note>
              </subclause2>
            </subclause1>
            <subclause1 id="a463370">
              <identifier>4.10</identifier>
              <para>
                <paratext>Questions arising at any meeting of the Directors shall be decided by a majority of votes. If there is an equality of votes, the Chair (or other chair of the meeting) shall [not] have a second or casting vote [unless, in respect of a particular meeting (or part of a meeting), in accordance with the Articles, the Chair (or other chair of the meeting) is not an Eligible Director for the purposes of that meeting (or part of a meeting)].</paratext>
              </para>
              <drafting.note id="a437900" jurisdiction="">
                <head align="left" preservecase="true">
                  <headtext>Casting vote</headtext>
                </head>
                <division id="a000038" level="1">
                  <para>
                    <paratext>
                      <link href="6-505-5094" style="ACTLinkPLCtoPLC">
                        <ital>Model article 13</ital>
                      </link>
                       (excluded by 
                      <internal.reference refid="a852328">article 2.2</internal.reference>
                      ) provides that, if the numbers of votes for and against a proposal are equal, the chair or other director chairing a directors' meeting has a casting vote. 
                      <internal.reference refid="a971415">article 13.2</internal.reference>
                       clarifies that such casting vote will not apply if the chair is not entitled to form part of the quorum or is not entitled to vote at the meeting (for example in relation to the authorisation of a conflict of interest under 
                      <link href="0-505-5167" style="ACTLinkPLCtoPLC">
                        <ital>section 175</ital>
                      </link>
                       of the CA 2006) (
                      <link href="6-505-5094" style="ACTLinkPLCtoPLC">
                        <ital>model article 14(1)</ital>
                      </link>
                      ). 
                      <internal.reference refid="a463370">article 4.10</internal.reference>
                       provides alternative wording to exclude that casting vote. If the chair is to have a casting vote, the words in square brackets at the end of 
                      <internal.reference refid="a463370">article 4.10</internal.reference>
                       should be included. For more on eligible directors, see 
                      <internal.reference refid="a225541">Drafting note, Definition: Eligible Directors</internal.reference>
                      .
                    </paratext>
                  </para>
                  <para>
                    <paratext>
                      References in 
                      <internal.reference refid="a463370">article 4.10</internal.reference>
                       to a 'chair of the meeting' allow for the possibility that there is no formal chair in office at the time, or is unable to attend a particular meeting (see 
                      <internal.reference refid="a798536">article 6.6</internal.reference>
                      ).
                    </paratext>
                  </para>
                </division>
              </drafting.note>
            </subclause1>
            <subclause1 id="a694601">
              <identifier>4.11</identifier>
              <para>
                <paratext>Where decisions of the Directors are taken by electronic means, such decisions shall be recorded by the Directors in permanent form, so that they may be read with the naked eye.</paratext>
              </para>
              <drafting.note id="a466248" jurisdiction="">
                <head align="left" preservecase="true">
                  <headtext>Records of decisions to be kept</headtext>
                </head>
                <division id="a000039" level="1">
                  <para>
                    <paratext>
                      <link href="https://uk.practicallaw.thomsonreuters.com/Document/I5C14C6A08B3311DBA1DB80994EEB92DE/View/FullText.html?comp=pluk&amp;amp;transitionType=Default&amp;amp;contextData=(sc.Default)" style="ACTLinkURL">
                        <ital>Section 248</ital>
                      </link>
                       of the CA 2006 requires companies to retain records of the minutes of all directors' meetings for ten years from the date of each meeting. 
                      <link href="6-505-5094" style="ACTLinkPLCtoPLC">
                        <ital>Model article 15</ital>
                      </link>
                       extends this requirement to every decision of the directors, whether or not taken at a meeting. Given the breadth of the manner in which the Model Articles permit decisions to be taken (see 
                      <internal.reference refid="a468072">Drafting note, Decisions of directors other than at meetings</internal.reference>
                      ), it is quite possible for directors to take unanimous decisions through a medium that does not lend itself to permanent record (for example, text messages).
                    </paratext>
                  </para>
                  <para>
                    <paratext>
                      The obligation is to record decisions in 'writing' which, under the definition of "writing" in model article 1, means it can be recorded in visible form by any method (or combination of methods), including in electronic form. While the definition of 'writing' is likely to include a text message, 
                      <internal.reference refid="a694601">article 4.11</internal.reference>
                       is intended to provide a means to record such a message in permanent form (although 
                      <internal.reference refid="a573139">article 4.3</internal.reference>
                       will, in any event, require some evidence of a directors' assent to the stated decision).
                    </paratext>
                  </para>
                </division>
              </drafting.note>
            </subclause1>
            <subclause1 condition="optional" id="a527458">
              <identifier>4.12</identifier>
              <para>
                <paratext>The Directors (acting with Investor Consent) may make any rule which they think fit about how they take decisions and about how such rules are to be recorded or communicated to Directors.</paratext>
              </para>
              <drafting.note id="a361709" jurisdiction="">
                <head align="left" preservecase="true">
                  <headtext>Rules of procedure</headtext>
                </head>
                <division id="a000040" level="1">
                  <para>
                    <paratext>
                      <internal.reference refid="a527458">article 4.12</internal.reference>
                       restricts the power of the directors, in 
                      <link href="6-505-5094" style="ACTLinkPLCtoPLC">
                        <ital>model article 16</ital>
                      </link>
                      , to make rules of procedure as they think fit by requiring prior investor consent to any such decision. An investor will rely on its investor director to be aware of all company matters relevant to the investor and so is likely to insist on being involved in any decision which may affect the way in which such an investor director receives information. Management may seek to resist the inclusion of this restriction, on the basis that it may impinge too heavily on the day to day operation of the board of directors (in which case 
                      <internal.reference refid="a527458">article 4.12</internal.reference>
                       should be omitted and model article 16 reinstated).
                    </paratext>
                  </para>
                </division>
              </drafting.note>
            </subclause1>
          </clause>
          <clause id="a606272">
            <identifier>5.</identifier>
            <head align="left" preservecase="true">
              <headtext>Appointment and removal of directors</headtext>
            </head>
            <subclause1 condition="optional" id="a104250">
              <identifier>5.1</identifier>
              <para>
                <paratext>
                  Model article 17(1) shall be modified by the inclusion, at the end of that model article, of the words "provided that the appointment does not cause the number of Directors to exceed the maximum number set out in 
                  <internal.reference refid="a698359">Unless otherwise determined by ordinary resolution, the number of Directors shall [not exceed [NUMBER] but shall] not be less than [two].</internal.reference>
                   of these Articles".
                </paratext>
              </para>
              <drafting.note id="a252327" jurisdiction="">
                <head align="left" preservecase="true">
                  <headtext>Appointment of directors</headtext>
                </head>
                <division id="a000041" level="1">
                  <para>
                    <paratext>
                      <link href="6-505-5094" style="ACTLinkPLCtoPLC">
                        <ital>Model article 17(1)</ital>
                      </link>
                       allows the appointment of directors either by ordinary resolution or a decision of the directors. If 
                      <internal.reference refid="a918621">article 3</internal.reference>
                       imposes a cap on the number of directors which may hold office at any one time, 
                      <internal.reference refid="a104250">article 5.1</internal.reference>
                       (which extends the wording of model article 17(1)) should be included, to avoid any conflict with the power under model article 17(1). If no maximum number of directors is specified in 
                      <internal.reference refid="a918621">article 3</internal.reference>
                      , 
                      <internal.reference refid="a104250">article 5.1</internal.reference>
                       should be omitted.
                    </paratext>
                  </para>
                  <para>
                    <paratext>
                      If no minimum number of directors is specified, a sole director will have complete freedom to act, under the provisions of 
                      <link href="6-505-5094" style="ACTLinkPLCtoPLC">
                        <ital>model article 7(2)</ital>
                      </link>
                      .
                    </paratext>
                  </para>
                  <para>
                    <paratext>
                      The power of the directors or shareholders to appoint further directors is likely to be subject to the prior consent of the investor to such appointment (see 
                      <internal.reference refid="a779152">article 13.2(j)</internal.reference>
                      ).
                    </paratext>
                  </para>
                </division>
              </drafting.note>
            </subclause1>
            <subclause1 condition="optional" id="a875896">
              <identifier>5.2</identifier>
              <para>
                <paratext>Model article 18 shall be modified by the addition of the following events upon the occurrence of which a person shall cease to be a Director:</paratext>
              </para>
              <subclause2 id="a826535">
                <identifier>(a)</identifier>
                <para>
                  <paratext>they are convicted of a criminal offence (other than a minor motoring offence) and a majority of the other Directors resolve that they cease to be a Director;</paratext>
                </para>
              </subclause2>
              <subclause2 id="a709040">
                <identifier>(b)</identifier>
                <para>
                  <paratext>save in the case of an Investor Director, a majority of the other Directors resolve that they cease to be a Director; and</paratext>
                </para>
              </subclause2>
              <subclause2 id="a61525">
                <identifier>(c)</identifier>
                <para>
                  <paratext>in the case of an executive Director only, they shall cease to be employed by the Company or other Group Company (as appropriate) and does not continue as an employee of any other Group Company.</paratext>
                </para>
              </subclause2>
            </subclause1>
          </clause>
          <clause id="a93569">
            <identifier>6.</identifier>
            <head align="left" preservecase="true">
              <headtext>Investor director, Chair and observer</headtext>
            </head>
            <subclause1 id="a907940">
              <identifier>6.1</identifier>
              <para>
                <paratext>
                  An Investor Majority shall have the right [, for so long as the Investors hold at least [PERCENTAGE]% by nominal value of the Equity Shares in issue for the time being, 
                  <bold>OR</bold>
                   for so long as the Investors hold Equity Shares] to appoint from time to time, by notice in writing addressed to the Company, and to maintain in office, one person as a Director (an 
                  <defn.term>Investor Director</defn.term>
                  ) and to remove any such Investor Director and, whether such an Investor Director is removed by and Investor Majority or otherwise, to appoint a replacement.
                </paratext>
              </para>
              <drafting.note id="a585295" jurisdiction="">
                <head align="left" preservecase="true">
                  <headtext>Investor directors</headtext>
                </head>
                <division id="a000042" level="1">
                  <para>
                    <paratext>
                      It is common for each investor group to have the right to appoint their own director to the board of the investee company. Despite being selected to sit on the board as an investor's representative, such an investor director must comply with all the general duties of directors, including the duty to act in the way they consider to be most likely to promote the success of the company (
                      <link href="5-505-5377" style="ACTLinkPLCtoPLC">
                        <ital>section 172</ital>
                      </link>
                      <ital>, CA 2006</ital>
                      ). For more on directors' duties under the 
                      <link href="3-503-8567" style="ACTLinkPLCtoPLC">
                        <ital>CA 2006</ital>
                      </link>
                      , see 
                      <link href="2-203-1391" style="ACTLinkPLCtoPLC">
                        <ital>Practice note, Directors' duties: Companies Act 2006</ital>
                      </link>
                      .
                    </paratext>
                  </para>
                  <para>
                    <paratext>The standard document assumes that there is only one venture capital house invested. However, as such house may invest through a number of managed funds, the right to appoint an investor director is vested in an investor majority. If more than one venture capital house holds shares in the company, it is likely that each house will seek a separate right to appoint an investor director.</paratext>
                  </para>
                  <para>
                    <paratext>The alternative wording in square brackets provides the option for such appointment right to fall away if the investor's shareholding drops below a certain level (to be agreed between the parties).</paratext>
                  </para>
                </division>
              </drafting.note>
            </subclause1>
            <subclause1 id="a730403">
              <identifier>6.2</identifier>
              <para>
                <paratext>
                  Any appointment or removal of an Investor Director made in accordance with 
                  <internal.reference refid="a907940">article 6.1</internal.reference>
                   shall take immediate effect upon receipt (or deemed receipt) by the Company of such notice in writing, or the production of such notice at a meeting of the Directors or, if later, the date (if any) specified in such notice.
                </paratext>
              </para>
              <drafting.note id="a854919" jurisdiction="">
                <head align="left" preservecase="true">
                  <headtext>Appointment of an Investor Director</headtext>
                </head>
                <division id="a000043" level="1">
                  <para>
                    <paratext>Appointment of an investor director will lie within the exclusive control of their appointor(s). Such an appointment will not rely on any shareholder or director approval, but will occur on service of a notice of appointment on the company. Companies House will still require the filing of Form AP01 in respect of any investor director, which must be countersigned by each of the incoming investor director and the company to whose board they are appointed.</paratext>
                  </para>
                  <para>
                    <paratext>
                      <internal.reference refid="a779152">article 13.2(j)</internal.reference>
                       provides that no director may be appointed or removed without investor consent, save for the appointment or removal of an investor director made in accordance with 
                      <internal.reference refid="a93569">article 6</internal.reference>
                      . The words "save as provided by law" carve out the ability of the company to remove a director by ordinary resolution under 
                      <link href="8-505-8379" style="ACTLinkPLCtoPLC">
                        <ital>section 168</ital>
                      </link>
                       of the CA 2006. To exclude that power of the shareholders would constitute an unlawful fetter on the company's statutory powers and so be unenforceable against the company (
                      <link href="D-000-5174" style="ACTLinkURL">
                        <ital>Russell v Northern Bank Development Corp Ltd [1992] 3 All E.R. 161</ital>
                      </link>
                      ). However, there is nothing to prevent a company's articles including an additional removal process, such as the automatic removal of an investor director under 
                      <internal.reference refid="a93569">article 6</internal.reference>
                       (which, unlike section 168 of the CA 2006, does not require special notice).
                    </paratext>
                  </para>
                  <para>
                    <paratext>
                      In the event that an investor director is removed by the shareholders under 
                      <link href="8-505-8379" style="ACTLinkPLCtoPLC">
                        <ital>section 168</ital>
                      </link>
                       of the CA 2006, the appointing investor will be able to immediately appoint another person in their place under 
                      <internal.reference refid="a907940">article 6.1</internal.reference>
                      . It is also possible in theory for that investor to re-appoint the person just removed by ordinary resolution. That investor, as a shareholder, is under no duty to act in the best interests of the company in selecting its appointee. However, aside any unwarranted removal by the shareholders, such re-appointment may not make commercial sense if the shareholders had reason to remove that person in the first place.
                    </paratext>
                  </para>
                </division>
              </drafting.note>
            </subclause1>
            <subclause1 id="a997436">
              <identifier>6.3</identifier>
              <para>
                <paratext>An Investor Director shall be entitled to be appointed to any committee of the Directors established from time to time. On the receipt of the request in writing of their appointor(s), the Company shall procure that an Investor Director shall be appointed as a director of any other Group Company, to the extent specified in such request (but such Investor Director shall not be entitled to any additional fee).</paratext>
              </para>
              <drafting.note id="a247417" jurisdiction="">
                <head align="left" preservecase="true">
                  <headtext>Committees</headtext>
                </head>
                <division id="a000044" level="1">
                  <para>
                    <paratext>
                      <link href="6-505-5094" style="ACTLinkPLCtoPLC">
                        <ital>Model article 6</ital>
                      </link>
                       (incorporated into these Articles) provides that the provisions of these Articles which relate to director meetings will also apply to meetings of committees of the directors. Consideration should therefore be given to whether such provisions, for example in relation to the quorum of such meetings will also be appropriate for committees. In particular, it would be common to provide that, in addition to requiring the attendance of an investor director:
                    </paratext>
                  </para>
                  <list type="bulleted">
                    <list.item>
                      <para>
                        <paratext>Any audit committee would not be quorate without the attendance of the financial director and/or the Chair of the relevant company.</paratext>
                      </para>
                    </list.item>
                    <list.item>
                      <para>
                        <paratext>Any remuneration committee would not be quorate without the attendance of the chief executive officer of the relevant company.</paratext>
                      </para>
                    </list.item>
                  </list>
                  <para>
                    <paratext>
                      Note 
                      <link href="6-505-5094" style="ACTLinkPLCtoPLC">
                        <ital>model article 6(2)</ital>
                      </link>
                       which provides that the directors may vary the rules of procedure for committees, regardless of any provisions of the Articles. Any investor should consider whether they are prepared to accept their lack of control of any such variation, assuming the appointed investor directors do not form a majority of the directors on the board.
                    </paratext>
                  </para>
                </division>
              </drafting.note>
            </subclause1>
            <subclause1 id="a196337">
              <identifier>6.4</identifier>
              <para>
                <paratext>
                  An Investor Majority shall from time to time have the right to nominate one person to be an observer, who shall be entitled to receive notice of all meetings of [Directors (and committees of the Directors) 
                  <bold>OR</bold>
                   directors (and committees of the directors) of each Group Company] and copies of all board papers as if they were a [Director 
                  <bold>OR</bold>
                   director of each such Group Company] and to attend, propose resolutions and speak at, but not vote at, any meeting of the [Directors (and committees of the Directors) 
                  <bold>OR</bold>
                   directors (and committees of the directors) of each Group Company].
                </paratext>
              </para>
              <drafting.note id="a688063" jurisdiction="">
                <head align="left" preservecase="true">
                  <headtext>Observer</headtext>
                </head>
                <division id="a000045" level="1">
                  <para>
                    <paratext>
                      An observer will not, on the face of it, be a director of the company. An observer will have the right to attend, but not to vote at, board meetings (and board committee meetings). Care should be exercised by any person that is appointed as an observer however, as, depending on the level of involvement that they have in the proceedings at directors' meetings and in the management of the company, they may be regarded as either a 
                      <link href="9-107-7249" style="ACTLinkPLCtoPLC">
                        <bold>
                          <ital>shadow director</ital>
                        </bold>
                      </link>
                       or a 
                      <link href="5-107-6063" style="ACTLinkPLCtoPLC">
                        <bold>
                          <ital>de facto director</ital>
                        </bold>
                      </link>
                       of the company (see 
                      <link href="5-107-3583" style="ACTLinkPLCtoPLC">
                        <ital>Practice note, Directors' duties and shadow directors: joint ventures</ital>
                      </link>
                      ).
                    </paratext>
                  </para>
                  <para>
                    <paratext>The ability to appoint an observer may be in addition to, or in place of, a right to appoint an investor director. Where there are several investors, not all may be able to negotiate the right to appoint an investor director. Although an observer will only have the right to receive notice of the meetings and to attend the directors' meetings, rather than voting rights, an observer gives such an investor more immediate access to information on decisions taken at board level than they would otherwise have as a shareholder, without the responsibility associated with making the day to day decisions.</paratext>
                  </para>
                  <para>
                    <paratext>In relation to any right to appoint an observer, consider whether such right should be absolute, or conditional upon the appointing investor holding a minimum specified percentage of the shares (or Preferred Shares) in the company.</paratext>
                  </para>
                  <para>
                    <paratext>The investee company should consider its position on confidentiality carefully. The observer may be covered by a confidentiality agreement signed by their appointing investor but, if they are not, the company should consider requiring the observer to enter into a separate confidentiality agreement before the observer's rights are exercised.</paratext>
                  </para>
                </division>
              </drafting.note>
            </subclause1>
            <subclause1 id="a865215">
              <identifier>6.5</identifier>
              <para>
                <paratext>The [reasonable] expenses of each Investor Director and each observer shall be payable by the Company [but no other fees shall be payable to an Investor Director by the Company].</paratext>
              </para>
              <drafting.note id="a983095" jurisdiction="">
                <head align="left" preservecase="true">
                  <headtext>Investor director fees and expenses</headtext>
                </head>
                <division id="a000046" level="1">
                  <para>
                    <paratext>
                      An investor director and any observer will have the right to attend all board meetings and, under 
                      <internal.reference refid="a865215">article 6.5</internal.reference>
                      , to be reimbursed their reasonable expenses. An investor may seek to omit the word 'reasonable' to ensure that there is no risk of an investor director or observer being out of pocket for expenses not deemed by the board to be 'reasonable'. However, if such investor director or observer is resident outside the United Kingdom, management should consider the risk of having to reimburse the cost of flights and hotels for such person to attend board meetings. 
                      <link href="6-505-5094" style="ACTLinkPLCtoPLC">
                        <ital>Model article 10</ital>
                      </link>
                       provides that directors may, but are not obliged to, remotely attend board meetings, provided the conditions of that model article are met (see 
                      <link href="8-384-4772#a480695" style="ACTLinkPLCtoPLC">
                        <ital>Practice note, Model articles: private companies limited by shares: Companies Act 2006: participation in directors' meetings</ital>
                      </link>
                      ).
                    </paratext>
                  </para>
                  <para>
                    <paratext>Whether or not any additional fee is to be payable to an investor director by the company will be a matter for agreement between the parties, although will often be set out in any term sheet signed at the beginning of the deal. If the investment agreement provides for such a payment to be made, this optional wording should be omitted.</paratext>
                  </para>
                  <para>
                    <paratext>
                      <internal.reference refid="a865215">Article 6.5</internal.reference>
                       supplements 
                      <link href="6-505-5094" style="ACTLinkPLCtoPLC">
                        <ital>model article 20</ital>
                      </link>
                      , which will apply to all other directors. Model article 20 gives the directors discretion as to whether or not to pay expenses (where 
                      <internal.reference refid="a865215">article 6.5</internal.reference>
                       obliges the company to pay investor director and observer expenses).
                    </paratext>
                  </para>
                </division>
              </drafting.note>
            </subclause1>
            <subclause1 id="a798536">
              <identifier>6.6</identifier>
              <para>
                <paratext>
                  The Directors may, with Investor Consent, appoint any person as chair of the board of Directors (
                  <defn.term>Chair</defn.term>
                  ) and may, with Investor Consent, remove and replace any such Chair. [If the Chair has not been appointed within [NUMBER] calendar months of the Adoption Date, or within [NUMBER] months of the Chair's resignation or removal, an Investor Majority shall be entitled to appoint a Chair by notice in writing addressed to the Company.] [If there is no Chair in office for the time being, or the Chair is unable to attend any meeting of the Directors, the Directors present at the meeting must appoint another Director present at the meeting to chair the meeting and the appointment of the chair of the meeting must be the first business of the meeting.]
                </paratext>
              </para>
              <drafting.note id="a841647" jurisdiction="">
                <head align="left" preservecase="true">
                  <headtext>Chair</headtext>
                </head>
                <division id="a000047" level="1">
                  <para>
                    <paratext>
                      <internal.reference refid="a798536">Article 6.6</internal.reference>
                       replaces 
                      <link href="6-505-5094" style="ACTLinkPLCtoPLC">
                        <ital>model article 12</ital>
                      </link>
                       removing the directors' discretion to appoint and remove the chair of the board at will. An investor will want to be involved in the selection and appointment of a chair of the board and in particular if such chair is to have a casting vote (see 
                      <internal.reference refid="a463370">article 4.10</internal.reference>
                      ).
                    </paratext>
                  </para>
                  <para>
                    <paratext>
                      The words in square brackets in 
                      <internal.reference refid="a798536">article 6.6</internal.reference>
                       allow an investor to ensure the appointment of a chair in the absence of action by the board of directors. While the investor has the right to consent to any person the board proposes to appoint as chair, it does not have the right to force the board to appoint. Where the board fails to appoint a chair within three months, the investor will, if the words in square brackets are included, be able to make an appointment independent of the board. If such wording is included, the directors may seek the right to approve, or at least be consulted on, the identity of any person the investor proposes to appoint.
                    </paratext>
                  </para>
                  <para>
                    <paratext>
                      Whilst one director will hold the title of chair, board meetings do not require the chair's attendance to be quorate. The last sentence (in square brackets) of 
                      <internal.reference refid="a798536">article 6.6</internal.reference>
                       makes it clear that board meetings may proceed in the absence of the chair.
                    </paratext>
                  </para>
                </division>
              </drafting.note>
            </subclause1>
          </clause>
          <clause id="a168790">
            <identifier>7.</identifier>
            <head align="left" preservecase="true">
              <headtext>Transactions or other arrangements with the Company</headtext>
            </head>
            <subclause1 id="a212868">
              <para>
                <paratext>Subject to sections 177(5) and 177(6) and sections 182(5) and 182(6) of the Act and provided they have declared the nature and extent of their interest in accordance with the requirements of the Act, a Director who is in any way, whether directly or indirectly, interested in an existing or proposed transaction or arrangement with the Company:</paratext>
              </para>
              <subclause2 id="a505308">
                <identifier>(a)</identifier>
                <para>
                  <paratext>may be a party to, or otherwise interested in, any transaction or arrangement with the Company or in which the Company is otherwise (directly or indirectly) interested;</paratext>
                </para>
              </subclause2>
              <subclause2 id="a362406">
                <identifier>(b)</identifier>
                <para>
                  <paratext>shall be an Eligible Director for the purposes of any proposed decision of the Directors (or committee of the Directors) in respect of such existing or proposed transaction or arrangement in which they are interested;</paratext>
                </para>
              </subclause2>
              <subclause2 id="a56693">
                <identifier>(c)</identifier>
                <para>
                  <paratext>shall be entitled to vote at a meeting of Directors (or of a committee of the Directors) or participate in any unanimous decision, in respect of such existing or proposed transaction or arrangement in which they are interested;</paratext>
                </para>
              </subclause2>
              <subclause2 id="a708253">
                <identifier>(d)</identifier>
                <para>
                  <paratext>may act by themselves, or their firm in a professional capacity for the Company (otherwise than as auditor) and they, or their firm shall be entitled to remuneration for professional services as if they were not a Director;</paratext>
                </para>
              </subclause2>
              <subclause2 id="a753570">
                <identifier>(e)</identifier>
                <para>
                  <paratext>may be a Director or other officer of, or employed by, or a party to a transaction or arrangement with, or otherwise interested in, any body corporate in which the Company is otherwise (directly or indirectly) interested; and</paratext>
                </para>
              </subclause2>
              <subclause2 id="a148780">
                <identifier>(f)</identifier>
                <para>
                  <paratext>shall not, save as they may otherwise agree, be accountable to the Company for any benefit which they (or a person connected with them) derives from any such transaction or arrangement or from any such office or employment or from any interest in any such body corporate and no such transaction or arrangement shall be liable to be avoided on the grounds of any such interest or benefit nor shall the receipt of any such remuneration or other benefit constitute a breach of their duty under section 176 of the Act.</paratext>
                </para>
                <drafting.note id="a697572" jurisdiction="">
                  <head align="left" preservecase="true">
                    <headtext>Directors' transactional conflicts</headtext>
                  </head>
                  <division id="a000048" level="1">
                    <para>
                      <paratext>
                        <link href="7-505-5215" style="ACTLinkPLCtoPLC">
                          <ital>Sections 177</ital>
                        </link>
                         and 
                        <link href="5-505-5216" style="ACTLinkPLCtoPLC">
                          <ital>182</ital>
                        </link>
                         of the CA 2006 require a director to declare any interest (direct or indirect) in any actual or proposed transaction or arrangement with the company (a transactional conflict). For further information, see 
                        <link href="5-202-4474" style="ACTLinkPLCtoPLC">
                          <ital>Practice note, Declarations of directors' interests: Companies Act 2006</ital>
                        </link>
                        .
                      </paratext>
                    </para>
                    <para>
                      <paratext>
                        <internal.reference refid="a168790">Article 7</internal.reference>
                         replaces 
                        <link href="6-505-5094" style="ACTLinkPLCtoPLC">
                          <ital>model articles 14(1) and (2)</ital>
                        </link>
                        , which would otherwise restrict a director's ability to participate in directors' decisions if they had any interest in a proposed or actual transaction or arrangement with the company. The 
                        <link href="3-503-8567" style="ACTLinkPLCtoPLC">
                          <ital>CA 2006</ital>
                        </link>
                         makes no provision prohibiting an interested director from participating in those decisions.
                      </paratext>
                    </para>
                    <para>
                      <paratext>
                        Although there is no directors' duty to avoid having an interest in transactions or arrangements with the company, where there is an underlying conflict situation for the director (for example, the investee company proposes to enter into a contract with a key supplier to the business and the director is also a director of, or shareholder in, that supplier), then that conflict situation would need to be authorised. It may be the case that, when granting the authorisation of the director's interest in the supplier, the directors impose certain terms and conditions in the authorisation (see 
                        <internal.reference refid="a865667">article 8.3</internal.reference>
                        ). For example, the authorisation may provide that the director in question be excluded from making decisions in relation to any supply arrangement with that supplier. If that is the case, the director will not be entitled to vote on the supply arrangement or count in the quorum and will not, therefore, be considered to be an eligible director for such purposes.
                      </paratext>
                    </para>
                    <para>
                      <paratext>
                        Directors are also subject to certain other statutory duties, in particular, to act in a way they consider most likely to promote the success of the company (
                        <link href="5-505-5377" style="ACTLinkPLCtoPLC">
                          <ital>section 172</ital>
                        </link>
                        <ital>, CA 2006</ital>
                        ) and to exercise independent judgement (
                        <link href="2-505-5166" style="ACTLinkPLCtoPLC">
                          <ital>section 173</ital>
                        </link>
                        <ital>, CA 2006</ital>
                        ). As such, despite having made a declaration of interest, a director should carefully consider whether they would be able to participate in a meeting to discuss the transaction or arrangement in which they have the interest without being influenced by their personal interest to the detriment of the company. For further information, see 
                        <link href="7-376-4884" style="ACTLinkPLCtoPLC">
                          <ital>Practice note, Directors' general duties under the Companies Act 2006</ital>
                        </link>
                        .
                      </paratext>
                    </para>
                  </division>
                </drafting.note>
              </subclause2>
            </subclause1>
          </clause>
          <clause id="a1004072">
            <identifier>8.</identifier>
            <head align="left" preservecase="true">
              <headtext>Directors' conflicts</headtext>
            </head>
            <subclause1 id="a442007">
              <identifier>8.1</identifier>
              <para>
                <paratext>
                  The Directors may, in accordance with the requirements set out in this 
                  <internal.reference refid="a1004072">article 8</internal.reference>
                  , authorise any matter or situation proposed to them by any Director which would, if not authorised, involve a Director (an 
                  <defn.term>Interested Director</defn.term>
                  ) breaching their duty under section 175 of the Act to avoid conflicts of interest (
                  <defn.term>Conflict</defn.term>
                  ).
                </paratext>
              </para>
              <drafting.note id="a532183" jurisdiction="">
                <head align="left" preservecase="true">
                  <headtext>Authorisation of directors' conflicts</headtext>
                </head>
                <division id="a000049" level="1">
                  <para>
                    <paratext>
                      "Transactional conflicts" (being those requiring disclosure under sections 177 and 182 of the CA 2006; see 
                      <internal.reference refid="a697572">Drafting note, Directors' transactional conflicts</internal.reference>
                      ) must be distinguished from "situational conflicts" (being those prohibited under section 175 of CA 2006). The latter category of conflicts covers any conflict arising other than in relation to a transaction or arrangement with the company (section 175(3), CA 2006). For further information, see 
                      <link anchor="a347319" href="7-376-4884" style="ACTLinkPLCtoPLC">
                        <ital>Practice note, Directors' duties: directors' general duties under the Companies Act 2006: Duty to avoid conflicts of interest (section 175)</ital>
                      </link>
                      .
                    </paratext>
                  </para>
                  <para>
                    <paratext>
                      A private company does not require express authority in its articles for its directors to have power to authorise directors' conflicts. However, if the shareholders wish to retain the exclusive right to authorise such conflicts, it is possible to exclude the directors' ability to do so in the articles (
                      <link href="0-505-5167" style="ACTLinkPLCtoPLC">
                        <ital>section 175(5)</ital>
                      </link>
                      <ital>, CA 2006</ital>
                      ). Consider whether, in the context of the particular investee company, the parties (or, more particularly, any investors) wish to preclude the independent directors from authorising a director's interests that may give rise to conflicts under section 175 of the CA 2006, and to reserve such authorisation for the shareholders instead.
                    </paratext>
                  </para>
                  <para>
                    <paratext>An investor holding a significant proportion of a company's issued shares, but which only has the right to nominate one investor director to the board, may try to negotiate that authorisation of conflicts be reserved for the shareholders so that it is able to retain some control over the authorisation process and any conditions imposed. At the same time, such investor would not be entitled to vote on a resolution to authorise a conflict of its appointee and so consideration should be given to the relationship such investor has with the other shareholders.</paratext>
                  </para>
                  <para>
                    <paratext>
                      If shareholder authorisation is preferred, the provisions of 
                      <link anchor="a126476" href="6-386-2465" style="ACTLinkPLCtoPLC">
                        <ital>Standard document, Articles of association: joint venture deadlock company: 9. Directors' interests</ital>
                      </link>
                       may be adapted for the purpose.
                    </paratext>
                  </para>
                  <para>
                    <paratext>
                      <internal.reference refid="a85930">Article 8.2</internal.reference>
                       to 
                      <internal.reference refid="a363645">article 8.8</internal.reference>
                       (inclusive) set out a procedure for dealing with the authorisation of directors' conflicts by the independent, non-conflicted directors. 
                      <link href="5-505-5202" style="ACTLinkPLCtoPLC">
                        <ital>Section 180(4)(b)</ital>
                      </link>
                       of the CA 2006 provides a safe harbour for directors, who will not be in breach of their general duties under the 
                      <link href="3-503-8567" style="ACTLinkPLCtoPLC">
                        <ital>CA 2006</ital>
                      </link>
                       provided they act in accordance with provisions for dealing with conflicts of interest that are set out in the company's articles. It will be for individual companies (and their shareholders) to determine the extent to which they wish to include bespoke wording, in a form similar to 
                      <internal.reference refid="a85930">article 8.2</internal.reference>
                       to 
                      <internal.reference refid="a363645">article 8.8</internal.reference>
                      , to deal with such conflicts (if at all).
                    </paratext>
                  </para>
                  <para>
                    <paratext>
                      Note that, when the independent directors consider whether to authorise a particular director's conflict of interest, they will still need to have regard to their other duties as directors, including the duty to promote the success of the investee company for the benefit of its members as a whole (
                      <link href="5-505-5377" style="ACTLinkPLCtoPLC">
                        <ital>section 172</ital>
                      </link>
                      <ital>, CA 2006</ital>
                      ).
                    </paratext>
                  </para>
                  <para>
                    <paratext>
                      For further information on a director's general duties under the 
                      <link href="3-503-8567" style="ACTLinkPLCtoPLC">
                        <ital>CA 2006</ital>
                      </link>
                       (and the consequences of breaching those duties), see 
                      <link href="7-376-4884" style="ACTLinkPLCtoPLC">
                        <ital>Practice note, Directors' duties: directors' general duties under the Companies Act 2006</ital>
                      </link>
                      .
                    </paratext>
                  </para>
                </division>
              </drafting.note>
            </subclause1>
            <subclause1 id="a85930">
              <identifier>8.2</identifier>
              <para>
                <paratext>
                  Any authorisation under this 
                  <internal.reference refid="a1004072">article 8</internal.reference>
                   will be effective only if:
                </paratext>
              </para>
              <subclause2 id="a66556">
                <identifier>(a)</identifier>
                <para>
                  <paratext>[to the extent permitted by the Act,] the matter in question shall have been proposed by any Director for consideration in the same way that any other matter may be proposed to the Directors under the provisions of these Articles [or in such other manner as the Directors may determine];</paratext>
                </para>
              </subclause2>
              <subclause2 id="a995846">
                <identifier>(b)</identifier>
                <para>
                  <paratext>any requirement as to the quorum for consideration of the relevant matter is met without counting the Interested Director; and</paratext>
                </para>
              </subclause2>
              <subclause2 id="a703705">
                <identifier>(c)</identifier>
                <para>
                  <paratext>the matter was agreed to without the Interested Director voting or would have been agreed to if the Interested Director's vote had not been counted.</paratext>
                </para>
                <drafting.note id="a707129" jurisdiction="">
                  <head align="left" preservecase="true">
                    <headtext>Authorisation by non-conflicted directors</headtext>
                  </head>
                  <division id="a000050" level="1">
                    <para>
                      <paratext>
                        <bold>Authorisation of conflicts outside a directors' meetings</bold>
                      </paratext>
                    </para>
                    <para>
                      <paratext>
                        <link href="0-505-5167" style="ACTLinkPLCtoPLC">
                          <ital>Section 175(5)</ital>
                        </link>
                         of the CA 2006 provides that private companies may give authorisation to a conflict by the matter being proposed to and authorised by the directors. No reference is made in that section to the manner in which such authorisation may be given. However, section 175(6)(a) of the CA 2006 specifically refers to a conflicted director not counting towards the quorum at a meeting of the directors held to authorise a conflict.
                      </paratext>
                    </para>
                    <para>
                      <paratext>
                        Although it is possible (whilst not necessarily the intention of the 
                        <link href="3-503-8567" style="ACTLinkPLCtoPLC">
                          <ital>CA 2006</ital>
                        </link>
                        ) that 
                        <link href="0-505-5167" style="ACTLinkPLCtoPLC">
                          <ital>section 175(6)</ital>
                        </link>
                         could be read as requiring a directors' meeting to be held for any authorisation of a conflict to be given, it is more likely that the purpose of section 175(6) is not to require a meeting to be held, but simply to ensure that the interested director is prevented from having their vote counted for the purposes of the authorisation of their conflict.
                      </paratext>
                    </para>
                    <para>
                      <paratext>
                        <internal.reference refid="a66556">article 8.2(a)</internal.reference>
                         permits authorisation to be given in any manner provided for the taking of directors' decisions in the Articles, which would include decisions taken outside of a meeting. If the parties wish to provide that the authorisation of conflicts will only take place at a meeting of the directors, the following alternative provision may be used:
                      </paratext>
                    </para>
                    <display.quote>
                      <para>
                        <paratext>
                          "8.2Any authorisation under this 
                          <internal.reference refid="a1004072">article 8</internal.reference>
                           will be effective only if:
                        </paratext>
                      </para>
                    </display.quote>
                    <display.quote>
                      <para>
                        <paratext>(a)the matter in question shall have been proposed by any Director for consideration at a meeting of Directors in the same way that any other matter may be proposed to the Directors for consideration at a meeting under the provisions of these Articles;</paratext>
                      </para>
                    </display.quote>
                    <display.quote>
                      <para>
                        <paratext>(b)any requirement as to the quorum at the meeting of the Directors at which the matter is considered is met without counting the Interested Director; and</paratext>
                      </para>
                    </display.quote>
                    <display.quote>
                      <para>
                        <paratext>(c)the matter was agreed to without their voting or would have been agreed to if the Interested Director's vote had not been counted."</paratext>
                      </para>
                    </display.quote>
                    <para>
                      <paratext>
                        <bold>Quorum for authorisation of a director's conflict</bold>
                      </paratext>
                    </para>
                    <para>
                      <paratext>
                        A director whose conflict is to be considered by the other, non-interested directors is entitled to attend the relevant meeting and to count towards its quorum. However, if there are insufficient other directors present to constitute a quorum without the interested director, or there are insufficient votes in favour to pass the resolution without counting the interested director's vote, any resolution to authorise the conflict will be ineffective (
                        <link href="0-505-5167" style="ACTLinkPLCtoPLC">
                          <ital>section 175(6)</ital>
                        </link>
                        <ital>, CA 2006</ital>
                        ).
                      </paratext>
                    </para>
                    <para>
                      <paratext>
                        If the directors are to be given the power to authorise directors' conflicts of interest, as is the case in the standard document, consider how the requirement for only the independent directors to form part of the quorum and to vote on a resolution to authorise a particular conflict interacts with any requirement there may be in the articles for an investor director to be present for a meeting to be quorate. 
                        <internal.reference refid="a819898">article 4.7(c)</internal.reference>
                         provides that the quorum for directors' meetings, where the investor director is not an eligible director, is any two eligible directors. If a company's articles permit an investor to appoint more than one investor director, or a number of investors have the right to appoint separate investor directors, it is likely that the quorum will require the attendance of at least one non-conflicted investor director (unless all such directors are conflicted).
                      </paratext>
                    </para>
                    <para>
                      <paratext>
                        Any unanimous decision to authorise a conflict only requires unanimity of the eligible directors (see 
                        <internal.reference refid="a468072">Drafting note, Decisions of directors other than at meetings</internal.reference>
                         and 
                        <internal.reference refid="a225541">Drafting note, Definition: Eligible Directors</internal.reference>
                        ).
                      </paratext>
                    </para>
                  </division>
                </drafting.note>
              </subclause2>
            </subclause1>
            <subclause1 id="a865667">
              <identifier>8.3</identifier>
              <para>
                <paratext>
                  Any authorisation of a Conflict under this 
                  <internal.reference refid="a1004072">article 8</internal.reference>
                   may (whether at the time of giving the authorisation or subsequently):
                </paratext>
              </para>
              <subclause2 id="a447428">
                <identifier>(a)</identifier>
                <para>
                  <paratext>extend to any actual or potential conflict of interest which may reasonably be expected to arise out of the matter or situation so authorised;</paratext>
                </para>
              </subclause2>
              <subclause2 id="a106958">
                <identifier>(b)</identifier>
                <para>
                  <paratext>provide that the Interested Director be excluded from the receipt of documents and information and the participation in discussions (whether at meetings of the Directors or otherwise) related to the Conflict;</paratext>
                </para>
              </subclause2>
              <subclause2 id="a899464">
                <identifier>(c)</identifier>
                <para>
                  <paratext>[subject to Investor Consent,] provide that the Interested Director shall or shall not be an Eligible Director in respect of any future decision of the Directors in relation to any resolution related to the Conflict;</paratext>
                </para>
              </subclause2>
              <subclause2 id="a130069">
                <identifier>(d)</identifier>
                <para>
                  <paratext>impose upon the Interested Director such other terms for the purposes of dealing with the Conflict as the Directors think fit;</paratext>
                </para>
              </subclause2>
              <subclause2 id="a462961">
                <identifier>(e)</identifier>
                <para>
                  <paratext>provide that, where the Interested Director obtains, or has obtained (through their involvement in the Conflict and otherwise than through the Interested Director's position as a Director of the Company) information that is confidential to a third party, they will not be obliged to disclose that information to the Company, or to use it in relation to the Company's affairs where to do so would amount to a breach of that confidence; and</paratext>
                </para>
              </subclause2>
              <subclause2 id="a215017">
                <identifier>(f)</identifier>
                <para>
                  <paratext>permit the Interested Director to absent themselves from the discussion of matters relating to the Conflict at any meeting of the Directors and be excused from reviewing papers prepared by, or for, the Directors to the extent they relate to such matters.</paratext>
                </para>
                <drafting.note id="a343964" jurisdiction="">
                  <head align="left" preservecase="true">
                    <headtext>Conditions attached to the directors' authorisation of a conflict</headtext>
                  </head>
                  <division id="a000051" level="1">
                    <para>
                      <paratext>
                        <internal.reference refid="a865667">article 8.3</internal.reference>
                         (and 
                        <internal.reference refid="a260877">article 8.4</internal.reference>
                        ) make some provision for the actual management of conflicts by setting out some of the terms and conditions upon which the directors may grant an authorisation.
                      </paratext>
                    </para>
                    <para>
                      <paratext>
                        <link href="5-505-5202" style="ACTLinkPLCtoPLC">
                          <ital>Section 180(4)(b)</ital>
                        </link>
                         of the CA 2006 gives a safe harbour for directors, by stating that they will not be in breach of their general duties under the 
                        <link href="3-503-8567" style="ACTLinkPLCtoPLC">
                          <ital>CA 2006</ital>
                        </link>
                         provided they act in accordance with provisions for dealing with conflicts of interest that are set out in the company's articles.
                      </paratext>
                    </para>
                    <para>
                      <paratext>In cases where a director is excused from an obligation to disclose a third party's confidential information to the investee company, the directors may want to ensure that such director has an equivalent release in relation to the investee company's confidential information from the relevant third party.</paratext>
                    </para>
                  </division>
                </drafting.note>
              </subclause2>
            </subclause1>
            <subclause1 id="a260877">
              <identifier>8.4</identifier>
              <para>
                <paratext>Where the Directors authorise a Conflict, the Interested Director will be obliged to conduct themselves in accordance with any terms and conditions imposed by the Directors in relation to the Conflict.</paratext>
              </para>
            </subclause1>
            <subclause1 id="a75249">
              <identifier>8.5</identifier>
              <para>
                <paratext>The Directors may revoke or vary such authorisation at any time, but this will not affect anything done by the Interested Director, prior to such revocation or variation, in accordance with the terms of such authorisation.</paratext>
              </para>
            </subclause1>
            <subclause1 id="a897711">
              <identifier>8.6</identifier>
              <para>
                <paratext>
                  A Director, notwithstanding their office, may be a Director or other officer of, employed by, or otherwise interested (including by the holding of shares) in their appointor(s) (or any Permitted Transferee of such appointor(s)) and no authorisation under 
                  <internal.reference refid="a442007">article 8.1</internal.reference>
                   shall be necessary in respect of any such interest.
                </paratext>
              </para>
              <drafting.note id="a809897" jurisdiction="">
                <head align="left" preservecase="true">
                  <headtext>Authorisation of director's interests in relation to their appointor</headtext>
                </head>
                <division id="a000052" level="1">
                  <para>
                    <paratext>The parties (in particular any investor) should consider, at the outset on formation of the investee company, what potential conflicts of interest their nominated directors may have and they should consider authorising any such conflicts on formation.</paratext>
                  </para>
                  <para>
                    <paratext>In order to deal with the most typical conflict situations that a director faces in a venture capital backed company, namely that:</paratext>
                  </para>
                  <list type="bulleted">
                    <list.item>
                      <para>
                        <paratext>In the case of any director, they are also a director of another group company.</paratext>
                      </para>
                    </list.item>
                    <list.item>
                      <para>
                        <paratext>In the case of an investor director, they have been appointed by an investor and therefore also represents the interests of that investor.</paratext>
                      </para>
                    </list.item>
                    <list.item>
                      <para>
                        <paratext>An investor director is likely to be employed by and/or a director or partner of the investor and other companies in the investor's group,</paratext>
                      </para>
                    </list.item>
                  </list>
                  <para>
                    <paratext>
                      <internal.reference refid="a897711">article 8.6</internal.reference>
                       expressly authorises this type of interest, without the need to seek a separate authorisation of the interest from the directors under 
                      <internal.reference refid="a442007">article 8.1</internal.reference>
                      . Directors should also be advised to keep potential conflict situations and interests, for example, other directorships that they may hold, under review, and to disclose these as soon as they arise, or as the nature of a potential conflict that has already been authorised changes, and to seek authorisation of the particular situation from the directors.
                    </paratext>
                  </para>
                </division>
              </drafting.note>
            </subclause1>
            <subclause1 id="a164745">
              <identifier>8.7</identifier>
              <para>
                <paratext>
                  An Investor Director shall be entitled from time to time to disclose to [their appointor(s) (and to any Permitted Transferee of such appointor(s)) 
                  <bold>OR</bold>
                   to any Investor [(and to any Permitted Transferee of an Investor)]] such information concerning the business and affairs of the Company as they shall at their discretion see fit.
                </paratext>
              </para>
              <drafting.note id="a472140" jurisdiction="">
                <head align="left" preservecase="true">
                  <headtext>Disclosure of information by Investor Director</headtext>
                </head>
                <division id="a000053" level="1">
                  <para>
                    <paratext>
                      <internal.reference refid="a164745">article 8.7</internal.reference>
                       authorises each director to disclose such information about the affairs of the investee company as they deem necessary to the investor(s) that appointed them (or, if the alternative wording is preferred, to any investor; this will be appropriate where a venture capital house invests through a number of managed funds, but not all such funds signed the notice of appointment of the relevant investor director; it may also be desirable where there are a number of independent investors, but not all have the right to appoint investor directors), thereby enabling the investor to stay informed about its investment in the company and preventing the director in question from being in breach of their duty of confidentiality to the investee company.
                    </paratext>
                  </para>
                  <para>
                    <paratext>Reference to permitted transferees of an Investor should be included if 'Investor' is defined as any holder of Preferred Shares (to allow disclosure to non-shareholder entities within an investor's group).</paratext>
                  </para>
                </division>
              </drafting.note>
            </subclause1>
            <subclause1 id="a363645">
              <identifier>8.8</identifier>
              <para>
                <paratext>A Director is not required, by reason of being a Director (or because of the fiduciary relationship established by reason of being a Director), to account to the Company for any remuneration, profit or other benefit which they derive from or in connection with a relationship involving a Conflict which has been authorised by the Directors in accordance with these Articles or by the Company in general meeting (subject in each case to any terms and conditions attaching to that authorisation) and no contract shall be liable to be avoided on such grounds.</paratext>
              </para>
            </subclause1>
          </clause>
          <clause condition="optional" id="a1007964">
            <identifier>9.</identifier>
            <head align="left" preservecase="true">
              <headtext>Secretary</headtext>
            </head>
            <subclause1 id="a702251">
              <para>
                <paratext>The Directors may appoint any person who is willing to act as the secretary for such term, at such remuneration and upon such conditions as they may think fit and from time to time remove such person and, if the Directors so decide, appoint a replacement, in each case by a decision of the Directors.</paratext>
              </para>
              <drafting.note id="a85349" jurisdiction="">
                <head align="left" preservecase="true">
                  <headtext>Secretary</headtext>
                </head>
                <division id="a000054" level="1">
                  <para>
                    <paratext>
                      A private company is not required to have a company secretary (
                      <link href="6-505-5126" style="ACTLinkPLCtoPLC">
                        <ital>section 270(1)</ital>
                      </link>
                      <ital>, CA 2006</ital>
                      ). Section 270(3) of the CA 2006 provides that if a private company does not have a secretary, anything that would have been done by a secretary may be done, among others, by a director.
                    </paratext>
                  </para>
                  <para>
                    <paratext>
                      For more information on company secretaries under the 
                      <link href="3-503-8567" style="ACTLinkPLCtoPLC">
                        <ital>CA 2006</ital>
                      </link>
                      , see 
                      <link href="6-384-9539" style="ACTLinkPLCtoPLC">
                        <ital>Practice note, Company secretary: appointment, role and responsibilities</ital>
                      </link>
                       and 
                      <link href="4-366-4065" style="ACTLinkPLCtoPLC">
                        <ital>Practice note, Companies Act 2006: company secretaries: a quick guide</ital>
                      </link>
                      .
                    </paratext>
                  </para>
                </division>
              </drafting.note>
            </subclause1>
          </clause>
          <head align="left" preservecase="true">
            <headtext>SHARES AND DISTRIBUTIONS</headtext>
          </head>
          <clause id="a862624">
            <identifier>10.</identifier>
            <head align="left" preservecase="true">
              <headtext>Dividends</headtext>
            </head>
            <subclause1 id="a652637">
              <identifier>10.1</identifier>
              <para>
                <paratext>
                  In respect of any Financial Year, the Available Profits of the Company shall be used to pay dividends as set out in this 
                  <internal.reference refid="a862624">article 10</internal.reference>
                  .
                </paratext>
              </para>
              <drafting.note id="a641453" jurisdiction="">
                <head align="left" preservecase="true">
                  <headtext>Available profits</headtext>
                </head>
                <division id="a000055" level="1">
                  <para>
                    <paratext>
                      <link href="3-505-9395" style="ACTLinkPLCtoPLC">
                        <ital>Section 832</ital>
                      </link>
                       of the CA 2006 provides that distributions (including dividends) can only be paid out of profits which are available for the purpose, being accumulated realised profits (so far as not previously utilised by distribution or capitalisation) less accumulated, realised losses (so far as not previously written off in a reduction or re-organisation of capital duly made) (
                      <ital>section 832(2), CA 2006</ital>
                      ). For more on dividends under the 
                      <link href="3-503-8567" style="ACTLinkPLCtoPLC">
                        <ital>CA 2006</ital>
                      </link>
                      , see 
                      <link href="3-107-4376" style="ACTLinkPLCtoPLC">
                        <ital>Practice note, Dividends</ital>
                      </link>
                      .
                    </paratext>
                  </para>
                </division>
              </drafting.note>
            </subclause1>
            <subclause1 id="a164894">
              <identifier>10.2</identifier>
              <para>
                <paratext>
                  Subject to 
                  <internal.reference refid="a291656">article 10.13</internal.reference>
                  , the Company shall, without need for a resolution of the Directors, or the Company in general meeting and before application of any Available Profits to reserves or for any other purpose, pay in respect of each Preferred Share a fixed, cumulative, preferential dividend (
                  <defn.term>Preferred Dividend</defn.term>
                  ) at an annual rate of [£[AMOUNT] per Preferred Share 
                  <bold>OR</bold>
                   [PERCENTAGE]% of the Issue Price per Preferred Share] to the person registered as its holder on the due date (such date determined in accordance with this 
                  <internal.reference refid="a862624">article 10</internal.reference>
                  ).
                </paratext>
              </para>
              <drafting.note id="a164074" jurisdiction="">
                <head align="left" preservecase="true">
                  <headtext>Preferred dividend</headtext>
                </head>
                <division id="a000056" level="1">
                  <para>
                    <paratext>
                      The general rule relating to the declaration of dividends is set out in 
                      <link href="6-505-5094" style="ACTLinkPLCtoPLC">
                        <ital>model article 30</ital>
                      </link>
                      , which provides that dividends are to be declared in general meeting, following (and not exceeding) the recommendation of the directors. Interim dividends, on the other hand, may be declared by the directors without the need for shareholder approval.
                    </paratext>
                  </para>
                  <para>
                    <paratext>
                      This 
                      <internal.reference refid="a164894">article 10.2</internal.reference>
                       overrides that general rule, so that the wording of this article suffices to create an entitlement to the Preferred Dividend. It is not conditional on being approved by the directors or the shareholders; nor is an entitlement to the dividend conditional on there being available profits. Where the company is not lawfully permitted to pay the Preferred Dividend due to not having sufficient profits for distribution, 
                      <internal.reference refid="a157044">article 10.10</internal.reference>
                       will apply to ensure that any unpaid amount is not lost to the investor.
                    </paratext>
                  </para>
                  <para>
                    <paratext>In choosing whether to express the dividend as a cash figure per share, or as a percentage of the issue price, care should be taken to ensure that appropriate adjustments are made to that amount in the event of a sub-division or consolidation of the relevant share.</paratext>
                  </para>
                  <para>
                    <paratext>Including the word 'cumulative' ensures that any Preferred Dividend which is not paid by the company in a particular financial year accumulates as arrears of dividend until it is paid.</paratext>
                  </para>
                </division>
              </drafting.note>
            </subclause1>
            <subclause1 id="a234853">
              <identifier>10.3</identifier>
              <para>
                <paratext>
                  Subject to 
                  <internal.reference refid="a200535">article 10.4</internal.reference>
                  , the Preferred Dividend shall be paid in cash [on [DATE] in each year 
                  <bold>OR</bold>
                   in [NUMBER] equal instalments on the last Business Day of [MONTH], [MONTH], [MONTH] and [MONTH] of each year], the first such payment to be made on [DATE] in respect of the period from the Adoption Date to (and including) [DATE].
                </paratext>
              </para>
            </subclause1>
            <subclause1 id="a200535">
              <identifier>10.4</identifier>
              <para>
                <paratext>
                  All unpaid arrears and accruals of the Preferred Dividend shall be paid on the date of an Exit or, if earlier, on the date of conversion of all Preferred Shares in accordance with 
                  <internal.reference refid="a103637">article 14</internal.reference>
                  .
                </paratext>
              </para>
              <drafting.note id="a319800" jurisdiction="">
                <head align="left" preservecase="true">
                  <headtext>Payment dates</headtext>
                </head>
                <division id="a000057" level="1">
                  <para>
                    <paratext>
                      <internal.reference refid="a234853">article 10.3</internal.reference>
                       and 
                      <internal.reference refid="a200535">article 10.4</internal.reference>
                       provide for the dates of payment of the Preferred Dividend. The frequency of scheduled payments will be for the parties to determine. In any event, an investor will require payment of all outstanding dividends on the date it exits the company (including if its retains any shares following an initial public offering) to ensure a clean break from its private company investment. Conversion of Preferred Shares into ordinary equity will most often be made in connection with a Listing and so, to ensure that conversion of its equity interest is absolute, an investor will seek to collect outstanding arrears and accruals of Preferred Dividend at that time.
                    </paratext>
                  </para>
                </division>
              </drafting.note>
            </subclause1>
            <subclause1 id="a346979">
              <identifier>10.5</identifier>
              <para>
                <paratext>The Company shall not declare or pay any further dividend unless and until:</paratext>
              </para>
              <subclause2 id="a913089">
                <identifier>(a)</identifier>
                <para>
                  <paratext>all arrears and accruals of the Preferred Dividend have been paid; and</paratext>
                </para>
              </subclause2>
              <subclause2 id="a650976">
                <identifier>(b)</identifier>
                <para>
                  <paratext>the Company obtains Investor Consent to any such dividend.</paratext>
                </para>
                <drafting.note id="a1011550" jurisdiction="">
                  <head align="left" preservecase="true">
                    <headtext>Further dividends</headtext>
                  </head>
                  <division id="a000058" level="1">
                    <para>
                      <paratext>
                        As the Preferred Dividend is cumulative, an investor will not want any further dividend to be paid out if any arrears of the Preferred Dividend are outstanding. Accordingly, the directors must seek investor consent if they wish to pay any other dividends in any financial year (including any interim dividends - see 
                        <internal.reference refid="a64957">article 10.7</internal.reference>
                        ).
                      </paratext>
                    </para>
                  </division>
                </drafting.note>
              </subclause2>
            </subclause1>
            <subclause1 id="a768470">
              <identifier>10.6</identifier>
              <para>
                <paratext>
                  Subject to 
                  <internal.reference refid="a346979">article 10.5</internal.reference>
                   and 
                  <internal.reference refid="a291656">article 10.13</internal.reference>
                  , any further Available Profits which the Company may determine to distribute in respect of any Financial Year will be distributed among the holders of the Equity Shares (pari passu as if they constituted Shares of the same class) pro rata to their respective holdings of Equity Shares.
                </paratext>
              </para>
              <drafting.note id="a659066" jurisdiction="">
                <head align="left" preservecase="true">
                  <headtext>Equity dividends</headtext>
                </head>
                <division id="a000059" level="1">
                  <para>
                    <paratext>
                      Where investor consent is obtained to any further dividend (see 
                      <internal.reference refid="a346979">article 10.5</internal.reference>
                       and 
                      <internal.reference refid="a768470">article 10.6</internal.reference>
                      ), such dividend is to be shared between the holders of the Preferred Shares and the Ordinary Shares, pro rata to the numbers of shares held. Management (or other holders of Ordinary Shares) may argue that they should first receive a 'catch' up dividend, before further profits are paid to the holders of the Preferred Shares. For example wording of such a catch-up dividend, see 
                      <link href="2-101-6339" style="ACTLinkPLCtoPLC">
                        <ital>Standard document, Articles of association (selected): private equity buyout vehicle: article 1.7(a)</ital>
                      </link>
                      .
                    </paratext>
                  </para>
                  <para>
                    <paratext>
                      Although not applicable to Preferred Dividends, 
                      <link href="6-505-5094" style="ACTLinkPLCtoPLC">
                        <ital>model article 30</ital>
                      </link>
                       will apply to any further dividend and so will be conditional upon a recommendation of the directors, approved by the shareholders in general meeting.
                    </paratext>
                  </para>
                </division>
              </drafting.note>
            </subclause1>
            <subclause1 condition="optional" id="a64957">
              <identifier>10.7</identifier>
              <para>
                <paratext>Subject to the Act, the Directors may pay interim dividends provided that:</paratext>
              </para>
              <subclause2 id="a238450">
                <identifier>(a)</identifier>
                <para>
                  <paratext>the Available Profits of the Company justify the payment; and</paratext>
                </para>
              </subclause2>
              <subclause2 id="a249131">
                <identifier>(b)</identifier>
                <para>
                  <paratext>the Company obtains Investor Consent to any such interim dividend.</paratext>
                </para>
                <drafting.note id="a217087" jurisdiction="">
                  <head align="left" preservecase="true">
                    <headtext>Interim dividends</headtext>
                  </head>
                  <division id="a000060" level="1">
                    <para>
                      <paratext>
                        <internal.reference refid="a64957">article 10.7</internal.reference>
                         extends 
                        <link href="6-505-5094" style="ACTLinkPLCtoPLC">
                          <ital>model article 30(1)</ital>
                        </link>
                        , as it relates to interim dividends. In addition to the usual requirement that any such dividend be justified according to accounts (see 
                        <ital>Chapter 2 of Part 23 of the </ital>
                        <link href="3-503-8567" style="ACTLinkPLCtoPLC">
                          <ital>CA 2006</ital>
                        </link>
                         and 
                        <link href="0-381-1737#a689945" style="ACTLinkPLCtoPLC">
                          <ital>Practice note, Distributions: Justifying distributions by reference to relevant accounts</ital>
                        </link>
                        ), the directors must obtain investor consent before they pay an interim dividend.
                      </paratext>
                    </para>
                    <para>
                      <paratext>
                        The inclusion of 
                        <internal.reference refid="a64957">article 10.7</internal.reference>
                         is optional, as it is likely that an investor will have a separate right to consent to the payment of any dividend, through controls set out in the investment agreement (or in a Variation of class rights provision).
                      </paratext>
                    </para>
                  </division>
                </drafting.note>
              </subclause2>
            </subclause1>
            <subclause1 id="a1024822">
              <identifier>10.8</identifier>
              <para>
                <paratext>Each dividend shall be distributed to the appropriate Shareholders pro rata according to the number of Shares held by them respectively and shall accrue daily (assuming a 365 day year) as well after as before the commencement of a winding up. All dividends are expressed net and shall be paid in cash.</paratext>
              </para>
              <drafting.note id="a890010" jurisdiction="">
                <head align="left" preservecase="true">
                  <headtext>Allocation of dividends</headtext>
                </head>
                <division id="a000061" level="1">
                  <para>
                    <paratext>
                      For the purposes of 
                      <internal.reference refid="a1024822">article 10.8</internal.reference>
                      , it will not matter if the two classes of shares have different nominal values. As these Articles, as well as the Model Articles, assume that all shares are issued fully paid (see 
                      <link href="6-505-5094" style="ACTLinkPLCtoPLC">
                        <ital>model article 21(1)</ital>
                      </link>
                      ), provision for dividends to be apportioned according to the amounts paid up on shares is not relevant here. If the company does wish to provide for the issue of part or nil-paid shares, consideration should be given as to whether partly paid shares should receive dividends as if they were fully paid, or whether some proportionate reduction should be applied.
                    </paratext>
                  </para>
                </division>
              </drafting.note>
            </subclause1>
            <subclause1 id="a612296">
              <identifier>10.9</identifier>
              <para>
                <paratext>Unless the Company has insufficient Available Profits, the Preferred Dividend shall, notwithstanding that such dividend is expressed to be cumulative, be paid immediately on the due date.</paratext>
              </para>
              <drafting.note id="a862011" jurisdiction="">
                <head align="left" preservecase="true">
                  <headtext>Due date</headtext>
                </head>
                <division id="a000062" level="1">
                  <para>
                    <paratext>
                      Under common law, dividends become a debt due from the company on the date declared by the shareholders in general meeting (or, in the case of interim dividends, when paid). As the Preferred Dividend does not require shareholder approval (see 
                      <internal.reference refid="a652637">article 10.1</internal.reference>
                      ), 
                      <internal.reference refid="a612296">article 10.9</internal.reference>
                       provides that the Preferred Dividend becomes a debt due as soon as it becomes payable by the company (also see 
                      <internal.reference refid="a227768">article 10.10(a)</internal.reference>
                      ).
                    </paratext>
                  </para>
                </division>
              </drafting.note>
            </subclause1>
            <subclause1 id="a157044">
              <identifier>10.10</identifier>
              <para>
                <paratext>If, as a result of not having sufficient Available Profits, the Company is not lawfully permitted to pay the Preferred Dividend in full on the due date, it shall pay the Preferred Dividend to the extent it is lawfully able to do so. The unpaid amount shall:</paratext>
              </para>
              <subclause2 id="a227768">
                <identifier>(a)</identifier>
                <para>
                  <paratext>be a debt due from the Company; and</paratext>
                </para>
              </subclause2>
              <subclause2 id="a281175">
                <identifier>(b)</identifier>
                <para>
                  <paratext>accrue interest daily (assuming a 365 day year) at the rate of [PERCENTAGE]% above the base lending rate of [NAME OF BANK] in respect of the period from the due date to the actual date of payment (both dates inclusive) [, compounded to the end of each calendar month] and such interest shall, to the extent outstanding for the time being, be paid on the date of payment of the Preferred Dividend in respect of which the relevant interest accrues.</paratext>
                </para>
                <drafting.note id="a826978" jurisdiction="">
                  <head align="left" preservecase="true">
                    <headtext>Compound interest</headtext>
                  </head>
                  <division id="a000063" level="1">
                    <para>
                      <paratext>It is likely that management should resist the compounding of interest on unpaid dividends, given the significant difference it can make to the total amount of interest payable.</paratext>
                    </para>
                  </division>
                </drafting.note>
              </subclause2>
            </subclause1>
            <subclause1 id="a120955">
              <identifier>10.11</identifier>
              <para>
                <paratext>If the Company is in arrears in paying the Preferred Dividend, the first Available Profits arising shall be applied in or towards paying off any arrears of Preferred Dividend.</paratext>
              </para>
              <drafting.note id="a523856" jurisdiction="">
                <head align="left" preservecase="true">
                  <headtext>First available profits</headtext>
                </head>
                <division id="a000064" level="1">
                  <para>
                    <paratext>
                      <internal.reference refid="a120955">article 10.11</internal.reference>
                       will hold particular importance if interest on unpaid dividends is compounded periodically. The company will want to clear the oldest arrears of Preferred Dividend first, to reduce the capital amount on which interest continues to accrue.
                    </paratext>
                  </para>
                </division>
              </drafting.note>
            </subclause1>
            <subclause1 id="a601614">
              <identifier>10.12</identifier>
              <para>
                <paratext>The Company shall procure that the profits of any other Group Company available for distribution shall from time to time (and to the extent lawful), be paid by way of dividend to the Company (or, as the case may be, the relevant Group Company that is its immediate holding company) to the extent necessary to permit lawful and prompt payment by the Company of the Preferred Dividend.</paratext>
              </para>
              <drafting.note id="a733437" jurisdiction="">
                <head align="left" preservecase="true">
                  <headtext>Group company dividends</headtext>
                </head>
                <division id="a000065" level="1">
                  <para>
                    <paratext>
                      <internal.reference refid="a601614">article 10.12</internal.reference>
                       affords some comfort to an investor that the company in which it holds shares will be able to meet the periodic Preferred Dividend payments. As the relevant company will often be a newco holding company, without any material assets of its own, it may be reliant on its subsidiaries generating profits in order to service the dividend payments. 
                      <internal.reference refid="a601614">article 10.12</internal.reference>
                       places an obligation on that top company to procure that such profits are passed up through the corporate group structure.
                    </paratext>
                  </para>
                </division>
              </drafting.note>
            </subclause1>
            <subclause1 condition="optional" id="a291656">
              <identifier>10.13</identifier>
              <para>
                <paratext>
                  Notwithstanding any other provision of this 
                  <internal.reference refid="a862624">article 10</internal.reference>
                  , no dividend may be paid to the Company in respect of any Shares held in treasury.
                </paratext>
              </para>
              <drafting.note id="a378294" jurisdiction="">
                <head align="left" preservecase="true">
                  <headtext>Dividends: treasury shares</headtext>
                </head>
                <division id="a000066" level="1">
                  <para>
                    <paratext>
                      <link href="7-506-5078" style="ACTLinkPLCtoPLC">
                        <ital>Section 726</ital>
                      </link>
                       of the CA 2006 provides that no dividend or other distribution may be paid to the Company in respect of shares held in treasury following a buyback of shares. As 
                      <internal.reference refid="a291656">article 10.13</internal.reference>
                       merely restates section 726, it is not strictly necessary to include it. Consider whether it might be helpful to include it for clarity.
                    </paratext>
                  </para>
                </division>
              </drafting.note>
            </subclause1>
          </clause>
          <clause id="a302537">
            <identifier>11.</identifier>
            <head align="left" preservecase="true">
              <headtext>Liquidation preference</headtext>
            </head>
            <drafting.note id="a480958" jurisdiction="">
              <head align="left" preservecase="true">
                <headtext>Liquidation preference: treasury shares</headtext>
              </head>
              <division id="a000067" level="1">
                <para>
                  <paratext>
                    Under 
                    <internal.reference refid="a638953">article 26</internal.reference>
                     the Company may elect to hold shares in treasury following a buyback. In that case, the Company may be a member of itself (under 
                    <link href="8-507-0197" style="ACTLinkPLCtoPLC">
                      <ital>section 124</ital>
                    </link>
                     of the CA 2006) at the time a distribution of assets is made under 
                    <internal.reference refid="a302537">article 11</internal.reference>
                    . However, under 
                    <link href="7-506-5078" style="ACTLinkPLCtoPLC">
                      <ital>section 726</ital>
                    </link>
                     of the CA 2006, the Company is not entitled to receive a distribution of assets on a winding up in respect of shares held in treasury. As such, the provisions of 
                    <internal.reference refid="a302537">article 11</internal.reference>
                     will not apply to treasury shares. 
                    <internal.reference refid="a764618">article 1.10</internal.reference>
                     also provides that the Company is not to be considered a holder of Preferred Shares, Ordinary Shares or Equity Shares and so would exclude the Company from the operation of 
                    <internal.reference refid="a302537">article 11</internal.reference>
                     in any event.
                  </paratext>
                </para>
              </division>
            </drafting.note>
            <subclause1 id="a56867">
              <para>
                <paratext>On a return of assets on liquidation, capital reduction or otherwise (other than a conversion or purchase of Shares), the assets of the Company remaining after the payment of its liabilities shall be applied (to the extent that the Company is lawfully able to do so) in the following order of priority:</paratext>
              </para>
              <subclause2 id="a793878">
                <identifier>(a)</identifier>
                <para>
                  <paratext>
                    first, in paying to the holders of the Preferred Shares in respect of each Preferred Share held the [sum of £[AMOUNT] 
                    <bold>OR</bold>
                     Issue Price of that Preferred Share], together with a sum equal to any arrears and accruals of the Preferred Dividend in respect of that Preferred Share calculated down to (and including) the date of the return of capital and, if there is a shortfall of assets remaining to satisfy such payments in full, the proceeds shall be distributed to the holders of the Preferred Shares pro rata to the aggregate amounts due under this 
                    <internal.reference refid="a793878">article 11(a)</internal.reference>
                     to each such Preferred Share held; [and]
                  </paratext>
                </para>
              </subclause2>
              <subclause2 condition="optional" id="a317264">
                <identifier>(b)</identifier>
                <para>
                  <paratext>
                    second, in paying to the holders of the Ordinary Shares in respect of each Ordinary Share held the Issue Price of that Ordinary Share, together with a sum equal to any arrears and accruals of dividend in respect of that Ordinary Share and, if there is a shortfall of assets remaining to satisfy such payments in full, the proceeds shall be distributed to the holders of the Ordinary Shares pro rata to the aggregate amounts due under this 
                    <internal.reference refid="a317264">article 11(b)</internal.reference>
                     to each such Ordinary Share held; and
                  </paratext>
                </para>
                <drafting.note id="a822933" jurisdiction="">
                  <head align="left" preservecase="true">
                    <headtext>Ordinary share catch-up</headtext>
                  </head>
                  <division id="a000068" level="1">
                    <para>
                      <paratext>
                        Management may argue that once the holders of the Preferred Shares have received their invested capital, plus scheduled dividends back, the holders of the Ordinary Shares should be entitled to the return of their capital invested, plus dividends, before any allocation of surplus amounts. Without the inclusion of the 'catch-up' distribution in 
                        <internal.reference refid="a317264">article 11(b)</internal.reference>
                        , the holders of the Preferred Shares will receive a greater proportionate return on each Preferred Share held, than the holders of the Ordinary Shares.
                      </paratext>
                    </para>
                  </division>
                </drafting.note>
              </subclause2>
              <subclause2 id="a747108">
                <identifier>(c)</identifier>
                <para>
                  <paratext>thereafter, in distributing the balance among the holders of the Equity Shares pro rata to the number of Equity Shares held, as if they all constituted shares of the same class.</paratext>
                </para>
                <drafting.note id="a690712" jurisdiction="">
                  <head align="left" preservecase="true">
                    <headtext>Different nominal values</headtext>
                  </head>
                  <division id="a000069" level="1">
                    <para>
                      <paratext>
                        Where shares of different classes have different nominal values, consider whether the return of any surplus assets should be made proportionate to the respective nominal values, or whether the holders of all shares are to be treated equally. 
                        <internal.reference refid="a747108">article 11(c)</internal.reference>
                         treats all shareholders equally.
                      </paratext>
                    </para>
                  </division>
                </drafting.note>
              </subclause2>
            </subclause1>
          </clause>
          <clause id="a723154">
            <identifier>12.</identifier>
            <head align="left" preservecase="true">
              <headtext>Exit provisions</headtext>
            </head>
            <subclause1 id="a263857">
              <identifier>12.1</identifier>
              <para>
                <paratext>
                  On a Share Sale, the Sale Proceeds shall be distributed in the order of priority set out in 
                  <internal.reference refid="a302537">article 11</internal.reference>
                  . The Directors shall not register any transfer of Shares if the Sale Proceeds are not distributed in that manner (save in respect of any Shares not sold in connection with that Share Sale) provided that, if the Sale Proceeds are not settled in their entirety upon completion of the Share Sale:
                </paratext>
              </para>
              <subclause2 id="a438405">
                <identifier>(a)</identifier>
                <para>
                  <paratext>
                    the Directors may register the transfer of the relevant Shares, provided that the Sale Proceeds due on the date of completion of the Share Sale have been distributed in the order of priority set out in 
                    <internal.reference refid="a302537">article 11</internal.reference>
                    ; and
                  </paratext>
                </para>
              </subclause2>
              <subclause2 id="a175418">
                <identifier>(b)</identifier>
                <para>
                  <paratext>
                    each Shareholder shall take any [reasonable] action (to the extent lawful [and within its control]) required by an Investor Majority to ensure that the balance of the Sale Proceeds are distributed in the order of priority set out in 
                    <internal.reference refid="a302537">article 11</internal.reference>
                    .
                  </paratext>
                </para>
                <drafting.note id="a698802" jurisdiction="">
                  <head align="left" preservecase="true">
                    <headtext>Share sale proceeds</headtext>
                  </head>
                  <division id="a000070" level="1">
                    <para>
                      <paratext>
                        <internal.reference refid="a723154">article 12</internal.reference>
                         requires the proceeds of a share sale to be distributed as if they were the surplus assets of the company available for distribution to its shareholders. In this way, an investor will be able to recoup any loss on its capital invested before any other shareholder.
                      </paratext>
                    </para>
                    <para>
                      <paratext>
                        <bold>Treasury shares</bold>
                      </paratext>
                    </para>
                    <para>
                      <paratext>In principle, there is nothing to prohibit a company participating in a Share Sale and sharing in the sale proceeds alongside the other shareholders. In fact, the Company may prefer to participate in the sale to recover all or part of the sum paid out on the purchase of those shares held in treasury. Consider, however, whether an Investor and/or the other shareholders would prefer the Company to cancel those shares, leaving the Sale Proceeds to be split between a smaller number of shares. Either approach may result in the buyer seeking to adjust the consideration payable for the shares to be purchased.</paratext>
                    </para>
                    <para>
                      <paratext>
                        If the Company is to participate in a Share Sale, 
                        <internal.reference refid="a263857">article 12.1</internal.reference>
                         should be amended to exclude the application of 
                        <internal.reference refid="a764618">article 1.10</internal.reference>
                         (which deems the Company not to be a holder of Shares) from 
                        <internal.reference refid="a302537">article 11</internal.reference>
                         in relation to a Share Sale only. If that is the case, consider whether any amendments should also be made to 
                        <internal.reference refid="a1052001">article 22</internal.reference>
                         (Mandatory offer on change of control) and 
                        <internal.reference refid="a457892">article 23</internal.reference>
                         (Drag along).
                      </paratext>
                    </para>
                  </division>
                </drafting.note>
              </subclause2>
            </subclause1>
            <subclause1 condition="optional" id="a370272">
              <identifier>12.2</identifier>
              <para>
                <paratext>
                  On a Disposal, the surplus assets of the Company remaining after payment of its liabilities shall be distributed (to the extent that the Company is lawfully permitted to do so) in the order of priority set out in 
                  <internal.reference refid="a302537">article 11</internal.reference>
                  , provided always that if it is not lawful for the Company to distribute its surplus assets in accordance with the provisions of these Articles, each Shareholder shall (to the extent lawful [and within its control]) take any [reasonable] action required by an Investor Majority (including, but without prejudice to the generality of this 
                  <internal.reference refid="a370272">article 12.2</internal.reference>
                  , such action as may be necessary to put the Company into voluntary liquidation so that 
                  <internal.reference refid="a302537">article 11</internal.reference>
                   applies).
                </paratext>
              </para>
              <drafting.note id="a645396" jurisdiction="">
                <head align="left" preservecase="true">
                  <headtext>Proceeds of an asset sale</headtext>
                </head>
                <division id="a000071" level="1">
                  <para>
                    <paratext>
                      On a sale of assets it is the selling company, not that company's shareholders, who will receive the proceeds. Any allocation of those proceeds to the shareholders would have to be made either by way of dividend (to which 
                      <internal.reference refid="a862624">article 10</internal.reference>
                       would apply) or return of capital (to which 
                      <internal.reference refid="a302537">article 11</internal.reference>
                       would apply). As a result, 
                      <internal.reference refid="a370272">article 12.2</internal.reference>
                       is arguably superfluous. However, such wording is often included, for the sake of clarity of the parties' (or an investor's) intention, at least. For that reason, 
                      <internal.reference refid="a370272">article 12.2</internal.reference>
                       is included as an optional article.
                    </paratext>
                  </para>
                  <para>
                    <paratext>
                      As with a share sale, where the disposal involves deferred consideration, the ordinary shareholders should seek to include the words in square brackets in 
                      <internal.reference refid="a370272">article 12.2</internal.reference>
                      , to resist potential liability for failure to comply with their obligation under that article as a result of any matter which is not within their control.
                    </paratext>
                  </para>
                </division>
              </drafting.note>
            </subclause1>
            <subclause1 id="a624033">
              <identifier>12.3</identifier>
              <para>
                <paratext>
                  Immediately before a Listing [which is not a Qualifying Listing], the Company shall issue to each holder for the time being of Preferred Shares, by way of automatic capitalisation of reserves, such number of Ordinary Shares which shall result in that holder holding, when aggregated with its existing shareholding (and following every issue of Ordinary Shares to Shareholders pursuant to this 
                  <internal.reference refid="a624033">article 12.3</internal.reference>
                  ), the same proportion of the total number of Equity Shares in issue as the proportion that its entitlement to the surplus assets of the Company under 
                  <internal.reference refid="a302537">article 11</internal.reference>
                   (including by way of arrears and accruals of dividend) bears to the total of the surplus assets available for distribution to the Shareholders under 
                  <internal.reference refid="a302537">article 11</internal.reference>
                  .
                </paratext>
              </para>
              <drafting.note id="a415272" jurisdiction="">
                <head align="left" preservecase="true">
                  <headtext>Allocation of value on a Listing</headtext>
                </head>
                <division id="a000072" level="1">
                  <para>
                    <paratext>
                      A Listing will not automatically involve a realisation of value for an investor. It may, for example, be 'locked-in' to holding shares in the newly listed company for a period following flotation. However, the venture capital industry commonly treats a Listing as an exit event, alongside share sales and asset disposals, given the liquidity of its investment on flotation (subject to any such lock-in). As a result, an investor will want to ensure that, if it were to sell all its shares on the public markets upon admission to trading of the company's shares, it will receive the same return as it would have received had the exit been structured as a share sale. To achieve that, 
                      <internal.reference refid="a624033">article 12.3</internal.reference>
                       will operate to capitalise the company's distributable reserves and to issue such capitalised amounts in the form of bonus shares to the investor(s). The intended result is that an investor will hold, following the bonus issue, the same percentage of the total number of shares in the company as equals the percentage of the proceeds to which it would be entitled on a share sale (at a sale price equal to the market capitalisation of the company on flotation).
                    </paratext>
                  </para>
                  <para>
                    <paratext>
                      Note that the capitalisation refers to amounts to which the holder of Preferred Shares would be entitled under 
                      <internal.reference refid="a302537">article 11</internal.reference>
                      . 
                      <internal.reference refid="a302537">article 11</internal.reference>
                       includes arrears and accruals of dividend and so such amounts should be taken into account in calculating any entitlement to bonus shares under 
                      <internal.reference refid="a624033">article 12.3</internal.reference>
                      .
                    </paratext>
                  </para>
                  <para>
                    <paratext>
                      <bold>Treasury shares</bold>
                    </paratext>
                  </para>
                  <para>
                    <paratext>
                      <internal.reference refid="a1054380">Article 12.4</internal.reference>
                       provides for a capitalisation of reserves to pay up bonus shares to be allotted to the shareholder immediately prior to a listing. Although
                      <link href="7-506-5078" style="ACTLinkPLCtoPLC">
                        <ital> section 726</ital>
                      </link>
                       of the CA 2006 does not prohibit a company that holds shares in treasury from participating in a bonus issue, 
                      <internal.reference refid="a764618">article 1.10</internal.reference>
                       deems the Company not to be a holder of Preferred Shares. As such, the Company will not, as drafted, participate in the bonus issue to be made ahead of a listing of shares.
                    </paratext>
                  </para>
                </division>
              </drafting.note>
            </subclause1>
            <subclause1 id="a1054380">
              <identifier>12.4</identifier>
              <para>
                <paratext>
                  All Ordinary Shares to be issued in accordance with 
                  <internal.reference refid="a624033">article 12.3</internal.reference>
                   shall be paid up by the automatic capitalisation of any amount standing to the credit of the share premium account or any other available reserve of the Company as determined by the Directors and shall be credited as fully paid at par. Such a capitalisation shall be automatic and shall not require any action on the part of the Shareholders and the Directors shall allot the Ordinary Shares arising on the capitalisation to the Shareholders entitled to them in accordance with 
                  <internal.reference refid="a624033">article 12.3</internal.reference>
                  . If and to the extent that the Company is not lawfully permitted to carry out the capitalisation required by 
                  <internal.reference refid="a624033">article 12.3</internal.reference>
                   in full (whether by virtue of the Act or otherwise), [the entitlement of each holder of Preferred Shares to such an issue of Ordinary Shares shall be reduced in the same proportion that its holding of Preferred Shares bears to the total number of Preferred Shares then in issue and] each such holder shall be entitled to subscribe in cash at par for the balance of that number of additional Ordinary Shares as would otherwise have been issued pursuant to 
                  <internal.reference refid="a624033">article 12.3</internal.reference>
                  . The Shareholders shall procure (so far as they are lawfully able) that the Directors shall have sufficient authorisations required to issue the Ordinary Shares which may fall to be issued under 
                  <internal.reference refid="a624033">article 12.3</internal.reference>
                   or this 
                  <internal.reference refid="a1054380">article 12.4</internal.reference>
                  .
                </paratext>
              </para>
              <drafting.note id="a950661" jurisdiction="">
                <head align="left" preservecase="true">
                  <headtext>Bonus shares</headtext>
                </head>
                <division id="a000073" level="1">
                  <para>
                    <paratext>
                      The first two sentences of 
                      <internal.reference refid="a1054380">article 12.4</internal.reference>
                       set out the mechanics by which 
                      <internal.reference refid="a624033">article 12.3</internal.reference>
                       will operate. The reserves to be capitalised will be those to the credit of the share premium account (or other distributable reserve determined by the directors) and capitalisation will take place automatically (to avoid risk that the directors or shareholders fail to comply with an obligation to approve such capitalisation).
                    </paratext>
                  </para>
                  <para>
                    <paratext>
                      The remainder of 
                      <internal.reference refid="a1054380">article 12.4</internal.reference>
                       provides a solution in the event that the distributable reserves of the company are insufficient to make the bonus issues of shares required by 
                      <internal.reference refid="a624033">article 12.3</internal.reference>
                      . An investor will be entitled to subscribe at nominal value for Ordinary Shares, to the extent that the company is not permitted to make a bonus issue. For this reason, an investor may seek, at the outset of the investment, to attribute a low nominal value to the Ordinary Shares (and as a result and to avoid any subsidiary issue, the Preferred Shares). The lower the nominal value of an Ordinary Share, the less capital an investor must subscribe under this 
                      <internal.reference refid="a1054380">article 12.4</internal.reference>
                       (and therefore the greater the net return on each bonus share).
                    </paratext>
                  </para>
                  <para>
                    <paratext>
                      The words in square brackets clarify that the entitlement of each holder of Preferred Shares is to be reduced pro rata in the event that the company is not permitted to make a bonus issue of the total number of shares which would otherwise be required under 
                      <internal.reference refid="a1054380">article 12.4</internal.reference>
                      . This language is very prescriptive and may not be appropriate in all cases (where the directors may wish to have more flexibility as to how they comply with this article), in which case the words should be omitted.
                    </paratext>
                  </para>
                </division>
              </drafting.note>
            </subclause1>
            <subclause1 condition="optional" id="a1036002">
              <identifier>12.5</identifier>
              <para>
                <paratext>
                  In the event of an Exit approved by the Directors (acting with Investor Consent) (
                  <defn.term>Proposed Exit</defn.term>
                  ), all Shareholders shall consent to, vote for, raise no objections to and waive any applicable rights in connection with the Proposed Exit. The Shareholders shall be required to take all lawful actions with respect to the Proposed Exit as are [reasonably] required by the Directors to facilitate the Proposed Exit. If any Shareholder fails to comply with the provisions of this 
                  <internal.reference refid="a1036002">article 12.5</internal.reference>
                  :
                </paratext>
              </para>
              <subclause2 id="a450803">
                <identifier>(a)</identifier>
                <para>
                  <paratext>the Company shall be constituted the agent [and attorney] of each defaulting Shareholder for taking such actions as are necessary to effect the Proposed Exit;</paratext>
                </para>
              </subclause2>
              <subclause2 id="a393351">
                <identifier>(b)</identifier>
                <para>
                  <paratext>the Directors may authorise an officer of the Company or a Shareholder to execute and deliver on behalf of such defaulting Shareholder all or any necessary documents; and</paratext>
                </para>
              </subclause2>
              <subclause2 id="a831286">
                <identifier>(c)</identifier>
                <para>
                  <paratext>the Company may receive any purchase money due to the defaulting Shareholder in trust for each of the defaulting Shareholders (without any obligation to pay interest).</paratext>
                </para>
                <drafting.note id="a786532" jurisdiction="">
                  <head align="left" preservecase="true">
                    <headtext>Shareholder rights on Exit</headtext>
                  </head>
                  <division id="a000074" level="1">
                    <para>
                      <paratext>
                        <internal.reference refid="a1036002">Article 12.5</internal.reference>
                         is included as an optional provision, as it may be considered unduly harsh on those ordinary shareholders who are not directors. It effectively removes any right for them to object to an exit (subject to minority protection rights under the 
                        <link href="3-503-8567" style="ACTLinkPLCtoPLC">
                          <ital>CA 2006</ital>
                        </link>
                         and under common law; for more, see 
                        <link href="1-204-0367" style="ACTLinkPLCtoPLC">
                          <ital>Practice note, Protection of members against unfair prejudice: Companies Act 2006</ital>
                        </link>
                        ). On the other hand, an investor will want as few obstacles to the realisation of its investment, once it has taken the decision to exit, as possible. 
                        <internal.reference refid="a1036002">Article 12.5</internal.reference>
                         empowers the directors to sign documents effecting that exit as agent (and attorney, if the words in square brackets are included and to the extent permitted by law) on behalf of any dissenting shareholders.
                      </paratext>
                    </para>
                    <para>
                      <paratext>
                        It is not clear whether articles of association are adequate to grant a power of attorney on behalf of a shareholder. 
                        <link href="1-505-9400" style="ACTLinkPLCtoPLC">
                          <ital>Section 33(1)</ital>
                        </link>
                         of the CA 2006 does not repeat the wording of 
                        <link href="9-505-9401" style="ACTLinkPLCtoPLC">
                          <ital>section 14(1)</ital>
                        </link>
                         of the 1985 Act ("as if signed and sealed"). As a power of attorney must be granted by deed, the absence of those words from section 33 of the CA 2006 raises the potential difficulty of appointing directors as the attorney of a shareholder to carry out certain actions on their behalf. 
                        <internal.reference refid="a831286">Article 12.5(c)</internal.reference>
                         therefore provides that such deemed appointee shall be the agent of the relevant shareholder. As a stock transfer form purporting to transfer fully paid shares need not be made by deed, such agency should suffice to give effect to power granted under 
                        <internal.reference refid="a831286">article 12.5(c)</internal.reference>
                        .
                      </paratext>
                    </para>
                  </division>
                </drafting.note>
              </subclause2>
            </subclause1>
          </clause>
          <clause id="a907328">
            <identifier>13.</identifier>
            <head align="left" preservecase="true">
              <headtext>Variation of class rights</headtext>
            </head>
            <subclause1 id="a242495">
              <identifier>13.1</identifier>
              <para>
                <paratext>Whenever the share capital of the Company is divided into different classes of Shares, the special rights attached to any such class may only be varied or abrogated (either whilst the Company is a going concern or during or in contemplation of a winding up) with the consent in writing of the holders of at least [75]% in nominal value of the issued Shares of that class [(excluding any holder(s) of Restricted Shares)], save that the special rights attached to the Preferred Shares may only be varied or abrogated with Investor Consent.</paratext>
              </para>
              <drafting.note id="a54015" jurisdiction="">
                <head align="left" preservecase="true">
                  <headtext>Variation of class rights</headtext>
                </head>
                <division id="a000075" level="1">
                  <para>
                    <paratext>
                      <link href="2-505-5190" style="ACTLinkPLCtoPLC">
                        <ital>Section 630</ital>
                      </link>
                       of the CA 2006 sets out the statutory requirements for a variation of class rights. However, section 630(2)(b) makes it clear that the requirements of that section 630 apply only if the articles do not make specific provision for the variation of class rights. 
                      <internal.reference refid="a907328">Article 13</internal.reference>
                       makes such provision and so will override the statutory provisions.
                    </paratext>
                  </para>
                  <para>
                    <paratext>Consideration should be given to:</paratext>
                  </para>
                  <list type="bulleted">
                    <list.item>
                      <para>
                        <paratext>
                          Whether 75% (which matches 
                          <link href="2-505-5190" style="ACTLinkPLCtoPLC">
                            <ital>section 630(4)(a)</ital>
                          </link>
                           of the CA 2006) is an appropriate threshold for the consent of the ordinary shareholders to a variation of class rights.
                        </paratext>
                      </para>
                    </list.item>
                    <list.item>
                      <para>
                        <paratext>Whether it is appropriate that consent to such a variation (whether in respect of the Ordinary Shares or the Preferred Shares) may only be given in writing. Section 630(4)(b) of the CA 2006 also provides that consent may be given at a class meeting.</paratext>
                      </para>
                    </list.item>
                    <list.item>
                      <para>
                        <paratext>
                          The definition of 'Investor Consent' and the threshold above which consent is deemed to be given (and see 
                          <internal.reference refid="a937842">Drafting note, Provision for entrenchment</internal.reference>
                          ).
                        </paratext>
                      </para>
                    </list.item>
                    <list.item>
                      <para>
                        <paratext>
                          Whether the holders of Restricted Shares (as defined in 
                          <internal.reference refid="a890822">article 21.7</internal.reference>
                           being those whose shares have been disenfranchised under these Articles) should be excluded from participating in a class decision of the Ordinary Shares. If included, consideration should be given to whether the definition of 'Restricted Shares' should extend to the holders of any Shares which have been disenfranchised pursuant to 
                          <internal.reference refid="a499404">article 17.7(a)</internal.reference>
                          .
                        </paratext>
                      </para>
                    </list.item>
                  </list>
                  <division id="a702633" level="2">
                    <head align="left" preservecase="true">
                      <headtext>Class rights: treasury shares</headtext>
                    </head>
                    <para>
                      <paratext>
                        Under 
                        <internal.reference refid="a638953">article 26</internal.reference>
                         the Company will be able to hold shares in treasury following a buyback. Consider whether the percentage of shares of the relevant class required to approve a variation of class rights under 
                        <internal.reference refid="a242495">article 13.1</internal.reference>
                         should be calculated by reference to a total number of shares that includes or excludes any ordinary held in treasury.
                      </paratext>
                    </para>
                    <para>
                      <paratext>
                        Under 
                        <internal.reference refid="a764618">article 1.10</internal.reference>
                        , references to the holders of a particular class of shares will not include the Company. As such, the total pool of shares, against which the percentage threshold is calculated, will be smaller, making it easier for the relevant class of shareholders to reach that threshold.
                      </paratext>
                    </para>
                  </division>
                </division>
              </drafting.note>
            </subclause1>
            <subclause1 id="a971415">
              <identifier>13.2</identifier>
              <para>
                <paratext>
                  Without prejudice to the generality of 
                  <internal.reference refid="a242495">article 13.1</internal.reference>
                  , the special rights attaching to the Preferred Shares shall be deemed to be varied by the occurrence of any of the following events:
                </paratext>
              </para>
              <subclause2 id="a1050230">
                <identifier>(a)</identifier>
                <para>
                  <paratext>the amendment or repeal of any provision of, or addition of any provision to, the constitution of any Group Company;</paratext>
                </para>
                <drafting.note id="a937842" jurisdiction="">
                  <head align="left" preservecase="true">
                    <headtext>Provision for entrenchment</headtext>
                  </head>
                  <division id="a000076" level="1">
                    <para>
                      <paratext>
                        The constitution of a company is defined by 
                        <link href="3-505-5081" style="ACTLinkPLCtoPLC">
                          <ital>section 17</ital>
                        </link>
                         of the 2006 Act as including its articles (and any resolutions and agreements to which Chapter 3 of Part 3 of the 
                        <link href="3-503-8567" style="ACTLinkPLCtoPLC">
                          <ital>CA 2006</ital>
                        </link>
                         applies) (
                        <link href="9-505-5078" style="ACTLinkPLCtoPLC">
                          <ital>section 29</ital>
                        </link>
                        <ital>, CA 2006</ital>
                        ). Under 
                        <link href="4-505-5108" style="ACTLinkPLCtoPLC">
                          <ital>section 22</ital>
                        </link>
                         of the CA 2006, a company's articles may contain provisions for entrenchment, to the effect that specified provisions of the articles may only be amended (or repealed) if conditions are met, or procedures complied with, that are more restrictive than those required for a special resolution. 
                        <link href="6-505-5112" style="ACTLinkPLCtoPLC">
                          <ital>Section 23</ital>
                        </link>
                         of the CA 2006 requires notice of the existence on formation (or introduction or repeal) of a provision for entrenchment to be notified to Companies House.
                      </paratext>
                    </para>
                    <para>
                      <paratext>
                        <internal.reference refid="a1050230">Article 13.2(a)</internal.reference>
                         provides that these Articles may not be amended without investor consent. Such restriction may constitute a provision for entrenchment, in that it requires additional steps (investor consent) before any amendment may be made to the Articles by special resolution.
                      </paratext>
                    </para>
                    <para>
                      <paratext>
                        If 
                        <internal.reference refid="a1050230">article 13.2(a)</internal.reference>
                         does constitute a provision for entrenchment, consideration should be given to the following issues:
                      </paratext>
                    </para>
                    <list type="bulleted">
                      <list.item>
                        <para>
                          <paratext>
                            As the 
                            <link href="3-503-8567" style="ACTLinkPLCtoPLC">
                              <ital>CA 2006</ital>
                            </link>
                             is drafted, a provision for entrenchment may be included in the articles on formation or by a unanimous amendment to the articles (
                            <link href="4-505-5108" style="ACTLinkPLCtoPLC">
                              <ital>section 22(2)</ital>
                            </link>
                            <ital>, CA 2006</ital>
                            ). The investee company is likely to have been incorporated some time before completion of the investment (whether it is a new company formed for an acquisition, or an existing trading company). Including 
                            <internal.reference refid="a1050230">article 13.2(a)</internal.reference>
                             would therefore fall within section 22(2)(b) of the CA 2006 and so the adoption of the articles would require unanimous consent of the shareholders (as opposed to the usual written resolution of 75% of the voting rights of eligible members (
                            <link href="8-505-9393" style="ACTLinkPLCtoPLC">
                              <ital>section 283(2)</ital>
                            </link>
                            <ital>, CA 2006</ital>
                            )). In most cases this should not be difficult to achieve in practice, as the existing shareholders of the company will support the making of the investment.
                          </paratext>
                        </para>
                        <para>
                          <paratext>
                            However, as a result of concerns raised that section 22 would catch variation of class rights provisions in the articles of, for example, listed companies or large public companies, BIS has delayed the implementation of 
                            <link href="4-505-5108" style="ACTLinkPLCtoPLC">
                              <ital>section 22(2)</ital>
                            </link>
                             of the CA 2006 (regulation 2(2), the 
                            <link href="8-505-5111" style="ACTLinkPLCtoPLC">
                              <ital>Companies Act 2006 and Limited Liability Partnerships (Transitional Provisions and Savings) (Amendment) Regulations 2009</ital>
                            </link>
                            <ital> (SI 2009/2476)</ital>
                            ) (see 
                            <link href="2-500-1791" style="ACTLinkPLCtoPLC">
                              <ital>Legal update, The Companies Act 2006 and Limited Liability Partnerships (Transitional Provisions and Savings) (Amendment) Regulations 2009</ital>
                            </link>
                            ). As such, until a further decision is taken as to the implementation of section 22(2), class rights provisions of the type which may also constitute provisions for entrenchment may be included in a company's articles by a special resolution passed under 
                            <link href="9-505-5101" style="ACTLinkPLCtoPLC">
                              <ital>section 21</ital>
                            </link>
                             of the CA 2006 (subject to any existing restriction on such an amendment in the particular company's articles).
                          </paratext>
                        </para>
                        <para>
                          <paratext>
                            If such a variation of class rights provision does constitute a provision for entrenchment, the company will be required to file a statement of compliance with Companies House each time it amends it articles (that is, on any amendment, not simply an amendment to the entrenched provision) (
                            <link href="4-505-5113" style="ACTLinkPLCtoPLC">
                              <ital>section 24(2)</ital>
                            </link>
                            <ital>, CA 2006</ital>
                             and 
                            <link href="6-422-1311" style="ACTLinkPLCtoPLC">
                              <ital>Form CC04</ital>
                            </link>
                            ).
                          </paratext>
                        </para>
                      </list.item>
                    </list>
                    <list type="bulleted">
                      <list.item>
                        <para>
                          <paratext>
                            As a variation of 
                            <internal.reference refid="a1050230">article 13.2(a)</internal.reference>
                             is itself a change to the articles, that variation would also be subject to the requirement of 
                            <internal.reference refid="a1050230">article 13.2(a)</internal.reference>
                             and also require investor consent (as well as a special resolution under 
                            <link href="9-505-5101" style="ACTLinkPLCtoPLC">
                              <ital>section 21</ital>
                            </link>
                             of the CA 2006). Alternatively, 
                            <link href="4-505-5108" style="ACTLinkPLCtoPLC">
                              <ital>section 22(3)(a)</ital>
                            </link>
                             provides that the same variation may be achieved with the unanimous agreement of all shareholders (highlighting the fact that any provision for entrenchment may be overridden by unanimity).
                          </paratext>
                        </para>
                      </list.item>
                      <list.item>
                        <para>
                          <paratext>
                            The company must notify Companies House of the inclusion of 
                            <internal.reference refid="a1050230">article 13.2(a)</internal.reference>
                             as a provision for entrenchment on completion of the investment (
                            <link href="6-505-5112" style="ACTLinkPLCtoPLC">
                              <ital>section 23(1)(b)</ital>
                            </link>
                            <ital>, CA 2006</ital>
                             and 
                            <link href="2-422-1308" style="ACTLinkPLCtoPLC">
                              <ital>Form CC01</ital>
                            </link>
                            ) and on any subsequent removal of that 
                            <internal.reference refid="a1050230">article 13.2(a)</internal.reference>
                             (
                            <ital>section 23(2)(a), CA 2006</ital>
                             and 
                            <link href="0-422-1309" style="ACTLinkPLCtoPLC">
                              <ital>Forms CC02</ital>
                            </link>
                             and 
                            <link href="8-422-1310" style="ACTLinkPLCtoPLC">
                              <ital>CC03</ital>
                            </link>
                            ). The 
                            <link href="3-503-8567" style="ACTLinkPLCtoPLC">
                              <ital>CA 2006</ital>
                            </link>
                             does not seem to require the giving of notice where the wording of 
                            <internal.reference refid="a1050230">article 13.2(a)</internal.reference>
                             is amended, provided it continues to constitute a provision for entrenchment. Once a provision in the terms of 
                            <internal.reference refid="a1050230">article 13.2(a)</internal.reference>
                             is included in the articles it is unlikely that, for so long as an investor holds shares in the company, such provision would be removed entirely. It is not clear whether an amendment of that provision (for example, by amending the definition of 'investor consent' to require a different percentage consent from the preferred shareholders) would constitute a removal of the existing provision for entrenchment and substitution of a new one. The company should, however, consider whether notification is required if it changes its articles on the investor ceasing to hold shares.
                          </paratext>
                        </para>
                      </list.item>
                    </list>
                    <para>
                      <paratext>
                        In practice, any variation of the articles is likely to be a matter reserved for investor consent under the terms of the investment agreement, to which 
                        <link href="4-505-5108" style="ACTLinkPLCtoPLC">
                          <ital>sections 22</ital>
                        </link>
                         and 
                        <link href="6-505-5112" style="ACTLinkPLCtoPLC">
                          <ital>23</ital>
                        </link>
                         of the CA 2006 do not apply. However, for publicity purposes, such restriction is also usually included in the articles.
                      </paratext>
                    </para>
                    <para>
                      <paratext>The issues raised above may apply equally to other types of preferential shareholder rights. For example, a weighted voting right under which one shareholder (or class of shareholders) is given power to defeat a special resolution which has otherwise been passed by the required majority may constitute a procedure to be complied with, making the passing of that resolution more restrictive than a special resolution.</paratext>
                    </para>
                  </division>
                </drafting.note>
              </subclause2>
              <subclause2 id="a548208">
                <identifier>(b)</identifier>
                <para>
                  <paratext>
                    the alteration in any manner (including, without limitation, by an increase, reduction, sub-division, consolidation, re-classification or a change in any of the rights attached) of any of the issued share capital or other securities of any Group Company or the creation by any Group Company of any shares or other securities (save as expressly provided otherwise in these Articles)[, but excluding in each case the issue of any shares or other securities on the exercise of any option, warrant or other right to acquire or subscribe for shares or other securities referred to in 
                    <internal.reference refid="a54276">article 13.2(c)</internal.reference>
                    ];
                  </paratext>
                </para>
                <drafting.note id="a195279" jurisdiction="">
                  <head align="left" preservecase="true">
                    <headtext>Increase in share capital</headtext>
                  </head>
                  <division id="a000077" level="1">
                    <para>
                      <paratext>
                        Management should ensure that, if there is a restriction (as in 
                        <internal.reference refid="a54276">article 13.2(c)</internal.reference>
                        ) on the issue of share options, 
                        <internal.reference refid="a548208">article 13.2(b)</internal.reference>
                         should not also restrict the issue of shares on the exercise of those options.
                      </paratext>
                    </para>
                  </division>
                </drafting.note>
              </subclause2>
              <subclause2 id="a54276">
                <identifier>(c)</identifier>
                <para>
                  <paratext>the grant of any option, warrant or other right to acquire or subscribe for shares in or other securities of any Group Company (whether or not pursuant to a Share Option Scheme);</paratext>
                </para>
              </subclause2>
              <subclause2 id="a270493">
                <identifier>(d)</identifier>
                <para>
                  <paratext>
                    the approval of any merger, liquidation, dissolution or acquisition of any Group Company or the sale of all or [any 
                    <bold>OR</bold>
                     a substantial] part of the business, undertaking or assets of any Group Company;
                  </paratext>
                </para>
              </subclause2>
              <subclause2 id="a152999">
                <identifier>(e)</identifier>
                <para>
                  <paratext>
                    the purchase by any Group Company of any Shares [(other than pursuant to an authority granted under section 693A of the Act)][or 
                    <bold>OR</bold>
                     ,][or the redemption of any shares or other securities of any Group Company];
                  </paratext>
                </para>
                <drafting.note id="a1022928" jurisdiction="">
                  <head align="left" preservecase="true">
                    <headtext>Class rights: purchase of own shares</headtext>
                  </head>
                  <division id="a000078" level="1">
                    <para>
                      <paratext>Section 693A of the CA 2006 allows shareholders to pass an ordinary resolution granting the directors authority to purchase its own shares for the purposes of or pursuant to an employees' share scheme. Where such an ordinary resolution has been passed under section 693A, consider whether it would be appropriate to also require Investor Consent to such a purchase.</paratext>
                    </para>
                  </division>
                </drafting.note>
              </subclause2>
              <subclause2 id="a505483">
                <identifier>(f)</identifier>
                <para>
                  <paratext>the acquisition by any Group Company of any shares or other securities, or any option, warrant or other right to acquire or subscribe for any of the same, in any entity (whether or not incorporated);</paratext>
                </para>
              </subclause2>
              <subclause2 id="a448031">
                <identifier>(g)</identifier>
                <para>
                  <paratext>save as expressly provided otherwise in these Articles, the application by capitalisation of any sum in or towards paying up any shares or other securities of any Group Company, or any other reduction of any amount standing from time to time to the credit of the share premium account or capital redemption reserve of any Group Company;</paratext>
                </para>
              </subclause2>
              <subclause2 id="a885965">
                <identifier>(h)</identifier>
                <para>
                  <paratext>the entering into by any Group Company of a voluntary winding up;</paratext>
                </para>
              </subclause2>
              <subclause2 id="a306583">
                <identifier>(i)</identifier>
                <para>
                  <paratext>the transferring of any profits to reserves [or otherwise (save in the ordinary course of business)] and the taking of any action (excluding payment of dividends) which [will raise or] may reduce the amount of the profits of any Group Company available for distribution;</paratext>
                </para>
              </subclause2>
              <subclause2 id="a779152">
                <identifier>(j)</identifier>
                <para>
                  <paratext>
                    the appointment or removal of any director of any Group Company, other than the appointment or removal of an Investor Director made in accordance with 
                    <internal.reference refid="a93569">article 6</internal.reference>
                     and save as provided by law;
                  </paratext>
                </para>
              </subclause2>
              <subclause2 id="a627022">
                <identifier>(k)</identifier>
                <para>
                  <paratext>the redenomination of any of the issued share capital of any Group Company; [and]</paratext>
                </para>
              </subclause2>
              <subclause2 id="a552253">
                <identifier>(l)</identifier>
                <para>
                  <paratext>any Group Company incurring any obligation (whether or not conditional) to do any of the foregoing [; and]</paratext>
                </para>
              </subclause2>
              <subclause2 id="a776561">
                <identifier>(m)</identifier>
                <para>
                  <paratext>[ADD OTHER MATTERS AS AGREED BY THE PARTIES].</paratext>
                </para>
                <drafting.note id="a963481" jurisdiction="">
                  <head align="left" preservecase="true">
                    <headtext>Variation of Investors' class rights</headtext>
                  </head>
                  <division id="a000079" level="1">
                    <para>
                      <paratext>
                        As well as the general provisions of 
                        <internal.reference refid="a242495">article 13.1</internal.reference>
                         governing a variation of class rights, 
                        <internal.reference refid="a971415">article 13.2</internal.reference>
                         sets out a list of specific matters which are deemed to constitute a variation of the investors' class rights. This list is included under the power available (under 
                        <link href="2-505-5190" style="ACTLinkPLCtoPLC">
                          <ital>section 630(2)(a)</ital>
                        </link>
                         of the CA 2006) for a company's articles to set out specific provisions relating to the variation of class rights.
                      </paratext>
                    </para>
                    <para>
                      <paratext>The list of included matters will be for negotiation, although it is likely that each such matter will also require separate consent under the requirements of the investment agreement.</paratext>
                    </para>
                    <para>
                      <paratext>
                        The decision in 
                        <link href="https://uk.practicallaw.thomsonreuters.com/Document/I90E1E8C0E42811DA8FC2A0F0355337E9/View/FullText.html?navId=3C4A35F6844A22A4DEDD3A7D8D064CAB&amp;amp;comp=pluk&amp;amp;transitionType=Default&amp;amp;contextData=(sc.Default)" style="ACTLinkURL">
                          <ital>Russell v Northern Bank Development Corp Ltd [1992] 3 All E.R. 161</ital>
                        </link>
                         suggests that any provision in the articles of association of a company is void to the extent that it fetters the company's statutory powers. There is therefore a risk that deemed variation provisions such as those included in 
                        <internal.reference refid="a971415">article 13.2</internal.reference>
                         may be unenforceable to the extent that the requirement for investor consent in relation to any of the specified matters would constitute an unlawful fetter on any statutory power of the company. In light of this concern, deemed variation provisions are sometimes omitted from the articles of association and investors seek protection in respect of such matters solely under the investment agreement.
                      </paratext>
                    </para>
                  </division>
                </drafting.note>
              </subclause2>
            </subclause1>
            <subclause1 id="a483410">
              <identifier>13.3</identifier>
              <para>
                <paratext>
                  The creation of a new class of Shares which has preferential rights to one or more existing classes of Shares shall not, except as provided in 
                  <internal.reference refid="a971415">article 13.2</internal.reference>
                  , constitute a variation of the rights of those existing classes of Shares.
                </paratext>
              </para>
              <drafting.note id="a916710" jurisdiction="">
                <head align="left" preservecase="true">
                  <headtext>Creation of a new class of shares</headtext>
                </head>
                <division id="a000080" level="1">
                  <para>
                    <paratext>
                      <internal.reference refid="a483410">article 13.3</internal.reference>
                       provides that the creation of a new class of shares with preferential rights to any of the existing classes of share shall not alone constitute a variation to the existing classes of shares. However, such an issue of shares would probably alter the issued share capital of the company and so be likely to fall within the provisions in 
                      <internal.reference refid="a548208">article 13.2(b)</internal.reference>
                      . It would also necessitate an amendment to the Articles, so would also fall within 
                      <internal.reference refid="a1050230">article 13.2(a)</internal.reference>
                      .
                    </paratext>
                  </para>
                </division>
              </drafting.note>
            </subclause1>
          </clause>
          <clause id="a103637">
            <identifier>14.</identifier>
            <head align="left" preservecase="true">
              <headtext>Conversion of Preferred Shares</headtext>
            </head>
            <drafting.note id="a878618" jurisdiction="">
              <head align="left" preservecase="true">
                <headtext>Conversion of Preferred Shares</headtext>
              </head>
              <division id="a000081" level="1">
                <para>
                  <paratext>
                    <internal.reference refid="a103637">article 14</internal.reference>
                     provides for both the voluntary and automatic conversion of Preferred Shares into Ordinary Shares. The conversion mechanism is most commonly employed in connection with a flotation of the investee company, when it will ease the administrative process of admission to trading if all issued shares are of the same class. It is not common for an investor to voluntarily convert other than in connection with an exit, although 
                    <internal.reference refid="a387988">article 14.1</internal.reference>
                     provides the necessary flexibility should the need arise.
                  </paratext>
                </para>
              </division>
            </drafting.note>
            <subclause1 id="a387988">
              <identifier>14.1</identifier>
              <para>
                <paratext>Any holder of Preferred Shares may at any time, by notice in writing to the Company, require conversion of all of the Preferred Shares held by it at any time into Ordinary Shares. Those Preferred Shares shall convert automatically on the date of service of such notice on the Company (unless such notice states that conversion is to be effective on some later date, or when any conditions specified in the notice have been fulfilled, in which case conversion shall take effect on that later date, or when such conditions have been fulfilled, as the case may be).</paratext>
              </para>
            </subclause1>
            <subclause1 id="a800514">
              <identifier>14.2</identifier>
              <para>
                <paratext>
                  Subject to 
                  <internal.reference refid="a263857">article 12.1</internal.reference>
                  , all of the Preferred Shares shall automatically convert into Ordinary Shares on the date of a [Listing 
                  <bold>OR</bold>
                   Qualifying Listing].
                </paratext>
              </para>
              <drafting.note id="a515453" jurisdiction="">
                <head align="left" preservecase="true">
                  <headtext>Listing or Qualifying Listing</headtext>
                </head>
                <division id="a000082" level="1">
                  <para>
                    <paratext>
                      The Qualifying Listing alternative in square brackets should be included if reference to a Qualifying Listing is included in 
                      <internal.reference refid="a624033">article 12.3</internal.reference>
                      . On a flotation at or above the thresholds set by the investors for a Qualifying Listing, an investor would achieve its desired return on its equity investment without having to trigger the sale preference provisions of 
                      <internal.reference refid="a624033">article 12.3</internal.reference>
                      . If conversion takes place on any Listing, the sale preference provisions of 
                      <internal.reference refid="a624033">article 12.3</internal.reference>
                       should apply regardless of the market capitalisation of the investee company at that time.
                    </paratext>
                  </para>
                </division>
              </drafting.note>
            </subclause1>
            <subclause1 id="a562934">
              <identifier>14.3</identifier>
              <para>
                <paratext>In the case of a conversion pursuant to:</paratext>
              </para>
              <subclause2 id="a744517">
                <identifier>(a)</identifier>
                <para>
                  <paratext>
                    <internal.reference refid="a387988">article 14.1</internal.reference>
                    , at least [NUMBER] Business Days after the date of conversion; or
                  </paratext>
                </para>
              </subclause2>
              <subclause2 id="a199769">
                <identifier>(b)</identifier>
                <para>
                  <paratext>
                    <internal.reference refid="a800514">article 14.2</internal.reference>
                    , at least [NUMBER] Business Days before the date of the [Listing 
                    <bold>OR</bold>
                     Qualifying Listing],
                  </paratext>
                </para>
              </subclause2>
              <para>
                <paratext>each holder of the relevant Preferred Shares converted or to be converted shall deliver the certificate(s) (or an indemnity in a form reasonably satisfactory to the Directors for any lost share certificate) for the Preferred Shares being converted (together with such other evidence (if any) as the Directors may reasonably require to prove good title to those Shares) to the Company at its registered office for the time being.</paratext>
              </para>
            </subclause1>
            <subclause1 id="a99592">
              <identifier>14.4</identifier>
              <para>
                <paratext>
                  Where conversion of any Preferred Share is mandatory on the occurrence of a [Listing 
                  <bold>OR</bold>
                   Qualifying Listing], that conversion shall only be effective immediately before such [Listing 
                  <bold>OR</bold>
                   Qualifying Listing]. If such [Listing 
                  <bold>OR</bold>
                   Qualifying Listing] does not become effective, or does not take place, such conversion shall be deemed not to have occurred.
                </paratext>
              </para>
              <drafting.note id="a981386" jurisdiction="">
                <head align="left" preservecase="true">
                  <headtext>Conversion conditional on Listing</headtext>
                </head>
                <division id="a000083" level="1">
                  <para>
                    <paratext>
                      An investor converting its Preferred Shares in connection with a Listing will not want to hold converted shares if the relevant Listing does not actually take place. 
                      <internal.reference refid="a99592">article 14.4</internal.reference>
                       deals with this potential issue by providing that whilst the Preferred Shares automatically convert an instant before the Listing becomes effective, those shares are only considered definitively converted upon admission to trading.
                    </paratext>
                  </para>
                </division>
              </drafting.note>
            </subclause1>
            <subclause1 id="a665702">
              <identifier>14.5</identifier>
              <para>
                <paratext>
                  On conversion pursuant to this 
                  <internal.reference refid="a103637">article 14</internal.reference>
                  :
                </paratext>
              </para>
              <subclause2 id="a701791">
                <identifier>(a)</identifier>
                <para>
                  <paratext>
                    the relevant Preferred Shares shall (without any further authority than that contained in these Articles) stand converted into Ordinary Shares on the basis of one Ordinary Share for each Preferred Share held (subject to adjustment to take account of any sub-division, consolidation or re-classification of either the Preferred Shares or the Ordinary Shares at any time before a conversion in accordance with this 
                    <internal.reference refid="a103637">article 14</internal.reference>
                    ) and the Ordinary Shares resulting from the conversion shall rank pari passu in all respects with the existing issued Ordinary Shares; and
                  </paratext>
                </para>
                <drafting.note id="a643629" jurisdiction="">
                  <head align="left" preservecase="true">
                    <headtext>Re-organisations</headtext>
                  </head>
                  <division id="a000084" level="1">
                    <para>
                      <paratext>
                        In the event of a sub-division or consolidation of either the Preferred or Ordinary Shares, the one to one conversion ratio set out in 
                        <internal.reference refid="a701791">article 14.5(a)</internal.reference>
                         will no longer be appropriate, unless there is a matching sub-division or consolidation of the other class of shares. References to a re-classification of shares caters for the possibility that the Preferred Shares are re-designated with a different name after the date of adoption of the Articles.
                      </paratext>
                    </para>
                    <para>
                      <paratext>
                        An investor should also consider whether additional protection should be built in to avoid the potential dilutive effect of other changes to the share capital, such as bonus issues (although note that the investor has a veto over further share issues under 
                        <internal.reference refid="a548208">article 13.2(b)</internal.reference>
                        ).
                      </paratext>
                    </para>
                    <para>
                      <paratext>
                        <internal.reference refid="a103637">article 14</internal.reference>
                         uses the re-classification at a fixed rate method of conversion. As a result a Companies House filing may be required under 
                        <link href="2-505-9414" style="ACTLinkPLCtoPLC">
                          <ital>section 636</ital>
                        </link>
                         of the CA 2006. For more on alternative methods of conversion, see 
                        <link href="6-100-0204" style="ACTLinkPLCtoPLC">
                          <ital>Article, Preference shares: Conversion, redemption and class rights</ital>
                        </link>
                        <ital>.</ital>
                      </paratext>
                    </para>
                  </division>
                </drafting.note>
              </subclause2>
              <subclause2 id="a327945">
                <identifier>(b)</identifier>
                <para>
                  <paratext>
                    the Company shall, if it has sufficient Available Profits, pay to the holder(s) of the Preferred Shares being converted a dividend equal to all arrears and accruals of dividends in relation to those Preferred Shares (to be calculated on a daily basis down to (and including) the date of conversion). If the Company has insufficient Available Profits to pay all such arrears and accruals of dividend amounts in full then it shall pay the same to the extent that it is lawfully able to do so and the balance of any such arrears or accruals shall be a debt due of the Company to which 
                    <internal.reference refid="a157044">article 10.10</internal.reference>
                     to 
                    <internal.reference refid="a601614">article 10.12</internal.reference>
                     (inclusive) shall apply.
                  </paratext>
                </para>
                <drafting.note id="a134971" jurisdiction="">
                  <head align="left" preservecase="true">
                    <headtext>Payment of dividends</headtext>
                  </head>
                  <division id="a000085" level="1">
                    <para>
                      <paratext>
                        If conversion is effected in connection with a Listing (whether or not a Qualifying Listing), care should be taken as to the manner in which any arrears and accruals of dividend are to be paid. Under 
                        <internal.reference refid="a327945">article 14.5(b)</internal.reference>
                        , such arrears and accruals are to be paid on the date of conversion. However, if such conversion is to take place at (or shortly before) the time of a Listing, 
                        <internal.reference refid="a624033">article 12.3</internal.reference>
                         would require a capitalisation and bonus share issue in lieu of unpaid dividends.
                      </paratext>
                    </para>
                    <para>
                      <paratext>
                        This standard document is drafted on the assumption that the mechanism in 
                        <internal.reference refid="a624033">article 12.3</internal.reference>
                         will only apply in the event that payment under 
                        <internal.reference refid="a327945">article 14.5(b)</internal.reference>
                         is not made in accordance with its terms. If such payment under 
                        <internal.reference refid="a327945">article 14.5(b)</internal.reference>
                         is made, there would be no arrears or accruals of dividend for which a bonus issue would have to be made under 
                        <internal.reference refid="a624033">article 12.3</internal.reference>
                         (as conversion is deemed to take place immediately before (albeit conditional upon) the relevant Listing).
                      </paratext>
                    </para>
                    <para>
                      <paratext>
                        When deciding how such dividends should be calculated, consider whether the relevant conversion date should be included or excluded; 
                        <internal.reference refid="a327945">article 14.5(b)</internal.reference>
                         provides for such date to be included.
                      </paratext>
                    </para>
                  </division>
                </drafting.note>
              </subclause2>
            </subclause1>
            <subclause1 id="a715064">
              <identifier>14.6</identifier>
              <para>
                <paratext>
                  Forthwith following a conversion pursuant to this 
                  <internal.reference refid="a103637">article 14</internal.reference>
                  , the Company shall enter the holder(s) of the converted Preferred Shares in the register of Shareholders of the Company as the holder(s) of the appropriate number of Ordinary Shares and, subject to the relevant holder of Preferred Shares delivering the relevant share certificate(s) (or indemnity or other evidence) in respect of the Preferred Shares in accordance with 
                  <internal.reference refid="a562934">article 14.3</internal.reference>
                  , the Company shall, within [NUMBER] Business Days of conversion, forward a definitive share certificate for the appropriate number of fully paid Ordinary Shares to such holder of converted Preferred Shares, by post to their address as shown in the Company's register of Shareholders, at their own risk and free of charge.
                </paratext>
              </para>
              <drafting.note id="a88201" jurisdiction="">
                <head align="left" preservecase="true">
                  <headtext>Share certificates</headtext>
                </head>
                <division id="a000086" level="1">
                  <para>
                    <paratext>
                      Under 
                      <internal.reference refid="a715064">article 14.6</internal.reference>
                      , a converting shareholder automatically acquires an unconditional right to be entered into the register of members as the holder of the relevant Ordinary Shares immediately upon conversion. Under 
                      <link href="9-505-9415" style="ACTLinkPLCtoPLC">
                        <ital>section 558</ital>
                      </link>
                       of the CA 2006, this may arguably mean that the Ordinary Shares have, at that point, been allotted to the holder of Preferred Shares (although this is a strict interpretation of the wording and does not sit comfortably with the concept of re-classification of shares used in this 
                      <internal.reference refid="a103637">article 14</internal.reference>
                      ). In that case, 
                      <link href="5-505-9417" style="ACTLinkPLCtoPLC">
                        <ital>section 769</ital>
                      </link>
                       of the CA 2006 would require share certificates in respect of those Ordinary Shares to be issued within two months of the date of conversion.
                    </paratext>
                  </para>
                  <para>
                    <paratext>
                      In any event, an investor converting in connection with a Listing is likely to insist on receiving the relevant certificates immediately, particularly if it intends to trade in those Ordinary Shares on or shortly following admission to trading of those shares. If 
                      <link href="5-505-9417" style="ACTLinkPLCtoPLC">
                        <ital>section 769</ital>
                      </link>
                       of the CA 2006 does apply on a conversion of shares, a failure by the directors to issue the shares within two months will not only trigger a breach of the Articles (assuming the period specified in 
                      <internal.reference refid="a715064">article 14.6</internal.reference>
                       is less than two months, but also a breach of section 769, constituting an offence by every officer of the Company in default.
                    </paratext>
                  </para>
                </division>
              </drafting.note>
            </subclause1>
          </clause>
          <clause id="a819286">
            <identifier>15.</identifier>
            <head align="left" preservecase="true">
              <headtext>Anti-dilution</headtext>
            </head>
            <drafting.note id="a604949" jurisdiction="">
              <head align="left" preservecase="true">
                <headtext>Anti-dilution ratchet</headtext>
              </head>
              <division id="a000087" level="1">
                <para>
                  <paratext>
                    <internal.reference refid="a819286">article 15</internal.reference>
                     sets out an anti-dilution ratchet in favour of the holders of the Preferred Shares, to enable an investor to avoid a dilution of its equity holding in the event that any subsequent issue of shares is made at a subscription price less than that paid by that investor. The extent to which the ratchet avoids dilution of an investor's equity holding will differ according to whether the full or weighted average ratchet is included (see 
                    <internal.reference refid="a216435">Drafting note, Full or weighted average ratchet</internal.reference>
                    ). Equity dilution as a result of any new issues of shares will, by the operation of 
                    <internal.reference refid="a819286">article 15</internal.reference>
                    , pass entirely to management and other holders (if any) of Ordinary Shares.
                  </paratext>
                </para>
                <para>
                  <paratext>
                    For further information on anti-dilution provisions and ratchets, see 
                    <link href="5-204-2958" style="ACTLinkPLCtoPLC">
                      <ital>Practice note, Ratchets: non-leveraged investments</ital>
                    </link>
                    .
                  </paratext>
                </para>
              </division>
            </drafting.note>
            <subclause1 id="a975461">
              <identifier>15.1</identifier>
              <para>
                <paratext>
                  If the Company issues any Relevant Securities without consideration or for a consideration per Share less than the Issue Price of the Preferred Shares (a 
                  <defn.term>Qualifying Issue</defn.term>
                  ), the Company shall make a bonus issue of such number of [Ordinary 
                  <bold>OR</bold>
                   Preferred] Shares (
                  <defn.term>Anti-Dilution Shares</defn.term>
                  ) to each holder for the time being of Preferred Shares (unless and to the extent that [any such holder of Preferred Shares has specifically waived their rights under this 
                  <internal.reference refid="a819286">article 15</internal.reference>
                   in writing 
                  <bold>OR</bold>
                   an Investor Majority has specifically waived the application of this 
                  <internal.reference refid="a819286">article 15</internal.reference>
                   in respect of any particular issue of Relevant Securities on behalf of all such holders of Preferred Shares]) (each an 
                  <defn.term>Exercising Investor</defn.term>
                  ) as shall be calculated in accordance with 
                  <internal.reference refid="a772516">article 15.2</internal.reference>
                  .
                </paratext>
              </para>
              <drafting.note id="a1032523" jurisdiction="">
                <head align="left" preservecase="true">
                  <headtext>Bonus issues</headtext>
                </head>
                <division id="a000088" level="1">
                  <para>
                    <paratext>
                      The anti-dilution ratchet in 
                      <internal.reference refid="a819286">article 15</internal.reference>
                       operates by the issue of bonus shares, in the event of a further issue of shares at a price below the issue price paid for the Preferred Shares. 
                      <internal.reference refid="a975461">article 15.1</internal.reference>
                       provides for a bonus issue of either Preferred Shares or Ordinary Shares and will be a matter for negotiation between the parties. An investor is likely to argue for bonus issues of Preferred Shares, given the enhanced rights attached to that class of shares (for example in relation to dividends (
                      <internal.reference refid="a862624">article 10</internal.reference>
                      ), liquidation preference (
                      <internal.reference refid="a302537">article 11</internal.reference>
                      ) and exit provisions (
                      <internal.reference refid="a723154">article 12</internal.reference>
                      ).
                    </paratext>
                  </para>
                  <para>
                    <paratext>
                      Certain further issues of shares will not trigger a bonus issue of shares under 
                      <internal.reference refid="a819286">article 15</internal.reference>
                      . The anti-dilution ratchet only operates in relation to an issue of Relevant Securities (see definition of 
                      <internal.reference refid="a598337">Relevant Period: the period of [NUMBER] months from the Adoption Date.</internal.reference>
                      ). The extent to which issues are to be excluded from the definition of 'Relevant Securities' will be a matter for negotiation, although the examples given in the definition of 
                      <internal.reference refid="a598337">Relevant Period: the period of [NUMBER] months from the Adoption Date.</internal.reference>
                       are common exclusions.
                    </paratext>
                  </para>
                  <para>
                    <paratext>
                      An alternative anti-dilution ratchet (to the bonus issue method) is for the rate at which Preferred Shares convert into Ordinary Shares under 
                      <internal.reference refid="a103637">article 14</internal.reference>
                       to be adjusted on any further issue of Relevant Securities. Under that alternative method, the conversion rate will start at one ordinary share for each preferred share, as is the case under 
                      <internal.reference refid="a701791">article 14.5(a)</internal.reference>
                      ). However, if a 
                      <link href="3-204-3987" style="ACTLinkPLCtoPLC">
                        <bold>
                          <ital>down round</ital>
                        </bold>
                      </link>
                       occurs which triggers the anti-dilution protection, the conversion rate will be adjusted to more than one for one to account for the dilutive effect of the down round. For a comparison of the alternative methods of drafting anti-dilution protection, see 
                      <link href="5-204-2958" style="ACTLinkPLCtoPLC">
                        <ital>Practice note, Ratchets, non-leveraged investments</ital>
                      </link>
                      .
                    </paratext>
                  </para>
                </division>
              </drafting.note>
            </subclause1>
            <subclause1 id="a772516">
              <identifier>15.2</identifier>
              <para>
                <paratext>The number of Anti-Dilution Shares to be issued to each Exercising Investor shall be the number equal to N (rounded down to the nearest whole number), where N is calculated as follows:</paratext>
              </para>
              <para>
                <paratext>
                  <bold>EITHER, FULL RATCHET:</bold>
                </paratext>
              </para>
              <para>
                <paratext>N=(W / DRP) - Z</paratext>
              </para>
              <para>
                <paratext>Where:</paratext>
              </para>
              <para>
                <paratext>N = the number of Anti-Dilution Shares to be issued to the Exercising Investor.</paratext>
              </para>
              <para>
                <paratext>DRP =the Issue Price (in pounds sterling) per Relevant Security of the Qualifying Issue.</paratext>
              </para>
              <para>
                <paratext>W =the total amount (in pounds sterling) subscribed by the relevant Exercising Investor for its Preferred Shares.</paratext>
              </para>
              <para>
                <paratext>
                  Z =the number of Preferred Shares held by the relevant Exercising Investor prior to the Qualifying Issue [(but excluding any Preferred Shares acquired as a result of any previous operation of this 
                  <internal.reference refid="a819286">article 15</internal.reference>
                  )].
                </paratext>
              </para>
              <para>
                <paratext>
                  <bold>OR, WEIGHTED AVERAGE RATCHET</bold>
                </paratext>
              </para>
              <para>
                <paratext>N=[(PIP / WA) x Z] – Z</paratext>
              </para>
              <para>
                <paratext>Where:</paratext>
              </para>
              <para>
                <paratext>N = the number of Anti-Dilution Shares to be issued to the Exercising Investor.</paratext>
              </para>
              <para>
                <paratext>DRP = the Issue Price (in pounds sterling) per Relevant Security of the Qualifying Issue.</paratext>
              </para>
              <para>
                <paratext>PIP =the Issue Price of each Preferred Share subscribed by the relevant Exercising Investor.</paratext>
              </para>
              <para>
                <paratext>
                  Z = the number of Preferred Shares held by the relevant Exercising Investor prior to the Qualifying Issue [(but excluding any Preferred Shares acquired as a result of any previous operation of this 
                  <internal.reference refid="a819286">article 15</internal.reference>
                  )].
                </paratext>
              </para>
              <para>
                <paratext>WA = [(PIP x SC) + (DRP x NS)] / (SC + NS).</paratext>
              </para>
              <para>
                <paratext>
                  SC = the total number of [Shares in the issued equity share capital (as defined in section 548 of the Act) of the Company [(excluding any Preferred Shares acquired as a result of any previous operation of this 
                  <internal.reference refid="a819286">article 15</internal.reference>
                  )]] [, plus the total number of Shares which would result from the exercise of all existing options, warrants, conversion rights and all other rights to acquire Shares, in each case 
                  <bold>OR</bold>
                   the total number of equity securities (as defined in section 560(1) of the Act) of the Company, in each case] immediately prior to the Qualifying Issue.
                </paratext>
              </para>
              <para>
                <paratext>NS = the total number of Relevant Securities comprised within the Qualifying Issue.</paratext>
              </para>
              <drafting.note id="a216435" jurisdiction="">
                <head align="left" preservecase="true">
                  <headtext>Full or weighted average ratchet</headtext>
                </head>
                <division id="a000089" level="1">
                  <para>
                    <paratext>
                      <internal.reference refid="a772516">article 15.2</internal.reference>
                       sets out the method for calculating the number of bonus shares to be issued by the company. The number of shares that an investor will receive under the ratchet depends on whether it has "full ratchet", "narrow based weighted average ratchet" or "broad based weighted average ratchet" protection:
                    </paratext>
                  </para>
                  <list type="bulleted">
                    <list.item>
                      <para>
                        <paratext>
                          A 
                          <bold>full ratchet</bold>
                           effectively re-bases the original investor's starting price per share to that of the new down round price. In simple terms, what number of shares would an existing investor have received had it bought shares at the down round price?
                        </paratext>
                      </para>
                    </list.item>
                    <list.item>
                      <para>
                        <paratext>
                          A 
                          <bold>narrow-based weighted average ratchet </bold>
                          reduces the price per share by averaging the price across the rounds and taking into account how many shares are actually sold at the down round price compared against the number of shares outstanding. To limit the ratchet to a narrow-based weighted average, the last set of words in square brackets in the definition of 'SC' in 
                          <internal.reference refid="a772516">article 15.2</internal.reference>
                           should be excluded.
                        </paratext>
                      </para>
                    </list.item>
                    <list.item>
                      <para>
                        <paratext>
                          A 
                          <bold>broad-based weighted average ratchet</bold>
                           reduces the price per share by averaging the price across the rounds and taking into account how many shares are actually sold at the down round price compared with the share capital of the company on a fully diluted basis ('fully diluted' includes all shares in issue together with all options and warrants convertible into shares as if such options, warrants and securities had been converted, as well as any other rights to acquire shares). To include a broad-based weighted average ratchet, either:
                        </paratext>
                      </para>
                      <list type="bulleted">
                        <list.item>
                          <para>
                            <paratext>
                              reference in the definition of 'SC' in 
                              <internal.reference refid="a772516">article 15.2</internal.reference>
                               to the company's 'equity share capital' (which refers only to issued shares (
                              <link href="2-505-9329" style="ACTLinkPLCtoPLC">
                                <ital>section 548</ital>
                              </link>
                              <ital>, CA 2006</ital>
                              )) should be excluded and replaced with reference to the company's 'equity securities' (which refers to issued equity shares and all rights to subscribe for, or convert into, equity shares (
                              <link href="7-505-8817" style="ACTLinkPLCtoPLC">
                                <ital>section 560(1)</ital>
                              </link>
                              <ital>, CA 2006</ital>
                              )); or
                            </paratext>
                          </para>
                        </list.item>
                        <list.item>
                          <para>
                            <paratext>to avoid reference to legal terms with only subtle differences, retain the reference to 'equity share capital' and include the words "plus the total number of shares which would result from the exercise of all existing options, warrants, conversion rights and all other rights to acquire Shares, in each case".</paratext>
                          </para>
                        </list.item>
                      </list>
                    </list.item>
                  </list>
                </division>
              </drafting.note>
            </subclause1>
            <subclause1 id="a381352">
              <identifier>15.3</identifier>
              <para>
                <paratext>The Anti-Dilution Shares shall:</paratext>
              </para>
              <subclause2 id="a554844">
                <identifier>(a)</identifier>
                <para>
                  <paratext>be paid up by the automatic capitalisation of available reserves of the Company (without any further authority required than that contained in these Articles);</paratext>
                </para>
              </subclause2>
              <subclause2 id="a565525">
                <identifier>(b)</identifier>
                <para>
                  <paratext>
                    within [NUMBER] Business Days of the date of the Qualifying Issue be issued to the relevant Exercising Investors in accordance with 
                    <internal.reference refid="a772516">article 15.2</internal.reference>
                     and credited as fully paid up in cash; and
                  </paratext>
                </para>
              </subclause2>
              <subclause2 id="a533481">
                <identifier>(c)</identifier>
                <para>
                  <paratext>
                    shall rank pari passu in all respects with the existing [Ordinary 
                    <bold>OR</bold>
                     Preferred] Shares.
                  </paratext>
                </para>
                <drafting.note id="a476832" jurisdiction="">
                  <head align="left" preservecase="true">
                    <headtext>Mechanics of the bonus issue</headtext>
                  </head>
                  <division id="a000090" level="1">
                    <para>
                      <paratext>
                        <internal.reference refid="a554844">Article 15.3(a)</internal.reference>
                         provides for a bonus issue to be made automatically. This effectively overrides 
                        <link href="6-505-5094" style="ACTLinkPLCtoPLC">
                          <ital>model article 36</ital>
                        </link>
                         which would otherwise require both director and shareholder approval of a bonus issue.
                      </paratext>
                    </para>
                    <para>
                      <paratext>
                        The bonus issue is to be made by capitalising amounts standing to the credit of the distributable reserves of the company (commonly from the 
                        <link href="1-107-7253" style="ACTLinkPLCtoPLC">
                          <bold>
                            <ital>share premium account</ital>
                          </bold>
                        </link>
                         and the 
                        <link href="1-107-6178" style="ACTLinkPLCtoPLC">
                          <bold>
                            <ital>capital redemption reserve</ital>
                          </bold>
                        </link>
                        ). In the event there are insufficient amounts in such reserves to comply with this 
                        <internal.reference refid="a381352">article 15.3</internal.reference>
                        , 
                        <internal.reference refid="a629613">article 15.4</internal.reference>
                         will apply.
                      </paratext>
                    </para>
                  </division>
                </drafting.note>
              </subclause2>
            </subclause1>
            <subclause1 id="a629613">
              <identifier>15.4</identifier>
              <para>
                <paratext>
                  If and to the extent that the Company is prohibited from issuing the Anti-Dilution Shares in accordance with 
                  <internal.reference refid="a381352">article 15.3</internal.reference>
                   (whether by virtue of the Act or otherwise), [the entitlement of each Exercising Investor to such an issue of Anti-Dilution Shares shall be reduced in the same proportion that its holding of Preferred Shares bears to the total number of Preferred Shares then in issue and] each Exercising Investor shall be entitled, at any time, to subscribe at par for the balance of that number of Anti-Dilution Shares to which they would otherwise be entitled to receive pursuant to 
                  <internal.reference refid="a772516">article 15.2</internal.reference>
                   and, following such a subscription, 
                  <internal.reference refid="a533481">article 15.3(c)</internal.reference>
                   shall apply.
                </paratext>
              </para>
              <drafting.note id="a148302" jurisdiction="">
                <head align="left" preservecase="true">
                  <headtext>Insufficient distributable reserves</headtext>
                </head>
                <division id="a000091" level="1">
                  <para>
                    <paratext>
                      In the event (and to the extent that) there are insufficient amounts in such reserves to comply with this 
                      <internal.reference refid="a819286">article 15</internal.reference>
                      , the company will be prohibited from making a bonus issue. 
                      <internal.reference refid="a629613">article 15.4</internal.reference>
                       provides the fall-back position, that the holders of the Preferred Shares may subscribe at nominal value for the number of shares to which they would have been entitled to receive as a bonus issue (but for the lack of reserves).
                    </paratext>
                  </para>
                  <para>
                    <paratext>
                      Whether an investor will take advantage of this mechanism may be affected by the nominal value of the class of shares on offer. If the existing shares in the class of bonus issue shares have a low nominal value (as compared to other classes), but were subscribed at a premium, it will not cost such investor a great deal to subscribe for the bonus issue shares. At the same time, the aggregate premium paid for the existing shares in the class will form part of the distributable reserves and so the option to subscribe under this 
                      <internal.reference refid="a629613">article 15.4</internal.reference>
                       may not, in that case, be required.
                    </paratext>
                  </para>
                </division>
              </drafting.note>
            </subclause1>
            <subclause1 id="a75639">
              <identifier>15.5</identifier>
              <para>
                <paratext>
                  In the case of an issue of Relevant Securities for a consideration in whole or in part other than in cash, the Issue Price of each Relevant Security for the purposes of 
                  <internal.reference refid="a975461">article 15.1</internal.reference>
                   and 
                  <internal.reference refid="a772516">article 15.2</internal.reference>
                   shall be a price certified by the Independent Expert (acting as experts and not as arbitrators) as being, in their opinion, the current cash value of the non-cash consideration for the allotment of the Relevant Securities.
                </paratext>
              </para>
            </subclause1>
            <subclause1 id="a206406">
              <identifier>15.6</identifier>
              <para>
                <paratext>
                  In the event of any Issue or Re-organisation, the Issue Price of each Preferred Share shall be adjusted to take account of such Issue or Re-organisation on such basis as may be agreed between the Directors and [the holders for the time being of the Preferred Shares 
                  <bold>OR</bold>
                   an Investor Majority] or, failing such agreement within [NUMBER] Business Days after (and excluding) the date of such Issue or Re-organisation, as determined by the Independent Expert (at the Company's cost).
                </paratext>
              </para>
              <drafting.note id="a66897" jurisdiction="">
                <head align="left" preservecase="true">
                  <headtext>Re-organisation</headtext>
                </head>
                <division id="a000092" level="1">
                  <para>
                    <paratext>
                      <internal.reference refid="a206406">Article 15.6</internal.reference>
                       (and the related 
                      <internal.reference refid="a178407">article 15.9</internal.reference>
                      ) gives an investor a non-price based anti-dilution protection. If the share capital is (or has been) re-organised in any of the ways described in 
                      <internal.reference refid="a178407">article 15.9</internal.reference>
                      , on a new issue of Relevant Securities triggering the provisions of 
                      <internal.reference refid="a819286">article 15</internal.reference>
                      , the price that an investor paid for its shares (the starting price used in the ratchet formulae) is adjusted accordingly (save on a re-classification).
                    </paratext>
                  </para>
                </division>
              </drafting.note>
            </subclause1>
            <subclause1 id="a345263">
              <identifier>15.7</identifier>
              <para>
                <paratext>
                  If there is a dispute between the Company and any holder for the time being of Preferred Shares as to the operation of this 
                  <internal.reference refid="a819286">article 15</internal.reference>
                  , the matter shall be referred (at the cost of the Company) to the Independent Expert who shall determine the number of Anti-Dilution Shares to be issued.
                </paratext>
              </para>
            </subclause1>
            <subclause1 id="a928690">
              <identifier>15.8</identifier>
              <para>
                <paratext>
                  The Independent Expert's determination of any matter under this 
                  <internal.reference refid="a819286">article 15</internal.reference>
                   shall, in the absence of manifest error, be final and binding on the Company and each of its Shareholders.
                </paratext>
              </para>
            </subclause1>
            <subclause1 id="a178407">
              <identifier>15.9</identifier>
              <para>
                <paratext>
                  In this 
                  <internal.reference refid="a819286">article 15</internal.reference>
                  , 
                  <defn.term>Issue or Re-organisation</defn.term>
                   means any return of capital, issue of Shares or other securities of the Company by way of capitalisation of profits or reserves (other than a capitalisation issue in substitution for, or as an alternative to, a cash dividend which is made available to the holders of Preferred Shares), any consolidation, sub-division or re-classification or the cancellation of any shares following a repurchase or redemption of Shares (other than Preferred Shares), or any variation in the Issue Price or conversion rate applicable to any other outstanding Shares of the Company.
                </paratext>
              </para>
              <drafting.note id="a501962" jurisdiction="">
                <head align="left" preservecase="true">
                  <headtext>15.9 Anti-dilution: Re-organisation: treasury shares</headtext>
                </head>
                <division id="a000093" level="1">
                  <para>
                    <paratext>
                      Before implementation of 
                      <link href="1-526-7748" style="ACTLinkPLCtoPLC">
                        <ital>the Companies Act 2006 (Amendment of Part 18) Regulations 2013</ital>
                      </link>
                       (
                      <ital>SI 2013/999</ital>
                      ), shares bought back or redeemed by a private company would be automatically cancelled. This resulted in a reduction of the number of issued shares and therefore a change in the value of each remaining share. For that reason, a repurchase or redemption of shares would constitute a reorganisation event under an anti-dilution ratchet.
                    </paratext>
                  </para>
                  <para>
                    <paratext>
                      However, under 
                      <internal.reference refid="a638953">article 26</internal.reference>
                      , the Company will have power to hold shares in treasury. Although shares held in treasury are disenfranchised under 
                      <link href="7-506-5078" style="ACTLinkPLCtoPLC">
                        <ital>section 726</ital>
                      </link>
                       of the CA 2006, the number of shares in issue remains the same after as before the buyback or redemption. Similarly, if the Company chooses to sell or transfer those shares under 
                      <link href="6-506-2155" style="ACTLinkPLCtoPLC">
                        <ital>section 727</ital>
                      </link>
                       of CA 2006, the number of issued shares will remain constant and the relevant shares will be re-enfranchised on transfer to another. For those reasons, 
                      <internal.reference refid="a178407">article 15.9</internal.reference>
                       provides that no adjustment shall be made to the Issue Price of a Preferred Share for the purposes of the ratchet in 
                      <internal.reference refid="a819286">article 15</internal.reference>
                       unless and until the shares bought back or redeemed are removed from the Company's issued share capital through cancellation.
                    </paratext>
                  </para>
                </division>
              </drafting.note>
            </subclause1>
          </clause>
          <clause id="a544163">
            <identifier>16.</identifier>
            <head align="left" preservecase="true">
              <headtext>Pre-emption rights on the issue of further shares</headtext>
            </head>
            <subclause1 condition="optional" id="a583587">
              <identifier>16.1</identifier>
              <para>
                <paratext>Save to the extent authorised by these Articles, [or authorised from time to time by an ordinary resolution,] the Directors shall not, save with Investor Consent, exercise any power to allot Shares or to grant rights to subscribe for, or to convert any security into, any Shares.</paratext>
              </para>
              <drafting.note id="a130985" jurisdiction="">
                <head align="left" preservecase="true">
                  <headtext>Investor consent to further issues of shares</headtext>
                </head>
                <division id="a000094" level="1">
                  <para>
                    <paratext>
                      Investors will usually want to prohibit the issue of any further shares without prior consent. Where investors do not hold sufficient shares to block an ordinary resolution, they will commonly seek to include an issue of shares as a matter which constitutes a variation of the class rights of the investor's shares (see 
                      <internal.reference refid="a548208">article 13.2(b)</internal.reference>
                      ). If such a class right is included, this 
                      <internal.reference refid="a583587">article 16.1</internal.reference>
                       is not strictly required, although may serve as a clear reminder to the directors of the restriction on their powers.
                    </paratext>
                  </para>
                  <para>
                    <paratext>
                      Following a conversion of shares under 
                      <internal.reference refid="a103637">article 14</internal.reference>
                      , it is possible that the company's capital will comprise only Ordinary Shares. In that case, 
                      <internal.reference refid="a583587">article 16.1</internal.reference>
                       will serve to exclude the right the directors would otherwise have under 
                      <link href="7-505-5121" style="ACTLinkPLCtoPLC">
                        <ital>section 550</ital>
                      </link>
                       of the CA 2006 to allot shares (or rights in respect of shares) without the need for further shareholder consent. In practice, an investor will usually only convert into ordinary shares immediately prior to an exit and will in any event retain a separate right of veto over new share issues.
                    </paratext>
                  </para>
                  <para>
                    <paratext>
                      Also, see 
                      <internal.reference refid="a707776">Drafting note, Authority to allot shares</internal.reference>
                      .
                    </paratext>
                  </para>
                </division>
              </drafting.note>
            </subclause1>
            <subclause1 id="a312508">
              <identifier>16.2</identifier>
              <para>
                <paratext>
                  Subject to the remaining provisions of this 
                  <internal.reference refid="a544163">article 16</internal.reference>
                  , the Directors are generally and unconditionally authorised, for the purposes of section 551 of the Act, to exercise any power of the Company to:
                </paratext>
              </para>
              <subclause2 id="a391323">
                <identifier>(a)</identifier>
                <para>
                  <paratext>offer or allot;</paratext>
                </para>
              </subclause2>
              <subclause2 id="a889300">
                <identifier>(b)</identifier>
                <para>
                  <paratext>grant rights to subscribe for or to convert any security into; and</paratext>
                </para>
              </subclause2>
              <subclause2 id="a660947">
                <identifier>(c)</identifier>
                <para>
                  <paratext>otherwise deal in, or dispose of,</paratext>
                </para>
              </subclause2>
              <para>
                <paratext>any Shares (or any options, warrants, conversion rights and all other rights to acquire or subscribe for Shares) to any person, at any time and subject to any terms and conditions as the Directors think proper.</paratext>
              </para>
              <drafting.note id="a707776" jurisdiction="">
                <head align="left" preservecase="true">
                  <headtext>Authority to allot shares</headtext>
                </head>
                <division id="a000095" level="1">
                  <para>
                    <paratext>
                      <internal.reference refid="a312508">Article 16.2</internal.reference>
                       and 
                      <internal.reference refid="a611585">article 16.3</internal.reference>
                       cap the amount of shares (or rights to acquire shares) that the directors may issue, without further authority of the shareholders. In any event, an investor will want the right to veto any issue of shares within this authorised amount (see 
                      <internal.reference refid="a548208">article 13.2(b)</internal.reference>
                      ).
                    </paratext>
                  </para>
                  <para>
                    <paratext>
                      <link href="2-505-7636" style="ACTLinkPLCtoPLC">
                        <ital>Section 549(2)</ital>
                      </link>
                       of the CA 2006 provides that 
                      <link href="8-505-5125" style="ACTLinkPLCtoPLC">
                        <ital>section 551</ital>
                      </link>
                       does not apply in respect of the allotment of shares pursuant to an employees' share scheme. Without restriction in the Articles, the directors may issue shares (or rights to acquire shares) under such a scheme without further consent (and the limitations of 
                      <internal.reference refid="a611585">article 16.3</internal.reference>
                       will not apply to such an issue). 
                      <internal.reference refid="a583587">article 16.1</internal.reference>
                       (if included) would require an ordinary resolution (subject to any class rights restriction), or separate investor consent before the allotment of any such shares. In the absence of such 
                      <internal.reference refid="a583587">article 16.1</internal.reference>
                      , the class right restriction over the issue of further shares should extend to shares issued pursuant to an employees' share scheme.
                    </paratext>
                  </para>
                  <para>
                    <paratext>
                      For more on pre-emption rights on the allotment of shares, see 
                      <link href="2-386-8902" style="ACTLinkPLCtoPLC">
                        <ital>Practice note, Pre-emption rights: allotment of shares</ital>
                      </link>
                      .
                    </paratext>
                  </para>
                </division>
              </drafting.note>
            </subclause1>
            <subclause1 id="a611585">
              <identifier>16.3</identifier>
              <para>
                <paratext>
                  The authority referred to in 
                  <internal.reference refid="a312508">article 16.2</internal.reference>
                  :
                </paratext>
              </para>
              <subclause2 id="a494091">
                <identifier>(a)</identifier>
                <para>
                  <paratext>shall be limited to a maximum nominal amount of £[AMOUNT] of Preferred Shares and £[AMOUNT] of Ordinary Shares;</paratext>
                </para>
              </subclause2>
              <subclause2 id="a846574">
                <identifier>(b)</identifier>
                <para>
                  <paratext>shall only apply insofar as the Company has not, subject to these Articles, renewed, waived or revoked it by ordinary resolution; and</paratext>
                </para>
              </subclause2>
              <subclause2 id="a789123">
                <identifier>(c)</identifier>
                <para>
                  <paratext>may only be exercised for a period of five years from the Adoption Date save that, subject to these Articles, the Directors may make an offer or agreement which would, or might, require any Shares to be allotted after the expiry of such authority (and the Directors may allot Shares in pursuance of an offer or agreement as if such authority had not expired).</paratext>
                </para>
                <drafting.note id="a430061" jurisdiction="">
                  <head align="left" preservecase="true">
                    <headtext>Extent of authority to allot shares</headtext>
                  </head>
                  <division id="a000096" level="1">
                    <para>
                      <paratext>
                        <internal.reference refid="a494091">article 16.3(a)</internal.reference>
                         replaces the common practice, under the 
                        <link href="2-505-5086" style="ACTLinkPLCtoPLC">
                          <ital>1985 Act</ital>
                        </link>
                        , of limiting the authority to allot shares (and rights to subscribe for shares) to the amount of authorised, but unissued, share capital on the date of adoption of the Articles. As the 
                        <link href="3-503-8567" style="ACTLinkPLCtoPLC">
                          <ital>CA 2006</ital>
                        </link>
                         abolishes the concept of an authorised share capital, 
                        <internal.reference refid="a494091">article 16.3(a)</internal.reference>
                         specifically states the maximum authorised amount of shares of each class which may be allotted (as required by 
                        <link href="8-505-5125" style="ACTLinkPLCtoPLC">
                          <ital>section 551(3)(a)</ital>
                        </link>
                         of the CA 2006).
                      </paratext>
                    </para>
                  </division>
                </drafting.note>
              </subclause2>
            </subclause1>
            <subclause1 id="a227058">
              <identifier>16.4</identifier>
              <para>
                <paratext>In accordance with section 567(1) of the Act, sections 561 and 562 of the Act shall not apply to an allotment of equity securities (as defined in section 560(1) of the Act) made by the Company.</paratext>
              </para>
              <drafting.note id="a665051" jurisdiction="">
                <head align="left" preservecase="true">
                  <headtext>Exclusion of statutory pre-emption rights</headtext>
                </head>
                <division id="a000097" level="1">
                  <para>
                    <paratext>
                      Where an investor is to hold a separate class of shares from management (and any other shareholders), it will usually seek to exclude the statutory pre-emption procedures of 
                      <link href="5-505-5122" style="ACTLinkPLCtoPLC">
                        <ital>sections 561</ital>
                      </link>
                       and 
                      <link href="3-505-5123" style="ACTLinkPLCtoPLC">
                        <ital>562</ital>
                      </link>
                       of the CA 2006.
                    </paratext>
                  </para>
                  <para>
                    <paratext>Such an investor will want to ensure that any new Preferred Shares are first offered to the investor(s), ahead of any other shareholders, given the special rights attached to those Preferred Shares.</paratext>
                  </para>
                  <para>
                    <paratext>
                      <internal.reference refid="a647674">article 16.5</internal.reference>
                       sets out a procedure to replace the statutory procedure and provides for pre-emption on a class by class basis.
                    </paratext>
                  </para>
                  <para>
                    <paratext>
                      For more on pre-emption rights under the 
                      <link href="3-503-8567" style="ACTLinkPLCtoPLC">
                        <ital>CA 2006</ital>
                      </link>
                      , see 
                      <link href="2-386-8902" style="ACTLinkPLCtoPLC">
                        <ital>Practice note, Pre-emption rights: 1 October 2009</ital>
                      </link>
                      .
                    </paratext>
                  </para>
                </division>
              </drafting.note>
            </subclause1>
            <subclause1 id="a647674">
              <identifier>16.5</identifier>
              <para>
                <paratext>
                  [Unless otherwise agreed by special resolution 
                  <bold>OR</bold>
                   Save with Investor Consent] if the Company proposes to allot any Relevant Securities, those Relevant Securities shall not be allotted to any person unless the Company has first offered them to the holders (on the date of the offer) of the [Preferred 
                  <bold>OR</bold>
                   Equity] Shares (each an 
                  <defn.term>Offeree</defn.term>
                  ) on a pari passu basis (as if they constituted Shares of the same class) and in the respective proportions that the number of [Preferred 
                  <bold>OR</bold>
                   Equity] Shares held by each such holder bears to the total number of [Preferred 
                  <bold>OR</bold>
                   Equity] Shares held by all such holders (as nearly as possible without involving fractions) and on the same terms, and at the same price, as those Relevant Securities are being, or are to be, offered to any other person.
                </paratext>
              </para>
              <drafting.note id="a45534" jurisdiction="">
                <head align="left" preservecase="true">
                  <headtext>Contractual pre-emption procedure</headtext>
                </head>
                <division id="a000098" level="1">
                  <para>
                    <paratext>
                      <internal.reference refid="a647674">article 16.5</internal.reference>
                       sets out a pre-emption procedure, in place of that set out in 
                      <link href="5-505-5122" style="ACTLinkPLCtoPLC">
                        <ital>section 561</ital>
                      </link>
                       of the CA 2006 (as permitted by 
                      <link href="6-505-5206" style="ACTLinkPLCtoPLC">
                        <ital>section 568</ital>
                      </link>
                       of the CA 2006). This contractual procedure requires any new shares to first be offered to either the holders of the Preferred Shares, or all of the Equity Shares. This will be a matter for negotiation.
                    </paratext>
                  </para>
                  <para>
                    <paratext>
                      If the offer under 
                      <internal.reference refid="a647674">article 16.5</internal.reference>
                       extends only to the holders of the Preferred Shares, it will be common to also include a subsequent article (see 
                      <internal.reference refid="a954656">article 16.9</internal.reference>
                      ), which provides that any relevant securities not accepted by the holders of the Preferred Shares should then be offered to the holders of the Ordinary Shares, before being offered to third parties.
                    </paratext>
                  </para>
                  <para>
                    <paratext>
                      Depending on the relative bargaining powers of the parties to the transaction, management are likely to argue that any Ordinary Shares to be issued should first be offered to the existing ordinary shareholders as well as to those holding Preferred Shares, in which case the offer under 
                      <internal.reference refid="a647674">article 16.5</internal.reference>
                       should be made to the holders of Equity Shares.
                    </paratext>
                  </para>
                  <para>
                    <paratext>
                      The company need only comply with 
                      <internal.reference refid="a647674">article 16.5</internal.reference>
                       where the proposed allotment is one of 
                      <internal.reference refid="a598337">Relevant Period: the period of [NUMBER] months from the Adoption Date.</internal.reference>
                      ). All other shares (or other equity securities) may be issued free of pre-emption (but subject to any other limitations in the Articles).
                    </paratext>
                  </para>
                </division>
              </drafting.note>
            </subclause1>
            <subclause1 id="a120245">
              <identifier>16.6</identifier>
              <para>
                <paratext>
                  An offer made under 
                  <internal.reference refid="a647674">article 16.5</internal.reference>
                   shall:
                </paratext>
              </para>
              <subclause2 id="a233694">
                <identifier>(a)</identifier>
                <para>
                  <paratext>be in writing and give details of the number, class and subscription price (including any share premium) of the Relevant Securities being offered;</paratext>
                </para>
              </subclause2>
              <subclause2 id="a158925">
                <identifier>(b)</identifier>
                <para>
                  <paratext>remain open for a period of [at least] [NUMBER] Business Days from the date of service of the offer; and</paratext>
                </para>
              </subclause2>
              <subclause2 id="a196282">
                <identifier>(c)</identifier>
                <para>
                  <paratext>
                    stipulate that any Offeree who wishes to subscribe for a number of Relevant Securities in excess of the number to which they are entitled under 
                    <internal.reference refid="a647674">article 16.5</internal.reference>
                     shall, in their acceptance, state the number of excess Relevant Securities (
                    <bold>Excess Securities</bold>
                    ) for which they wish to subscribe.
                  </paratext>
                </para>
                <drafting.note id="a938720" jurisdiction="">
                  <head align="left" preservecase="true">
                    <headtext>To whom should the offer be made</headtext>
                  </head>
                  <division id="a000099" level="1">
                    <para>
                      <paratext>
                        The offer to be made under 
                        <internal.reference refid="a647674">article 16.5</internal.reference>
                         is to those persons who are shareholders on the date of the offer. Consideration should be given to what happens if any such person ceases to be a shareholder between the date of the offer and its expiry (or the date of the resulting allotment of shares, if later).
                      </paratext>
                    </para>
                  </division>
                </drafting.note>
              </subclause2>
            </subclause1>
            <subclause1 id="a257779">
              <identifier>16.7</identifier>
              <para>
                <paratext>
                  If, on the expiry of an offer made in accordance with 
                  <internal.reference refid="a647674">article 16.5</internal.reference>
                  , the total number of Relevant Securities applied for is less than the total number of Relevant Securities so offered, the Directors shall allot the Relevant Securities to the Offerees in accordance with their applications, subject to a maximum of each Offeree's proportionate entitlement.
                </paratext>
              </para>
            </subclause1>
            <subclause1 id="a542129">
              <identifier>16.8</identifier>
              <para>
                <paratext>
                  Any Relevant Securities not accepted by Offerees pursuant to an offer made in accordance with 
                  <internal.reference refid="a647674">article 16.5</internal.reference>
                   shall be used to satisfy any requests for Excess Securities made pursuant to 
                  <internal.reference refid="a196282">article 16.6(c)</internal.reference>
                  . If there are insufficient Excess Securities to satisfy such requests, the Excess Securities shall be allotted to the applicants in the respective proportions that the number of [Preferred 
                  <bold>OR</bold>
                   Equity] Shares held by each such applicant bears to the total number of such [Preferred 
                  <bold>OR</bold>
                   Equity] Shares held by all applicants (as nearly as possible without involving fractions or increasing the number of Excess Securities allotted to any Shareholder beyond that applied for by them). [After those allotments, any Excess Securities shall, subject to 
                  <internal.reference refid="a164238">article 16.11</internal.reference>
                  , be offered to any other person(s) as the Directors may [,with Investor Consent,] determine, at the same price and on the same terms as the offer to the Shareholders.]
                </paratext>
              </para>
              <drafting.note id="a977400" jurisdiction="">
                <head align="left" preservecase="true">
                  <headtext>Offers to third parties</headtext>
                </head>
                <division id="a000100" level="1">
                  <para>
                    <paratext>
                      The last sentence (in square brackets) of 
                      <internal.reference refid="a542129">article 16.8</internal.reference>
                       should usually only be included if the offer under 
                      <internal.reference refid="a647674">article 16.5</internal.reference>
                       is made to the holders of all Equity Shares. If such offer is initially made only to the preferred shareholders, the last sentence will usually be omitted and 
                      <internal.reference refid="a954656">article 16.9</internal.reference>
                       and 
                      <internal.reference refid="a982655">article 16.10</internal.reference>
                       included.
                    </paratext>
                  </para>
                  <para>
                    <paratext>Following completion of the pre-emption procedure, an investor may still want the right to veto any third party allottee, in which such an allotment should be subject to investor consent. Management will argue that, as the investor will have had chance to subscribe for those shares itself, it should not be able to restrict any further allotment of those shares.</paratext>
                  </para>
                </division>
              </drafting.note>
            </subclause1>
            <subclause1 condition="optional" id="a954656">
              <identifier>16.9</identifier>
              <para>
                <paratext>
                  If, after completion of the allotments referred to in 
                  <internal.reference refid="a257779">article 16.7</internal.reference>
                   and 
                  <internal.reference refid="a542129">article 16.8</internal.reference>
                  , not all of the Relevant Securities have been allotted, the balance of such Relevant Securities shall be offered to the holders (on the date of this offer) of the Ordinary Shares on a pari passu basis and in the respective proportions that the number of Ordinary Shares held by each such holder bears to the total number of Ordinary Shares held by all such holders (as nearly as possible without involving fractions) and on the same terms, and at the same price, as those Relevant Securities are being, or are to be, offered to any other person. Such offer shall be made in accordance with 
                  <internal.reference refid="a120245">article 16.6</internal.reference>
                   and the provisions of 
                  <internal.reference refid="a257779">article 16.7</internal.reference>
                   and 
                  <internal.reference refid="a542129">article 16.8</internal.reference>
                   shall, with necessary modifications, apply to such offer.
                </paratext>
              </para>
            </subclause1>
            <subclause1 condition="optional" id="a982655">
              <identifier>16.10</identifier>
              <para>
                <paratext>
                  If, after completion of the allotments referred to in articles [
                  <internal.reference refid="a257779">article 16.7</internal.reference>
                   and 
                  <internal.reference refid="a542129">article 16.8</internal.reference>
                  <bold>OR</bold>
                  <internal.reference refid="a257779">article 16.7</internal.reference>
                   , 
                  <internal.reference refid="a542129">article 16.8</internal.reference>
                   and 
                  <internal.reference refid="a954656">article 16.9</internal.reference>
                  ], not all of the Relevant Securities have been allotted, the balance of such Relevant Securities shall, subject to 
                  <internal.reference refid="a164238">article 16.11</internal.reference>
                   be offered to any other person(s) as the Directors may, [with Investor Consent,] determine, at the same price and on the same terms as the offer to the Shareholders.
                </paratext>
              </para>
              <drafting.note id="a263205" jurisdiction="">
                <head align="left" preservecase="true">
                  <headtext>Investor veto over third party offerees</headtext>
                </head>
                <division id="a000101" level="1">
                  <para>
                    <paratext>Following completion of the pre-emption procedure, an investor may still want the right to veto any third party allottee, in which such an allotment should be subject to investor consent. Management will argue that, as the investor will have had chance to subscribe for those shares itself, it should not be able to restrict any further allotment of those shares.</paratext>
                  </para>
                </division>
              </drafting.note>
            </subclause1>
            <subclause1 id="a164238">
              <identifier>16.11</identifier>
              <para>
                <paratext>No Shares shall be allotted to any current or prospective employee or director of any Group Company unless such person shall first have entered into a joint election with the relevant Group Company under section 431 of the Income Tax (Earnings and Pensions) Act 2003.</paratext>
              </para>
              <drafting.note id="a960082" jurisdiction="">
                <head align="left" preservecase="true">
                  <headtext>Employee tax elections</headtext>
                </head>
                <division id="a000102" level="1">
                  <para>
                    <paratext>
                      For further information on the tax treatment of shares held by founders and employees, see 
                      <link href="8-202-4533" style="ACTLinkPLCtoPLC">
                        <ital>Practice note, Founder shares and employee shares</ital>
                      </link>
                      .
                    </paratext>
                  </para>
                </division>
              </drafting.note>
            </subclause1>
          </clause>
          <clause id="a977232">
            <identifier>17.</identifier>
            <head align="left" preservecase="true">
              <headtext>Transfers of shares: general</headtext>
            </head>
            <subclause1 id="a353911">
              <identifier>17.1</identifier>
              <para>
                <paratext>In these Articles, reference to the transfer of a Share includes the transfer, assignment or other disposal of a beneficial or other interest in that Share, or the creation of a trust or encumbrance over that Share, and reference to a Share includes a beneficial or other interest in a Share.</paratext>
              </para>
            </subclause1>
            <subclause1 id="a253734">
              <identifier>17.2</identifier>
              <para>
                <paratext>
                  No Share shall be transferred, and the Directors shall refuse to register a transfer of any Share, unless it is made in accordance with these Articles. Subject to 
                  <internal.reference refid="a926657">article 17.5</internal.reference>
                  , the Directors shall register any duly stamped transfer made in accordance with these Articles, unless they suspect that the proposed transfer may be fraudulent.
                </paratext>
              </para>
              <drafting.note id="a819844" jurisdiction="">
                <head align="left" preservecase="true">
                  <headtext>Right to refuse registration of transfers</headtext>
                </head>
                <division id="a000103" level="1">
                  <para>
                    <paratext>
                      Under 
                      <link href="4-505-7664" style="ACTLinkPLCtoPLC">
                        <ital>section 771</ital>
                      </link>
                       of the CA 2006, on receipt of a duly executed transfer of shares, the directors must, within two months, either register the transfer or give the transferee notice of refusal, together with reasons for such refusal. Where 
                      <internal.reference refid="a253734">article 17.2</internal.reference>
                       applies, the directors may, in giving such notice of refusal to register, wish to refer to their general duty to act in accordance with the constitution (
                      <link href="1-505-5119" style="ACTLinkPLCtoPLC">
                        <ital>section 171(a)</ital>
                      </link>
                      <ital>, CA 2006</ital>
                      ).
                    </paratext>
                  </para>
                  <para>
                    <paratext>
                      <internal.reference refid="a253734">Article 17.2</internal.reference>
                       replaces 
                      <link href="6-505-5094" style="ACTLinkPLCtoPLC">
                        <ital>model article 26(5)</ital>
                      </link>
                      . As a result, the directors' absolute discretion to refuse to register a transfer is not available if a transfer is made in accordance with the detailed provisions as to transfers in these Articles.
                    </paratext>
                  </para>
                </division>
              </drafting.note>
            </subclause1>
            <subclause1 id="a482087">
              <identifier>17.3</identifier>
              <para>
                <paratext>If a Shareholder transfers (or purports to transfer) a Share other than in accordance with these Articles, they shall [, save with Investor Consent to the contrary,] be deemed to have immediately served a Transfer Notice in respect of all Shares held by them.</paratext>
              </para>
              <drafting.note id="a869205" jurisdiction="">
                <head align="left" preservecase="true">
                  <headtext>Deemed transfers</headtext>
                </head>
                <division id="a000104" level="1">
                  <para>
                    <paratext>
                      It may not always be appropriate for a purported transfer of shares in breach of the Articles to automatically require the relevant shareholder to sell all their shares. The words in square brackets in 
                      <internal.reference refid="a482087">article 17.3</internal.reference>
                       will allow an investor majority to disapply that requirement in its discretion. Management may prefer such discretion to be vested in the board of directors.
                    </paratext>
                  </para>
                </division>
              </drafting.note>
            </subclause1>
            <subclause1 condition="optional" id="a129603">
              <identifier>17.4</identifier>
              <para>
                <paratext>
                  Any transfer of a Share by way of sale which is required to be made under 
                  <internal.reference refid="a599340">article 21</internal.reference>
                  , 
                  <internal.reference refid="a1052001">article 22</internal.reference>
                   or 
                  <internal.reference refid="a457892">article 23</internal.reference>
                   shall be deemed to include a warranty that the transferor sells the Share with full title guarantee.
                </paratext>
              </para>
            </subclause1>
            <subclause1 id="a926657">
              <identifier>17.5</identifier>
              <para>
                <paratext>
                  The Directors may (and shall, if requested by an Investor Majority), as a condition to the registration of any transfer of Shares, require the transferee to execute and deliver to the Company a deed, in favour of the Company [and the Investors] agreeing to be bound by the terms of [the Investment Agreement 
                  <bold>OR</bold>
                   any shareholders' agreement (or similar document) in force between any of the Shareholders [and the Company]], in such form as the Directors (acting with Investor Consent) may reasonably require (but not so as to oblige the transferee to have any obligations or liabilities greater than those of the proposed transferor). If any condition is imposed in accordance with this 
                  <internal.reference refid="a926657">article 17.5</internal.reference>
                  , the transfer may not be registered unless and until that deed has been executed and delivered to the Company's registered office by the transferee.
                </paratext>
              </para>
              <drafting.note id="a535493" jurisdiction="">
                <head align="left" preservecase="true">
                  <headtext>Deeds of adherence</headtext>
                </head>
                <division id="a000105" level="1">
                  <para>
                    <paratext>Where a transferor of shares is party to the investment agreement, an investor is likely to want any transferee to sign up to that agreement in the transferee's place. The role of the transferee within the company's operation will often determine whether it would be appropriate for that transferee to become a party (more likely to be required where the transferee is to be a director, as opposed to a passive, minority shareholder). If the transferor is not replaced as a party to that agreement, an investor may argue that the strength of the covenants contained in that document will be diluted as a result.</paratext>
                  </para>
                </division>
              </drafting.note>
            </subclause1>
            <subclause1 id="a719667">
              <identifier>17.6</identifier>
              <para>
                <paratext>To enable the Directors to determine whether or not there has been any transfer (or purported transfer) of Shares the Directors may, and shall if so requested by an Investor Director, require:</paratext>
              </para>
              <subclause2 id="a687623">
                <identifier>(a)</identifier>
                <para>
                  <paratext>any holder (or the legal representatives of a deceased holder); or</paratext>
                </para>
              </subclause2>
              <subclause2 id="a783755">
                <identifier>(b)</identifier>
                <para>
                  <paratext>any person named as a transferee in a transfer lodged for registration; or</paratext>
                </para>
              </subclause2>
              <subclause2 id="a495359">
                <identifier>(c)</identifier>
                <para>
                  <paratext>such other person as the Directors or an Investor Director may reasonably believe to have information relevant to that purpose,</paratext>
                </para>
              </subclause2>
              <para>
                <paratext>to provide the Company with any information and evidence that the Directors think fit regarding any matter which they deem relevant to that purpose.</paratext>
              </para>
            </subclause1>
            <subclause1 id="a360547">
              <identifier>17.7</identifier>
              <para>
                <paratext>
                  If any such information or evidence referred to in 
                  <internal.reference refid="a719667">article 17.6</internal.reference>
                   is not provided to enable the Directors to determine to their reasonable satisfaction that no breach has occurred, or that as a result of the information and evidence provided the Directors are reasonably satisfied that a breach has occurred, the Directors shall immediately notify the holder of such Shares of that fact in writing and [, if the holder fails to remedy that situation to the reasonable satisfaction of the Directors (including an Investor Director) within [NUMBER] Business Days of receipt of such written notice,] then, unless otherwise directed in writing by an Investor Majority:
                </paratext>
              </para>
              <subclause2 id="a499404">
                <identifier>(a)</identifier>
                <para>
                  <paratext>the relevant Shares shall cease to confer on the holder of them any rights:</paratext>
                </para>
                <subclause3 id="a82833">
                  <identifier>(i)</identifier>
                  <para>
                    <paratext>to vote (whether on a show of hands, on a poll or otherwise and whether in person, by proxy or otherwise), including in respect of any resolution of any class of Shares;</paratext>
                  </para>
                </subclause3>
                <subclause3 id="a332548">
                  <identifier>(ii)</identifier>
                  <para>
                    <paratext>
                      to receive dividends [or other distributions] (other than the amount to which they may be entitled pursuant to the application of 
                      <internal.reference refid="a164894">article 10.2</internal.reference>
                      ) otherwise attaching to those Shares; [or]
                    </paratext>
                  </para>
                </subclause3>
                <subclause3 condition="optional" id="a380138">
                  <identifier>(iii)</identifier>
                  <para>
                    <paratext>to participate in any future issue of Shares [issued in respect of those Shares]; and</paratext>
                  </para>
                </subclause3>
              </subclause2>
              <subclause2 id="a689897">
                <identifier>(b)</identifier>
                <para>
                  <paratext>the Directors may, by notice in writing to the relevant holder, determine that a Transfer Notice shall be deemed to have been given in respect of some or all of their Shares with effect from the date of service of the notice (or such later date as may be specified in such notice).</paratext>
                </para>
              </subclause2>
              <para>
                <paratext>
                  The Directors may (with Investor Consent) reinstate the rights referred to in 
                  <internal.reference refid="a499404">article 17.7(a)</internal.reference>
                   at any time and, in any event, such rights shall be reinstated [in respect of any Shares transferred pursuant to 
                  <internal.reference refid="a689897">article 17.7(b)</internal.reference>
                   on completion of such transfer 
                  <bold>OR</bold>
                   on completion of a transfer made pursuant to 
                  <internal.reference refid="a689897">article 17.7(b)</internal.reference>
                  ].
                </paratext>
              </para>
              <drafting.note id="a760621" jurisdiction="">
                <head align="left" preservecase="true">
                  <headtext>Disenfranchisement</headtext>
                </head>
                <division id="a000106" level="1">
                  <para>
                    <paratext>
                      <internal.reference refid="a360547">article 17.7</internal.reference>
                       suspends certain rights attached to shares which are the subject of a deemed transfer notice. It may be appropriate in all circumstances for voting rights to be suspended, if it means an investor would then hold over 50% of the voting rights. In that case, such voting rights might be vested in some other person, such as the chair of the directors. 
                      <internal.reference refid="a380138">article 17.7(a)(iii)</internal.reference>
                       prevents a disenfranchised shareholder from taking up their entitlement to shares on any further share issues. Whether or not these words are included, care should be taken to ensure that a deemed transfer notice will cover the sale of any shares acquired by the relevant shareholder after the date of such notice, but before completion of the sale of their shares (see 
                      <internal.reference refid="a125468">article 17.9</internal.reference>
                      ).
                    </paratext>
                  </para>
                  <para>
                    <paratext>
                      As disenfranchisement occurs following the action (or omission) of a specific shareholder, it follows that any transferee of those shares should not suffer the same restrictions. The final paragraph of 
                      <internal.reference refid="a360547">article 17.7</internal.reference>
                       restores all those rights on the transfer of the disenfranchised shares. If there is any risk that the transferor may retain shares following the sale procedure, the company and an investor may prefer to include the first option in square brackets, to ensure that any retained shares continue to be disenfranchised.
                    </paratext>
                  </para>
                </division>
              </drafting.note>
            </subclause1>
            <subclause1 id="a653808">
              <identifier>17.8</identifier>
              <para>
                <paratext>Unless expressly provided otherwise in these Articles, if a Transfer Notice is deemed to have been given under these Articles, the Deemed Transfer Notice shall be treated as having specified that:</paratext>
              </para>
              <subclause2 id="a470957">
                <identifier>(a)</identifier>
                <para>
                  <paratext>it does not contain a Minimum Transfer Condition; and</paratext>
                </para>
                <drafting.note id="a169665" jurisdiction="">
                  <head align="left" preservecase="true">
                    <headtext>Minimum transfer condition</headtext>
                  </head>
                  <division id="a000107" level="1">
                    <para>
                      <paratext>
                        In the event that these Articles require a transfer of shares to be made, 
                        <internal.reference refid="a470957">article 17.8(a)</internal.reference>
                         will ensure that if, following a pre-emptive offer of the seller's shares under these Articles not all of their shares have been accepted, the seller will still be required to sell those shares which have been accepted.
                      </paratext>
                    </para>
                  </division>
                </drafting.note>
              </subclause2>
              <subclause2 id="a165244">
                <identifier>(b)</identifier>
                <para>
                  <paratext>the Seller wishes to transfer all the Shares held by them (including any Shares acquired after the date the relevant Transfer Notice is deemed given but before completion of the transfer of Shares pursuant to the relevant Transfer Notice).</paratext>
                </para>
              </subclause2>
            </subclause1>
            <subclause1 id="a125468">
              <identifier>17.9</identifier>
              <para>
                <paratext>
                  Any Transfer Notice (but not an Offer Notice (as defined in 
                  <internal.reference refid="a1052001">article 22</internal.reference>
                  ) or a Drag Along Notice (as defined in 
                  <internal.reference refid="a457892">article 23</internal.reference>
                  )) served in respect of the transfer of any Share which has not completed before the date of service of a Deemed Transfer Notice shall [(save with Investor Consent to the contrary)] automatically be revoked by the service of a Deemed Transfer Notice.
                </paratext>
              </para>
            </subclause1>
          </clause>
          <clause id="a817012">
            <identifier>18.</identifier>
            <head align="left" preservecase="true">
              <headtext>Permitted transfers of shares</headtext>
            </head>
            <subclause1 id="a879121">
              <identifier>18.1</identifier>
              <para>
                <paratext>
                  A Shareholder (the 
                  <bold>Original Shareholder</bold>
                  ) may transfer all or any of their or its Shares to a Permitted Transferee.
                </paratext>
              </para>
              <drafting.note id="a238953" jurisdiction="">
                <head align="left" preservecase="true">
                  <headtext>Permitted transfers</headtext>
                </head>
                <division id="a000108" level="1">
                  <para>
                    <paratext>
                      In general, an investor will want to ensure that shares issued by the company are held by a relatively small group of people, being those involved in the day to day business of the Group. However, an inevitable part of any investment is that management will seek to make their shareholding as tax-efficient as possible. 
                      <internal.reference refid="a817012">article 18</internal.reference>
                       sets out those transfers which may be made, commonly as part of a tax planning exercise by the managers. A transfer in accordance with those provisions will not (save to the extent specified) require an investor's prior consent and will not have to be offered through the pre-emptive process of 
                      <internal.reference refid="a73365">article 19</internal.reference>
                      .
                    </paratext>
                  </para>
                </division>
              </drafting.note>
            </subclause1>
            <subclause1 id="a96455">
              <identifier>18.2</identifier>
              <para>
                <paratext>Where Shares are held by the trustee(s) of a Family Trust, the trustee(s) may transfer Shares to:</paratext>
              </para>
              <subclause2 id="a903130">
                <identifier>(a)</identifier>
                <para>
                  <paratext>the Original Shareholder;</paratext>
                </para>
              </subclause2>
              <subclause2 id="a754542">
                <identifier>(b)</identifier>
                <para>
                  <paratext>any Privileged Relation(s) of the Original Shareholder;</paratext>
                </para>
              </subclause2>
              <subclause2 id="a669147">
                <identifier>(c)</identifier>
                <para>
                  <paratext>
                    subject to 
                    <internal.reference refid="a831805">article 18.3</internal.reference>
                    , the trustee(s) of another Family Trust of which the Original Shareholder is the Settlor; or
                  </paratext>
                </para>
              </subclause2>
              <subclause2 id="a187984">
                <identifier>(d)</identifier>
                <para>
                  <paratext>
                    subject to 
                    <internal.reference refid="a831805">article 18.3</internal.reference>
                    , to the new (or remaining) trustee(s) upon a change of trustee(s) of a Family Trust,
                  </paratext>
                </para>
              </subclause2>
              <para>
                <paratext>without any price or other restriction.</paratext>
              </para>
            </subclause1>
            <subclause1 id="a831805">
              <identifier>18.3</identifier>
              <para>
                <paratext>
                  A transfer of Shares may only be made to the trustee(s) of a Family Trust if [an Investor Majority 
                  <bold>OR</bold>
                   an Investor Director] is satisfied:
                </paratext>
              </para>
              <subclause2 id="a436093">
                <identifier>(a)</identifier>
                <para>
                  <paratext>with the terms of the trust instrument and, in particular, with the powers of the trustee(s);</paratext>
                </para>
              </subclause2>
              <subclause2 id="a888808">
                <identifier>(b)</identifier>
                <para>
                  <paratext>with the identity of the proposed trustee(s);</paratext>
                </para>
              </subclause2>
              <subclause2 id="a262153">
                <identifier>(c)</identifier>
                <para>
                  <paratext>that the proposed transfer will not result in [50]% or more of the aggregate of the Company's equity share capital being held by trustees of that and any other trusts; and</paratext>
                </para>
              </subclause2>
              <subclause2 id="a145052">
                <identifier>(d)</identifier>
                <para>
                  <paratext>that no costs incurred in connection with the setting up or administration of that Family Trust are to be paid by the Company.</paratext>
                </para>
                <drafting.note id="a329298" jurisdiction="">
                  <head align="left" preservecase="true">
                    <headtext>Family trusts</headtext>
                  </head>
                  <division id="a000109" level="1">
                    <para>
                      <paratext>Additional consents are required before a transfer to a family trust as, given the opaque nature of trusts, an investor will want to ensure that the trust is established for the benefit of the original shareholder and their family (and not as a means of vesting an interest in those shares in some other person to whom an investor would object to having as a shareholder).</paratext>
                    </para>
                    <para>
                      <paratext>It may be administratively preferable to vest the consent right in an investor director, rather than an investor majority in this case (in particular where an investor majority consent would require several separate signatures).</paratext>
                    </para>
                  </division>
                </drafting.note>
              </subclause2>
            </subclause1>
            <subclause1 id="a58321">
              <identifier>18.4</identifier>
              <para>
                <paratext>If the Original Shareholder is a company, and a Permitted Transfer has been made, the Permitted Transferee shall, within [NUMBER] Business Days of ceasing to be a Member of the Same Group as the Original Shareholder, transfer the Shares held by it to:</paratext>
              </para>
              <subclause2 id="a520264">
                <identifier>(a)</identifier>
                <para>
                  <paratext>the Original Shareholder; or</paratext>
                </para>
              </subclause2>
              <subclause2 id="a849614">
                <identifier>(b)</identifier>
                <para>
                  <paratext>a Member of the Same Group as the Original Shareholder,</paratext>
                </para>
              </subclause2>
              <para>
                <paratext>
                  (which in either case is not in liquidation), without any price or other restriction. If the Permitted Transferee fails to make a transfer in accordance with this 
                  <internal.reference refid="a58321">article 18.4</internal.reference>
                  , a Transfer Notice shall be deemed to have been given in respect of such Shares on the expiry of the period set out in this 
                  <internal.reference refid="a58321">article 18.4</internal.reference>
                  .
                </paratext>
              </para>
              <drafting.note id="a861563" jurisdiction="">
                <head align="left" preservecase="true">
                  <headtext>Ceasing to be a permitted transferee</headtext>
                </head>
                <division id="a000110" level="1">
                  <para>
                    <paratext>For so long as a permitted transfer is made for bona fide purposes (usually tax planning) an investor will not usually object to shares being held by specified persons or entities related to a shareholder. However, any benefit to such shareholder is likely to be lost if the relevant permitted transferee ceases to have the relevant relationship with the shareholder. In that case, such investor will require shares held by such a permitted transferee to be transferred back to the original shareholder (or to a person who remains a permitted transferee of the original shareholder).</paratext>
                  </para>
                  <para>
                    <paratext>
                      <internal.reference refid="a58321">article 18.4</internal.reference>
                       deals with the situation where a permitted transferee is company and is, at least in part, designed to avoid an indirect sale of shares in the company through the sale of a corporate shareholder.
                    </paratext>
                  </para>
                  <para>
                    <paratext>
                      Similar provisions are made in relation to permitted transferees which are funds (
                      <internal.reference refid="a770144">article 18.5</internal.reference>
                      ) and individuals (
                      <internal.reference refid="a236635">article 18.6</internal.reference>
                      ).
                    </paratext>
                  </para>
                </division>
              </drafting.note>
            </subclause1>
            <subclause1 id="a770144">
              <identifier>18.5</identifier>
              <para>
                <paratext>If the Original Shareholder is an Investment Fund (or nominee of such person) and a Permitted Transfer has been made, the Permitted Transferee shall, within [NUMBER] of Business Days of ceasing to be a Member of the Same Fund Group as the Original Shareholder, transfer the Shares held by it to:</paratext>
              </para>
              <subclause2 id="a898374">
                <identifier>(a)</identifier>
                <para>
                  <paratext>the Original Shareholder; or</paratext>
                </para>
              </subclause2>
              <subclause2 id="a697703">
                <identifier>(b)</identifier>
                <para>
                  <paratext>a Member of the Same Fund Group as the Original Shareholder,</paratext>
                </para>
              </subclause2>
              <para>
                <paratext>
                  (which in either case is not in liquidation), without any price or other restriction. If the Permitted Transferee fails to make a transfer in accordance with this 
                  <internal.reference refid="a770144">article 18.5</internal.reference>
                  , a Transfer Notice shall be deemed to have been given in respect of such Shares on the expiry of the period set out in this 
                  <internal.reference refid="a770144">article 18.5</internal.reference>
                  .
                </paratext>
              </para>
              <drafting.note id="a456372" jurisdiction="">
                <head align="left" preservecase="true">
                  <headtext>Ceasing to be a permitted transferee</headtext>
                </head>
                <division id="a000111" level="1">
                  <para>
                    <paratext>
                      See the drafting note to 
                      <internal.reference refid="a861563">Drafting note, 18.4 Ceasing to be a permitted transferee</internal.reference>
                      .
                    </paratext>
                  </para>
                </division>
              </drafting.note>
            </subclause1>
            <subclause1 id="a236635">
              <identifier>18.6</identifier>
              <para>
                <paratext>If the Original Shareholder is an individual and a Permitted Transfer has been made to a Privileged Relation of the Original Shareholder, the Permitted Transferee (or the transmittee(s) of any such person), shall within [NUMBER] Business Days of ceasing to be a Privileged Relation of the Original Shareholder (whether by reason of death, divorce or otherwise) either:</paratext>
              </para>
              <subclause2 id="a493042">
                <identifier>(a)</identifier>
                <para>
                  <paratext>execute and deliver to the Company a transfer of the Shares held by the Privileged Relation to the Original Shareholder (or to any Permitted Transferee of the Original Shareholder) for such consideration as may be agreed between them; or</paratext>
                </para>
              </subclause2>
              <subclause2 id="a720892">
                <identifier>(b)</identifier>
                <para>
                  <paratext>
                    give a Transfer Notice to the Company in accordance with 
                    <internal.reference refid="a73365">article 19</internal.reference>
                    ,
                  </paratext>
                </para>
              </subclause2>
              <para>
                <paratext>
                  failing which a Transfer Notice shall be deemed to have been given in respect of such Shares on the expiry of the period set out in this 
                  <internal.reference refid="a236635">article 18.6</internal.reference>
                  . [This 
                  <internal.reference refid="a236635">article 18.6</internal.reference>
                   shall not apply to a transmittee of a Permitted Transferee if that transmittee is also a Permitted Transferee of the Original Shareholder, to the extent that such transmittee is legally or beneficially entitled to those Shares.]
                </paratext>
              </para>
              <drafting.note id="a1026174" jurisdiction="">
                <head align="left" preservecase="true">
                  <headtext>Ceasing to be a permitted transferee</headtext>
                </head>
                <division id="a000112" level="1">
                  <para>
                    <paratext>
                      See the drafting note to 
                      <internal.reference refid="a861563">Drafting note, 18.4 Ceasing to be a permitted transferee</internal.reference>
                      .
                    </paratext>
                  </para>
                </division>
              </drafting.note>
            </subclause1>
            <subclause1 id="a142231">
              <identifier>18.7</identifier>
              <para>
                <paratext>
                  Notwithstanding any other provision of this 
                  <internal.reference refid="a817012">article 18</internal.reference>
                  , a transfer of any Shares approved by the Directors (acting with Investor Consent) may be made without any price or other restriction and any such transfer shall be registered by the Directors.
                </paratext>
              </para>
              <drafting.note id="a262936" jurisdiction="">
                <head align="left" preservecase="true">
                  <headtext>Transfers with consent</headtext>
                </head>
                <division id="a000113" level="1">
                  <para>
                    <paratext>
                      <internal.reference refid="a142231">article 18.7</internal.reference>
                       provides a back-up mechanism to deal with those situations which cannot be anticipated at the time of adoption of the Articles. Circumstances may arise in which the directors and investor(s) consider it fair and appropriate for a shareholder to make a particular transfer of shares free of pre-emption, but would not otherwise constitute a Permitted Transfer for the purposes of 
                      <internal.reference refid="a817012">article 18</internal.reference>
                      .
                    </paratext>
                  </para>
                  <para>
                    <paratext>Management may wish to ensure that the power to give that consent lies with the directors, who must seek prior investor consent to prevent an unscrupulous investor from giving consent to a non pre-emptive transfer by itself.</paratext>
                  </para>
                </division>
              </drafting.note>
            </subclause1>
          </clause>
          <clause id="a73365">
            <identifier>19.</identifier>
            <head align="left" preservecase="true">
              <headtext>Pre-emption rights on the transfer of shares</headtext>
            </head>
            <subclause1 id="a229539">
              <identifier>19.1</identifier>
              <para>
                <paratext>
                  Except where the provisions of 
                  <internal.reference refid="a817012">article 18</internal.reference>
                  , 
                  <internal.reference refid="a1052001">article 22</internal.reference>
                   or 
                  <internal.reference refid="a457892">article 23</internal.reference>
                   apply, any transfer of Shares by a Shareholder shall be subject to the pre-emption rights in this 
                  <internal.reference refid="a73365">article 19</internal.reference>
                  .
                </paratext>
              </para>
              <drafting.note id="a259160" jurisdiction="">
                <head align="left" preservecase="true">
                  <headtext>Exclusions from pre-emption on transfer</headtext>
                </head>
                <division id="a000114" level="1">
                  <para>
                    <paratext>
                      The general rule in these Articles is that any transfer of shares must be preceded by a pre-emptive offer of those shares to the existing shareholders, in accordance with 
                      <internal.reference refid="a73365">article 19</internal.reference>
                      .
                    </paratext>
                  </para>
                  <para>
                    <paratext>
                      <internal.reference refid="a229539">article 19.1</internal.reference>
                       provides limited exceptions to that general rule, being:
                    </paratext>
                  </para>
                  <list type="bulleted">
                    <list.item>
                      <para>
                        <paratext>
                          A 
                          <bold>permitted transfer </bold>
                          of shares (see 
                          <internal.reference refid="a817012">article 18</internal.reference>
                          ), which may be made without restriction as to price or any obligation to make a pre-emptive offer.
                        </paratext>
                      </para>
                    </list.item>
                    <list.item>
                      <para>
                        <paratext>
                          A transfer of shares resulting in a 
                          <bold>change of control</bold>
                           (see 
                          <internal.reference refid="a1052001">article 22</internal.reference>
                          ).
                        </paratext>
                      </para>
                    </list.item>
                    <list.item>
                      <para>
                        <paratext>
                          A transfer of shares pursuant to the service of a 
                          <bold>drag along notice</bold>
                           (see 
                          <internal.reference refid="a457892">article 23</internal.reference>
                          ), where the intention is for a buyer to acquire 100% of the issued share capital of the investee company.
                        </paratext>
                      </para>
                    </list.item>
                  </list>
                </division>
              </drafting.note>
            </subclause1>
            <subclause1 id="a130715">
              <identifier>19.2</identifier>
              <para>
                <paratext>
                  A Shareholder who wishes to transfer Shares (a 
                  <bold>Seller</bold>
                  ) shall, before transferring or agreeing to transfer any Shares, give notice in writing (a 
                  <bold>Transfer Notice</bold>
                  ) to the Company specifying:
                </paratext>
              </para>
              <subclause2 id="a124078">
                <identifier>(a)</identifier>
                <para>
                  <paratext>
                    subject to 
                    <internal.reference refid="a165244">article 17.8(b)</internal.reference>
                    , the number of Shares they wish to transfer (
                    <bold>Sale Shares</bold>
                    );
                  </paratext>
                </para>
              </subclause2>
              <subclause2 id="a878407">
                <identifier>(b)</identifier>
                <para>
                  <paratext>the name of the proposed transferee, if any;</paratext>
                </para>
              </subclause2>
              <subclause2 id="a615419">
                <identifier>(c)</identifier>
                <para>
                  <paratext>
                    subject to 
                    <internal.reference refid="a627423">article 21.5</internal.reference>
                    , the price per Sale Share (in cash), if any, at which they wish to transfer the Sale Shares (the 
                    <bold>Proposed Sale Price</bold>
                    ); and
                  </paratext>
                </para>
              </subclause2>
              <subclause2 id="a138805">
                <identifier>(d)</identifier>
                <para>
                  <paratext>
                    subject to 
                    <internal.reference refid="a470957">article 17.8(a)</internal.reference>
                    , whether the Transfer Notice is conditional on all or a specific number of the Sale Shares being sold (a 
                    <bold>Minimum Transfer Condition</bold>
                    ).
                  </paratext>
                </para>
                <drafting.note id="a64623" jurisdiction="">
                  <head align="left" preservecase="true">
                    <headtext>Contents of a transfer notice</headtext>
                  </head>
                  <division id="a000115" level="1">
                    <para>
                      <paratext>
                        <internal.reference refid="a130715">article 19.2</internal.reference>
                         sets out the contents required of a transfer notice given in respect of a voluntary transfer of shares. Certain events (specified in these Articles) deem a transfer notice to have been given (often against the will of the transferor). In the case of a deemed transfer notice, 
                        <internal.reference refid="a653808">article 17.8</internal.reference>
                         modifies 
                        <internal.reference refid="a130715">article 19.2</internal.reference>
                         by providing that the seller is required to transfer all their shares and that such sale cannot be subject to a Minimum Transfer Condition. In certain cases, the particular event triggering the service of a deemed transfer notice will also determine the price at which those shares are to be sold.
                      </paratext>
                    </para>
                    <para>
                      <paratext>
                        Note that 
                        <internal.reference refid="a878407">article 19.2(b)</internal.reference>
                         only requires a transferor to identify the proposed third party transferee if one exists at the date of service of a transfer notice. There is no obligation to identify a buyer before serving a transfer notice although, if one has been selected, that knowledge will enable the other shareholders to determine whether they would be happy for such third party to become a fellow shareholder.
                      </paratext>
                    </para>
                    <para>
                      <paratext>
                        If any shares remain after following the pre-emptive procedure of this 
                        <internal.reference refid="a73365">article 19</internal.reference>
                        , the seller may sell those shares to any third party (subject to 
                        <internal.reference refid="a451154">article 19.18</internal.reference>
                        , to the extent included) and so stating a proposed transferee in a transfer notice will not restrict the seller later on.
                      </paratext>
                    </para>
                  </division>
                </drafting.note>
              </subclause2>
            </subclause1>
            <subclause1 id="a568649">
              <identifier>19.3</identifier>
              <para>
                <paratext>
                  [Once given, a Transfer Notice may only be withdrawn with Investor Consent 
                  <bold>OR</bold>
                   Except in the case of a Deemed Transfer Notice (which may not be withdrawn), where the Transfer Price of the Sale Shares comprised within a Transfer Notice is to be the Fair Value and such Fair Value less than the Proposed Sale Price the Seller may, within [NUMBER] Business Days of receipt of notification of the Fair Value, withdraw the Transfer Notice. Otherwise, a Transfer Notice may only be withdrawn with Investor Consent.]
                </paratext>
              </para>
              <drafting.note id="a812315" jurisdiction="">
                <head align="left" preservecase="true">
                  <headtext>Withdrawal of transfer notice</headtext>
                </head>
                <division id="a000116" level="1">
                  <para>
                    <paratext>Whether it will be possible for a shareholder to withdraw a transfer notice will be a matter for negotiation and, in particular whether it should be the investors who ultimately decide whether or not to give consent.</paratext>
                  </para>
                  <para>
                    <paratext>A common position is that, in relation to a voluntary transfer notice only, withdrawal may be permitted if the price per share determined by the independent expert is less than the price at which the transferor wishes to sell. As a deemed transfer notice is automatically served on the occurrence of certain events, the transferor of those shares may not withdraw the deemed transfer notice.</paratext>
                  </para>
                </division>
              </drafting.note>
            </subclause1>
            <subclause1 id="a810274">
              <identifier>19.4</identifier>
              <para>
                <paratext>A Transfer Notice (or Deemed Transfer Notice) constitutes the Company the agent of the Seller for the sale of the Sale Shares at the Transfer Price.</paratext>
              </para>
            </subclause1>
            <subclause1 id="a85398">
              <identifier>19.5</identifier>
              <para>
                <paratext>As soon as practicable following the later of:</paratext>
              </para>
              <subclause2 id="a728869">
                <identifier>(a)</identifier>
                <para>
                  <paratext>receipt of a Transfer Notice (or in the case of a Deemed Transfer Notice, the date such notice is deemed to be served); and</paratext>
                </para>
              </subclause2>
              <subclause2 id="a64036">
                <identifier>(b)</identifier>
                <para>
                  <paratext>the determination of the Transfer Price,</paratext>
                </para>
              </subclause2>
              <para>
                <paratext>
                  the Directors shall (unless the Transfer Notice is withdrawn in accordance with 
                  <internal.reference refid="a568649">article 19.3</internal.reference>
                  ) offer the Sale Shares for sale in the manner set out in the remaining provisions of this 
                  <internal.reference refid="a73365">article 19</internal.reference>
                   at the Transfer Price. Each offer shall be in writing and shall give details of the number and Transfer Price of the Sale Shares offered.
                </paratext>
              </para>
            </subclause1>
            <subclause1 id="a792956">
              <identifier>19.6</identifier>
              <para>
                <paratext>
                  If the Sale Shares are Preferred Shares, the Company shall, subject to 
                  <internal.reference refid="a599340">article 21</internal.reference>
                  , offer them in the following order of priority:
                </paratext>
              </para>
              <subclause2 id="a871771">
                <identifier>(a)</identifier>
                <para>
                  <paratext>first, to the holders of Preferred Shares; and</paratext>
                </para>
              </subclause2>
              <subclause2 id="a369749">
                <identifier>(b)</identifier>
                <para>
                  <paratext>second, to the holders of Ordinary Shares,</paratext>
                </para>
              </subclause2>
              <para>
                <paratext>
                  in each case on the basis set out in 
                  <internal.reference refid="a707506">article 19.9</internal.reference>
                   to 
                  <internal.reference refid="a355022">article 19.17</internal.reference>
                   (inclusive).
                </paratext>
              </para>
              <drafting.note id="a72713" jurisdiction="">
                <head align="left" preservecase="true">
                  <headtext>Sale of Preferred Shares</headtext>
                </head>
                <division id="a000117" level="1">
                  <para>
                    <paratext>Where the shares to be sold under a transfer notice are Preferred Shares, an investor will want to ensure that such shares are retained within the group of investors. To allow the holders of Ordinary Shares to hold Preferred Shares would not only dilute the investors' aggregate percentage holding of shares, but also dilute the special rights to which the investors are exclusively entitled.</paratext>
                  </para>
                </division>
              </drafting.note>
            </subclause1>
            <subclause1 id="a141396">
              <identifier>19.7</identifier>
              <para>
                <paratext>
                  If the Sale Shares are Ordinary Shares [being sold pursuant to a Deemed Transfer Notice under 
                  <internal.reference refid="a599340">article 21</internal.reference>
                  ], the Company shall offer them in the following order of priority:
                </paratext>
              </para>
              <subclause2 id="a92034">
                <identifier>(a)</identifier>
                <para>
                  <paratext>
                    first, to any Employee Trust that the Directors (acting with Investor Consent) may nominate for the purpose 
                    <bold>OR</bold>
                     to a person or persons agreed between the Directors and [an Investor Majority 
                    <bold>OR</bold>
                     an Investor Director] to take the Departing Employee's place, conditionally on that person commencing their employment and/or office with the Company (or other Group Company) 
                    <bold>OR</bold>
                     subject to the Act, the Company;
                  </paratext>
                </para>
              </subclause2>
              <subclause2 id="a974539">
                <identifier>(b)</identifier>
                <para>
                  <paratext>second, to the holders of Ordinary Shares; and</paratext>
                </para>
              </subclause2>
              <subclause2 id="a327024">
                <identifier>(c)</identifier>
                <para>
                  <paratext>third, to the holders of Preferred Shares,</paratext>
                </para>
              </subclause2>
              <para>
                <paratext>
                  in each case on the basis set out in 
                  <internal.reference refid="a707506">article 19.9</internal.reference>
                   to 
                  <internal.reference refid="a355022">article 19.17</internal.reference>
                   (inclusive).
                </paratext>
              </para>
              <drafting.note id="a793117" jurisdiction="">
                <head align="left" preservecase="true">
                  <headtext>Sale of Ordinary Shares</headtext>
                </head>
                <division id="a000118" level="1">
                  <para>
                    <paratext>
                      As the corollary to the investors' desire to keep Preferred Shares within the hands of the investors (see 
                      <link href="7-203-4981" style="ACTLinkPLCtoPLC">
                        <ital>Drafting note, Sale of Preferred Shares</ital>
                      </link>
                      ), management will want to preserve their aggregate percentage holding of shares by requiring Ordinary Shares to be offered to them, ahead of any investor. At the same time, the particular sale may be connected with the resignation or retirement of the transferor and, in that case, it may be appropriate for those shares to be offered to their replacement.
                    </paratext>
                  </para>
                  <para>
                    <paratext>
                      If such a replacement has not been identified at the time the shares are to be sold, such shares may be warehoused in an employee trust, to be issued to the replacement on their appointment. 
                      <internal.reference refid="a92034">article 19.7(a)</internal.reference>
                       provides for these alternatives and requires that such an offer be made before any offer to the existing shareholders.
                    </paratext>
                  </para>
                  <para>
                    <paratext>
                      A third option is that all existing shareholders would prefer to cancel the sale shares, with the result of proportionately increasing each shareholder's percentage of the total share capital. As such, 
                      <internal.reference refid="a92034">article 19.7(a)</internal.reference>
                       provides for the inclusion of this third option, which will be subject to there being sufficient profits available for distribution at the time of the proposed buy-back.
                    </paratext>
                  </para>
                  <para>
                    <paratext>
                      After negotiation, the parties may conclude that they wish to include more than one of the options described above, in which case each of the alternatives in 
                      <internal.reference refid="a92034">article 19.7(a)</internal.reference>
                       may be included, in the priority agreed between the parties at the time of drafting the Articles.
                    </paratext>
                  </para>
                </division>
              </drafting.note>
            </subclause1>
            <subclause1 id="a269572">
              <identifier>19.8</identifier>
              <para>
                <paratext>
                  An offer of Sale Shares made in accordance with 
                  <internal.reference refid="a92034">article 19.7(a)</internal.reference>
                   shall remain open for acceptance for a period from the date of the offer to the date [NUMBER] Business Days after the offer (both dates inclusive). Any Sale Shares not allocated within that period shall be dealt with in accordance with 
                  <internal.reference refid="a707506">article 19.9</internal.reference>
                   and 
                  <internal.reference refid="a128124">article 19.10</internal.reference>
                  .
                </paratext>
              </para>
            </subclause1>
            <subclause1 id="a707506">
              <identifier>19.9</identifier>
              <para>
                <paratext>
                  Subject to 
                  <internal.reference refid="a269572">article 19.8</internal.reference>
                  , the Directors shall offer the Sale Shares in the order of priority referred to in 
                  <internal.reference refid="a792956">article 19.6</internal.reference>
                   or 
                  <internal.reference refid="a141396">article 19.7</internal.reference>
                   (as appropriate) to the First Offer Shareholders (other than the Seller), inviting them to apply in writing within the period from the date of the offer to the date [NUMBER] Business Days after the offer (both dates inclusive) (the 
                  <defn.term>First Offer Period</defn.term>
                  ) for the maximum number of Sale Shares they wish to buy.
                </paratext>
              </para>
            </subclause1>
            <subclause1 id="a128124">
              <identifier>19.10</identifier>
              <para>
                <paratext>If:</paratext>
              </para>
              <subclause2 id="a600693">
                <identifier>(a)</identifier>
                <para>
                  <paratext>at the end of the First Offer Period, the number of Sale Shares applied for is equal to or exceeds the number of Sale Shares, the Directors shall allocate the Sale Shares to each First Offer Shareholder who has applied for Sale Shares in the proportion which their existing holding of Shares bears to the total number of Shares of the class being offered held by all First Offer Shareholders (other than the Seller). Fractional entitlements shall be rounded down to the nearest whole number (save where such rounding would result in not all Sale Shares being allocated, in which case, the allocation of any such fractional entitlements shall be determined by the Directors (acting with Investor Consent)). No allocation shall be made to a Shareholder of more than the maximum number of Sale Shares which that Shareholder has stated they are willing to buy;</paratext>
                </para>
                <drafting.note id="a318092" jurisdiction="">
                  <head align="left" preservecase="true">
                    <headtext>Fractional entitlements</headtext>
                  </head>
                  <division id="a000119" level="1">
                    <para>
                      <paratext>
                        To ensure that allocations of shares under 
                        <internal.reference refid="a73365">article 19</internal.reference>
                         are only of whole shares, 
                        <internal.reference refid="a600693">article 19.10(a)</internal.reference>
                         (and 
                        <internal.reference refid="a209529">article 19.12(a)</internal.reference>
                        ) requires fractional entitlements to be rounded down to the nearest whole number. However, doing so may result in a rump of shares being unallocated to buyers. This may be undesirable where the seller wishes to sell all their shares (and will be undesirable in the case of a deemed transfer notice). As a result, where such rounding down would result in a remainder of unallocated shares, the directors will (subject to approval by an investor majority to ensure fairness) determine how those are to be allocated.
                      </paratext>
                    </para>
                  </division>
                </drafting.note>
              </subclause2>
              <subclause2 id="a714142">
                <identifier>(b)</identifier>
                <para>
                  <paratext>
                    not all Sale Shares are allocated following allocations in accordance with 
                    <internal.reference refid="a600693">article 19.10(a)</internal.reference>
                    , but there are applications for Sale Shares that have not been satisfied, the Directors shall allocate the remaining Sale Shares to such applicants in accordance with the procedure set out in 
                    <internal.reference refid="a600693">article 19.10(a)</internal.reference>
                    . The procedure set out in this 
                    <internal.reference refid="a714142">article 19.10(b)</internal.reference>
                     shall apply on any number of consecutive occasions until either all Sale Shares have been allocated or all applications for Sale Shares have been satisfied; and
                  </paratext>
                </para>
              </subclause2>
              <subclause2 id="a639373">
                <identifier>(c)</identifier>
                <para>
                  <paratext>
                    at the end of the First Offer Period, the total number of Sale Shares applied for is less than the number of Sale Shares, the Directors shall allocate the Sale Shares to the First Offer Shareholders in accordance with their applications. The balance (the 
                    <defn.term>Initial Surplus Shares</defn.term>
                    ) shall be dealt with in accordance with 
                    <internal.reference refid="a863681">article 19.11</internal.reference>
                    .
                  </paratext>
                </para>
              </subclause2>
            </subclause1>
            <subclause1 id="a863681">
              <identifier>19.11</identifier>
              <para>
                <paratext>
                  At the end of the First Offer Period, the Directors shall offer the Initial Surplus Shares (if any) to the Second Offer Shareholders (other than the Seller), inviting them to apply in writing within the period from the date of the offer to the date [NUMBER] Business Days after the offer (both dates inclusive) (the 
                  <defn.term>Second Offer Period</defn.term>
                  ) for the maximum number of Initial Surplus Shares they wish to buy.
                </paratext>
              </para>
            </subclause1>
            <subclause1 id="a925177">
              <identifier>19.12</identifier>
              <para>
                <paratext>If:</paratext>
              </para>
              <subclause2 id="a209529">
                <identifier>(a)</identifier>
                <para>
                  <paratext>at the end of the Second Offer Period, the number of Initial Surplus Shares applied for is equal to or exceeds the number of Initial Surplus Shares, the Directors shall allocate the Initial Surplus Shares to each Second Offer Shareholder who has applied for Initial Surplus Shares in the proportion which their existing holding of Shares of the class held by Second Offer Shareholders bears to the total number of Shares of the class held by all Second Offer Shareholders (other than the Seller). Fractional entitlements shall be rounded down to the nearest whole number (save where such rounding would result in not all Initial Surplus Shares being allocated, in which case, the allocation of any such fractional entitlements shall be determined by the Directors (acting with Investor Consent)). No allocation shall be made to a Shareholder of more than the maximum number of Initial Surplus Shares which that Shareholder has stated they are willing to buy;</paratext>
                </para>
                <drafting.note id="a703385" jurisdiction="">
                  <head align="left" preservecase="true">
                    <headtext>Fractional entitlements</headtext>
                  </head>
                  <division id="a000120" level="1">
                    <para>
                      <paratext>
                        See the drafting notice to 
                        <internal.reference refid="a128124">article 19.10</internal.reference>
                        .
                      </paratext>
                    </para>
                  </division>
                </drafting.note>
              </subclause2>
              <subclause2 id="a622055">
                <identifier>(b)</identifier>
                <para>
                  <paratext>
                    not all Initial Surplus Shares are allocated following allocations in accordance with 
                    <internal.reference refid="a209529">article 19.12(a)</internal.reference>
                    , but there are applications for Initial Surplus Shares that have not been satisfied, the Directors shall allocate the remaining Initial Surplus Shares to such applicants in accordance with the procedure set out in 
                    <internal.reference refid="a209529">article 19.12(a)</internal.reference>
                    . The procedure set out in this 
                    <internal.reference refid="a622055">article 19.12(b)</internal.reference>
                     shall apply on any number of consecutive occasions until either all Initial Surplus Shares have been allocated or all applications for Initial Surplus Shares have been satisfied; and
                  </paratext>
                </para>
              </subclause2>
              <subclause2 id="a650054">
                <identifier>(c)</identifier>
                <para>
                  <paratext>
                    at the end of the Second Offer Period, the total number of Initial Surplus Shares applied for is less than the number of Initial Surplus Shares, the Directors shall allocate the Initial Surplus Shares to the Second Offer Shareholders in accordance with their applications. The balance (the 
                    <bold>Second Surplus Shares</bold>
                    ) shall, subject to 
                    <internal.reference refid="a831637">article 19.13</internal.reference>
                    , be offered to any other person in accordance with 
                    <internal.reference refid="a355022">article 19.17</internal.reference>
                    .
                  </paratext>
                </para>
              </subclause2>
            </subclause1>
            <subclause1 id="a831637">
              <identifier>19.13</identifier>
              <para>
                <paratext>Where the Transfer Notice contains a Minimum Transfer Condition:</paratext>
              </para>
              <subclause2 id="a1021309">
                <identifier>(a)</identifier>
                <para>
                  <paratext>
                    any allocation made under 
                    <internal.reference refid="a269572">article 19.8</internal.reference>
                     to 
                    <internal.reference refid="a925177">article 19.12</internal.reference>
                     (inclusive) shall be conditional on the fulfilment of the Minimum Transfer Condition; and
                  </paratext>
                </para>
              </subclause2>
              <subclause2 id="a921132">
                <identifier>(b)</identifier>
                <para>
                  <paratext>
                    if the total number of Sale Shares applied for under 
                    <internal.reference refid="a269572">article 19.8</internal.reference>
                     to 
                    <internal.reference refid="a925177">article 19.12</internal.reference>
                     (inclusive) is less than the number of Sale Shares, the Board shall notify the Seller and all those Shareholders to whom Sale Shares have been conditionally allocated stating that the condition has not been met and that the relevant Transfer Notice has lapsed with immediate effect.
                  </paratext>
                </para>
                <drafting.note id="a463661" jurisdiction="">
                  <head align="left" preservecase="true">
                    <headtext>Lapse of transfer notice</headtext>
                  </head>
                  <division id="a000121" level="1">
                    <para>
                      <paratext>
                        In the case of a deemed transfer notice, neither the company nor an investor will want to run the risk that not all sale shares are accepted under the pre-emption procedure set out in 
                        <internal.reference refid="a269572">article 19.8</internal.reference>
                         to 
                        <internal.reference refid="a925177">article 19.12</internal.reference>
                        . The intention is that the particular seller should exit the company completely and not retain any equity interest. As such, the provisions of 
                        <internal.reference refid="a831637">article 19.13</internal.reference>
                         will not apply to a transfer of shares the subject of a deemed transfer notice (see 
                        <internal.reference refid="a470957">article 17.8(a)</internal.reference>
                        ).
                      </paratext>
                    </para>
                  </division>
                </drafting.note>
              </subclause2>
            </subclause1>
            <subclause1 id="a487243">
              <identifier>19.14</identifier>
              <para>
                <paratext>Where either:</paratext>
              </para>
              <subclause2 id="a788911">
                <identifier>(a)</identifier>
                <para>
                  <paratext>the Transfer Notice does not contain a Minimum Transfer Condition; or</paratext>
                </para>
              </subclause2>
              <subclause2 id="a149486">
                <identifier>(b)</identifier>
                <para>
                  <paratext>allocations have been made in respect of all the Sale Shares,</paratext>
                </para>
              </subclause2>
              <para>
                <paratext>
                  the Directors shall, when no further offers or allocations are required to be made under 
                  <internal.reference refid="a269572">article 19.8</internal.reference>
                   to 
                  <internal.reference refid="a925177">article 19.12</internal.reference>
                   (inclusive), give notice in writing of the allocations of Sale Shares (an 
                  <defn.term>Allocation Notice</defn.term>
                  ) to the Seller and each Shareholder to whom Sale Shares have been allocated (each an 
                  <defn.term>Applicant</defn.term>
                  ). The Allocation Notice shall specify the number of Sale Shares allocated to each Applicant and the place and time for completion of the transfer of the Sale Shares (which shall be at least [NUMBER] Business Days, but not more than [NUMBER] Business Days, after the date of the Allocation Notice).
                </paratext>
              </para>
            </subclause1>
            <subclause1 id="a536605">
              <identifier>19.15</identifier>
              <para>
                <paratext>On the date specified for completion in the Allocation Notice, the Seller shall, against payment from an Applicant, transfer the Sale Shares allocated to such Applicant, in accordance with any requirements specified in the Allocation Notice.</paratext>
              </para>
            </subclause1>
            <subclause1 id="a906406">
              <identifier>19.16</identifier>
              <para>
                <paratext>
                  If the Seller fails to comply with 
                  <internal.reference refid="a536605">article 19.15</internal.reference>
                  :
                </paratext>
              </para>
              <subclause2 id="a797002">
                <identifier>(a)</identifier>
                <para>
                  <paratext>the Chair (or, failing the Chair, any other Director or some other person nominated by a resolution of the Directors) may, as agent [and attorney] on behalf of the Seller:</paratext>
                </para>
                <subclause3 id="a594057">
                  <identifier>(i)</identifier>
                  <para>
                    <paratext>complete, execute and deliver in their name all documents necessary to give effect to the transfer of the relevant Sale Shares to the Applicants;</paratext>
                  </para>
                </subclause3>
                <subclause3 id="a202893">
                  <identifier>(ii)</identifier>
                  <para>
                    <paratext>receive the Transfer Price and give a good discharge for it (and no Applicant shall be obliged to see to the distribution of the Transfer Price); and</paratext>
                  </para>
                </subclause3>
                <subclause3 id="a376385">
                  <identifier>(iii)</identifier>
                  <para>
                    <paratext>(subject to the transfer being duly stamped) enter the Applicants in the register of Shareholders as the holders of the Shares purchased by them; and</paratext>
                  </para>
                  <drafting.note id="a580712" jurisdiction="">
                    <head align="left" preservecase="true">
                      <headtext>Chair as attorney</headtext>
                    </head>
                    <division id="a000122" level="1">
                      <para>
                        <paratext>
                          For a consideration of the effect (or otherwise) of granting a power of attorney under a set of articles, see 
                          <internal.reference refid="a786532">Drafting note, Shareholder rights on Exit</internal.reference>
                          .
                        </paratext>
                      </para>
                    </division>
                  </drafting.note>
                </subclause3>
              </subclause2>
              <subclause2 id="a387066">
                <identifier>(b)</identifier>
                <para>
                  <paratext>the Company shall pay the Transfer Price into a separate bank account in the Company's name on trust (but without interest) for the Seller until the Seller has delivered the certificate(s) for the relevant Shares (or an indemnity, in a form reasonably satisfactory to the Directors, in respect of any lost certificate, together with such other evidence (if any) as the Board may reasonably require to prove good title to those Shares) to the Company.</paratext>
                </para>
              </subclause2>
            </subclause1>
            <subclause1 id="a355022">
              <identifier>19.17</identifier>
              <para>
                <paratext>
                  Where a Transfer Notice lapses pursuant to 
                  <internal.reference refid="a921132">article 19.13(b)</internal.reference>
                   or an Allocation Notice does not relate to all the Sale Shares, then [, subject to 
                  <internal.reference refid="a451154">article 19.18</internal.reference>
                  ,] the Seller may, at any time during the [NUMBER] Business Days following the date of lapse of the Transfer Notice, or the date of service of the Allocation Notice as the case may be, transfer the Sale Shares (in the case of a lapsed offer) or the Second Surplus Shares (as the case may be) to any person at a price at least equal to the Transfer Price. The sale of the Sale Shares (following the lapse of a Transfer Notice) in accordance with this 
                  <internal.reference refid="a355022">article 19.17</internal.reference>
                   shall continue to be subject to any Minimum Transfer Condition.
                </paratext>
              </para>
            </subclause1>
            <subclause1 condition="optional" id="a451154">
              <identifier>19.18</identifier>
              <para>
                <paratext>
                  The Seller's right to transfer Shares under 
                  <internal.reference refid="a355022">article 19.17</internal.reference>
                   does not apply if the Directors reasonably consider that:
                </paratext>
              </para>
              <subclause2 id="a162759">
                <identifier>(a)</identifier>
                <para>
                  <paratext>
                    the transferee is a person (or a nominee for a person) whom [an Investor Majority 
                    <bold>OR</bold>
                     an Investor Director] determines to be a competitor (or a Member of the Same Group as a competitor) of the business of any Group Company;
                  </paratext>
                </para>
              </subclause2>
              <subclause2 id="a1027946">
                <identifier>(b)</identifier>
                <para>
                  <paratext>the sale of the Sale Shares is not bona fide or the price is subject to a deduction, rebate or allowance to the transferee; or</paratext>
                </para>
              </subclause2>
              <subclause2 id="a166804">
                <identifier>(c)</identifier>
                <para>
                  <paratext>
                    the Seller has failed or refused to promptly provide information available to them and reasonably requested to enable it to form the opinion referred to in 
                    <internal.reference refid="a1027946">article 19.18(b)</internal.reference>
                    .
                  </paratext>
                </para>
                <drafting.note id="a160539" jurisdiction="">
                  <head align="left" preservecase="true">
                    <headtext>Limits on right to transfer to third parties</headtext>
                  </head>
                  <division id="a000123" level="1">
                    <para>
                      <paratext>
                        <internal.reference refid="a451154">article 19.18</internal.reference>
                         sets out additional restrictions on the right of a seller to transfer shares to a third party. Despite having had the chance to buy those shares during the pre-emptive process, there may be valid reasons why not all of those shares were acquired. In that case, an investor and the company may wish to specify the cases in which a seller cannot freely transfer those shares. In particular, the company will not want shares to be held by a competitor, given the rights that such competitor will acquire as a shareholder of the company.
                      </paratext>
                    </para>
                    <para>
                      <paratext>
                        The extent to which 
                        <internal.reference refid="a451154">article 19.18</internal.reference>
                         is included within the Articles will be for discussion between the directors and proposed shareholders of the company, although 
                        <internal.reference refid="a1027946">article 19.18(b)</internal.reference>
                         and 
                        <internal.reference refid="a166804">article 19.18(c)</internal.reference>
                         will commonly be included, as they relate to procedural breaches by the particular seller.
                      </paratext>
                    </para>
                  </division>
                </drafting.note>
              </subclause2>
            </subclause1>
          </clause>
          <clause id="a1026593">
            <identifier>20.</identifier>
            <head align="left" preservecase="true">
              <headtext>Valuation</headtext>
            </head>
            <subclause1 id="a635429">
              <identifier>20.1</identifier>
              <para>
                <paratext>The Transfer Price for each Sale Share the subject of a Transfer Notice (or Deemed Transfer Notice) shall, save where expressly provided otherwise in these Articles, be the price per Sale Share (in cash) agreed between the Directors (any Director with whom the Seller is connected not voting), acting with Investor Consent, and the Seller or, in default of agreement within [NUMBER] Business Days of the date of service of the Transfer Notice (or, in the case of a Deemed Transfer Notice, the date on which the board of Directors first has actual knowledge of the facts giving rise to such deemed service), the Fair Value of each Sale Share.</paratext>
              </para>
              <drafting.note id="a433704" jurisdiction="">
                <head align="left" preservecase="true">
                  <headtext>Valuation of shares</headtext>
                </head>
                <division id="a000124" level="1">
                  <para>
                    <paratext>
                      On a voluntary transfer of shares, the proposed seller has the right to specify the price at which they would like to sell those shares (see 
                      <internal.reference refid="a615419">article 19.2(c)</internal.reference>
                      ). However, under 
                      <internal.reference refid="a635429">article 20.1</internal.reference>
                       the directors (with investor consent) must agree that that is reasonable before the shares are offered at that price. If the directors do not agree the proposed sale price, there will follow a period of negotiation with the seller, in the hope of reaching a mutually agreed amount for the sale price.
                    </paratext>
                  </para>
                  <para>
                    <paratext>
                      <internal.reference refid="a635429">Article 20.1</internal.reference>
                       also provides that such negotiation should not continue without limit in time. In default of agreement within a period to be specified in 
                      <internal.reference refid="a635429">article 20.1</internal.reference>
                       (commonly between five and 20 Business Days), the price will the fair value of such shares. As the directors and the seller will likely have different opinions of what constitutes fair value, the decision as to that fair value will be deferred to an independent expert.
                    </paratext>
                  </para>
                </division>
              </drafting.note>
            </subclause1>
            <subclause1 id="a635387">
              <identifier>20.2</identifier>
              <para>
                <paratext>If the auditors for the time being of the Company decline an instruction to make a certification or a determination in accordance with these Articles, the Company and the Seller (or the Investor Majority as the case may be) shall use all reasonable endeavours to reach agreement regarding the identity of the person to be appointed as the Independent Expert and to agree terms of appointment with the Independent Expert. [Neither party shall unreasonably withhold its agreement to the terms of appointment proposed by the Independent Expert or the other party.]</paratext>
              </para>
              <drafting.note id="a457499" jurisdiction="">
                <head align="left" preservecase="true">
                  <headtext>Appointment of Independent Expert</headtext>
                </head>
                <division id="a000125" level="1">
                  <para>
                    <paratext>
                      Typically, once an expert's appointment has been confirmed in principle, agreed terms of reference will be drawn up between the parties and the expert. These will usually provide more detail about issues such as the procedure to be adopted and how the costs of the expert determination process will be apportioned (see 
                      <link anchor="a743947" href="8-107-4185" style="ACTLinkPLCtoPLC">
                        <ital>Practice note, Expert determination: Terms of reference</ital>
                      </link>
                      ).
                    </paratext>
                  </para>
                  <para>
                    <paratext>
                      Following the Court of Appeal decision in 
                      <link href="https://uk.practicallaw.thomsonreuters.com/Document/IF3B5E7F0C66E11DDAEA8E568DA3AD7D3/View/FullText.html?comp=pluk&amp;amp;transitionType=Default&amp;amp;contextData=(sc.Default)" style="ACTLinkURL">
                        <ital>Cream Holdings Ltd and Others v Stuart Davenport [2008] EWCA Civ 1363</ital>
                      </link>
                       (Cream Holdings) and the subsequent High Court judgment in 
                      <link href="https://uk.practicallaw.thomsonreuters.com/Document/IC1EF9680EBB011DFABCFA6C4D4EC48DA/View/FullText.html?comp=pluk&amp;amp;transitionType=Default&amp;amp;contextData=(sc.Default)" style="ACTLinkURL">
                        <ital>Cream Holdings Ltd and others v Davenport [2010] EWHC 3096 (Ch)</ital>
                      </link>
                       (Cream Holdings No. 2), it is unlikely that the appointment of an expert will be considered complete unless and until the parties and the expert have reached agreement on the expert's terms of engagement. This is, in part, because an expert is unlikely to be willing to accept an appointment unless and until their terms of appointment have been agreed (addressing, among other things, payment terms and exclusions and limitations of liability). With this in mind, this clause includes the option of expressly providing for the parties to agree both the identity of the expert and the terms of their appointment.
                    </paratext>
                  </para>
                </division>
              </drafting.note>
            </subclause1>
            <subclause1 id="a136035">
              <identifier>20.3</identifier>
              <para>
                <paratext>If the parties fail to agree on an Independent Expert and the terms of their appointment within [NUMBER] Business Days of either party serving details of a proposed Independent Expert on the other then either party shall be entitled to request [NAME OF APPOINTING BODY] to appoint the Independent Expert [and to agree their terms of appointment on behalf of the parties].</paratext>
              </para>
              <drafting.note id="a932496" jurisdiction="">
                <head align="left" preservecase="true">
                  <headtext>Selection of an Independent Expert by an appointing authority</headtext>
                </head>
                <division id="a000126" level="1">
                  <para>
                    <paratext>The clause should cater for what will happen if the parties fail to reach agreement on the appointment of the Independent Expert. This paragraph provides that in such circumstances, a specified body will identify and appoint a suitable candidate as Independent Expert on the application of either party.</paratext>
                  </para>
                  <para>
                    <paratext>
                      While it is commonplace to refer to the appointing authority "appointing" the Independent Expert, in practice, it is likely to be an unusual case where the appointing body actually appoints the Independent Expert as opposed to simply nominating the Independent Expert who is subsequently appointed by the parties (see further 
                      <internal.reference refid="a457499">Drafting note, Appointment of Independent Expert</internal.reference>
                      ).
                    </paratext>
                  </para>
                  <para>
                    <paratext>In the absence of a contractual mechanism for selecting the Independent Expert where the parties are unable to agree on this, the court has no power (unlike in relation to the appointment of arbitrators) to intervene to make the appointment, and there is a significant risk that the determination process will break down as a result. It is therefore important to name the appointing authority accurately in this provision, and to ensure (so far as possible) that it will be in a position to act as the appointing authority if called upon to do so in due course. This may be best achieved by telephoning or otherwise communicating with the appointing authority at the time of drafting the expert determination clause, especially if the appointing authority is not one of the entities usually chosen or if there is anything else in addition to identifying a candidate which the parties would like it to do.</paratext>
                  </para>
                  <para>
                    <paratext>
                      <bold>Choosing an appointing body</bold>
                    </paratext>
                  </para>
                  <para>
                    <paratext>
                      As the Independent Expert must be a chartered accountant, the parties may wish to provide that the appointing body will be the President for the time being of the Institute of Chartered Accountants in England and Wales (ICAEW), acting under the President's Nomination Scheme, whereby an Expert will be nominated from the firms included on the ICAEW firm directory (see 
                      <link href="https://www.icaew.com/-/media/corporate/files/about-icaew/where-we-are/find-a-chartered-accountant/president-s-appointment-scheme-guidance-notes.ashx?la=en" style="ACTLinkURL">
                        <ital>ICAEW: President's Nomination Scheme Guidance Notes</ital>
                      </link>
                      ). However, it is important to note that the terms of the President's Nomination Scheme now stipulate that applications under the scheme must be made jointly by the parties in dispute, and that the ICAEW will only accept single applications where one party has obtained a court order which ensures that all associated parties fully engage with the process (see 
                      <link href="https://www.icaew.com/about-icaew/find-a-chartered-accountant/appoint-an-expert-mediator-or-arbitrator-to-assist-in-a-dispute?fromSearch=1" style="ACTLinkURL">
                        <ital>ICAEW: Appoint an independent expert, valuer or arbitrator</ital>
                      </link>
                      ).
                    </paratext>
                  </para>
                  <para>
                    <paratext>If the parties wish the President of the ICAEW to act as the appointing authority, this provision should therefore be amended to reflect the need for them to act jointly in making an application under the President's Nomination Scheme. For instance, this paragraph could be amended to provide that if the parties fail to agree on the identity of the Independent Expert, they will co-operate in making (at the request of either party) a joint application to the ICAEW to select an Independent Expert under the President's Nomination Scheme. For example:</paratext>
                  </para>
                  <para>
                    <paratext>"20.3 If the parties fail to agree on an Independent Expert and the terms of their appointment within [10] Business Days of either party serving details of a proposed Independent Expert on the other, then at the request of either of them, the parties shall make a joint application requesting the President of the Institute of Chartered Accountants in England and Wales (ICAEW) to nominate the Independent Expert under the President's Nomination Scheme. The Company and the Seller (or the Investor Majority as the case may be) shall:</paratext>
                  </para>
                  <para>
                    <paratext>(a) co-operate fully and promptly in all actions necessary to make a joint application for the nomination of an Independent Expert in accordance with this clause including [(but not limited to)] completing and signing all forms, indemnities and any other documentation required to complete the application to the ICAEW;</paratext>
                  </para>
                  <para>
                    <paratext>(b) use their reasonable endeavours and co-operate to agree, as soon as reasonably practicable, the terms of appointment with the person nominated to act as Independent Expert in accordance with this clause; and</paratext>
                  </para>
                  <para>
                    <paratext>(c) bear equally between them the administration fee or other charges or expenses payable to the ICAEW in connection with the application to nominate an Independent Expert."</paratext>
                  </para>
                  <para>
                    <paratext>In addition, as this approach carries the risk that one party may simply refuse to co-operate in making the application, thus causing the determination process to break down, the parties may also want to consider providing that in such circumstances, the other party will be able to request another appointing body that accepts applications from a single party to nominate the Independent Expert.</paratext>
                  </para>
                  <para>
                    <paratext>
                      For further information on different organisations or associations that will act as appointing authorities, see 
                      <link anchor="a62855" href="8-107-4185" style="ACTLinkPLCtoPLC">
                        <ital>Practice note, Expert determination: Appointing authorities</ital>
                      </link>
                      .
                    </paratext>
                  </para>
                  <para>
                    <paratext>
                      <bold>Appointing the Independent Expert</bold>
                    </paratext>
                  </para>
                  <para>
                    <paratext>
                      In light of the decisions in 
                      <link href="https://uk.practicallaw.thomsonreuters.com/Document/IF3B5E7F0C66E11DDAEA8E568DA3AD7D3/View/FullText.html?transitionType=Default&amp;amp;contextData=(sc.Default)&amp;amp;comp=pluk" style="ACTLinkURL">
                        <ital>Cream Holdings</ital>
                      </link>
                      , and 
                      <link href="https://uk.practicallaw.thomsonreuters.com/Document/IC1EF9680EBB011DFABCFA6C4D4EC48DA/View/FullText.html?transitionType=Default&amp;amp;contextData=(sc.Default)&amp;amp;comp=pluk" style="ACTLinkURL">
                        <ital>Cream Holdings No.2</ital>
                      </link>
                      , this paragraph includes the option for providing that the appointing authority will also be responsible for negotiating and agreeing the Independent Expert's terms of appointment if the parties fail to do so. However, when considering this approach, bear in mind that not all appointing authorities will be willing to negotiate and/or agree the Independent Expert's terms on behalf of the parties. For instance, guidance issued by the ICAEW in relation to its appointments scheme suggests it will expect the expert and the parties to agree their own terms and conditions (see 
                      <link href="https://www.icaew.com/about-icaew/find-a-chartered-accountant/appoint-an-expert-mediator-or-arbitrator-to-assist-in-a-dispute?fromSearch=1" style="ACTLinkURL">
                        <ital>ICAEW: Appoint an independent expert, valuer or arbitrator</ital>
                      </link>
                      ). However, some appointing bodies, such as the Academy of Experts, have a default position that they will negotiate the expert's terms of appointment, while allowing the parties to negotiate and agree the terms of appointment directly with the expert themselves should they wish to do so.
                    </paratext>
                  </para>
                  <para>
                    <paratext>If an appointing body is referenced that will not agree terms of appointment on the parties' behalf, this provision could be amended to include an obligation on the parties to use all reasonable endeavours to agree terms with the Independent Expert once they have been nominated by the relevant body.</paratext>
                  </para>
                  <para>
                    <paratext>
                      For further information on this issue, see 
                      <link anchor="a315793" href="8-107-4185" style="ACTLinkPLCtoPLC">
                        <ital>Practice note, Expert determination: Failure to agree an expert's terms of appointment</ital>
                      </link>
                      .
                    </paratext>
                  </para>
                </division>
              </drafting.note>
            </subclause1>
            <subclause1 id="a472853">
              <identifier>20.4</identifier>
              <para>
                <paratext>The Fair Value shall be the price per Sale Share determined by the Independent Expert on the following bases and assumptions:</paratext>
              </para>
              <subclause2 id="a999947">
                <identifier>(a)</identifier>
                <para>
                  <paratext>valuing the Sale Shares as on an arm's-length sale between a willing seller and a willing buyer as at the date the Transfer Notice was served (or deemed served);</paratext>
                </para>
              </subclause2>
              <subclause2 id="a985220">
                <identifier>(b)</identifier>
                <para>
                  <paratext>if the Company is then carrying on business as a going concern, on the assumption that it will continue to do so;</paratext>
                </para>
              </subclause2>
              <subclause2 id="a294980">
                <identifier>(c)</identifier>
                <para>
                  <paratext>that the Sale Shares are capable of being transferred without restriction;</paratext>
                </para>
              </subclause2>
              <subclause2 id="a365704">
                <identifier>(d)</identifier>
                <para>
                  <paratext>valuing the Sale Shares as a rateable proportion of the total value of all the issued Shares without any premium or discount being attributable to the percentage of the issued share capital of the Company which they represent; and</paratext>
                </para>
              </subclause2>
              <subclause2 id="a419110">
                <identifier>(e)</identifier>
                <para>
                  <paratext>reflecting any other factors which the Independent Expert reasonably believes should be taken into account.</paratext>
                </para>
                <drafting.note id="a523200" jurisdiction="">
                  <head align="left" preservecase="true">
                    <headtext>Valuation assumptions</headtext>
                  </head>
                  <division id="a000127" level="1">
                    <para>
                      <paratext>
                        <internal.reference refid="a472853">Article 20.4</internal.reference>
                         is an important provision, as it sets out the key parameters of any valuation. Where a valuation needs to be made, it can be easy to overlook the details necessary to enable the valuer to decide the basis of valuation. It may therefore be appropriate to discuss the drafting of a valuation article with a valuer before the Articles are finalised. Note in particular that:
                      </paratext>
                    </para>
                    <list type="bulleted">
                      <list.item>
                        <para>
                          <paratext>The date to which the valuation applies is the date of the obligatory transfer event. Any increase or decrease in the value of the shares of the company after that date will technically be irrelevant to the valuation.</paratext>
                        </para>
                      </list.item>
                      <list.item>
                        <para>
                          <paratext>The valuation is to be made on the basis of the sale of the entire business with no discount or adjustment because of the size of the shareholder's holding.</paratext>
                        </para>
                      </list.item>
                      <list.item>
                        <para>
                          <paratext>
                            <internal.reference refid="a419110">article 20.4(e)</internal.reference>
                             provides a sweeper provision allowing greater discretion for the expert to base the valuation on any additional factors that it reasonably believes should be taken into account.
                          </paratext>
                        </para>
                      </list.item>
                    </list>
                  </division>
                </drafting.note>
              </subclause2>
            </subclause1>
            <subclause1 id="a258890">
              <identifier>20.5</identifier>
              <para>
                <paratext>If any difficulty arises in applying any of these assumptions or bases then the Independent Expert shall resolve that difficulty in whatever manner it shall in its absolute discretion think fit.</paratext>
              </para>
            </subclause1>
            <subclause1 id="a739550">
              <identifier>20.6</identifier>
              <para>
                <paratext>The Directors will give the Independent Expert access to all accounting records or other relevant documents of the Group, subject to it agreeing such confidentiality provisions as the Directors may reasonably impose.</paratext>
              </para>
            </subclause1>
            <subclause1 condition="optional" id="a1031991">
              <identifier>20.7</identifier>
              <para>
                <paratext>The parties are entitled to make submissions to the Independent Expert [including oral submissions] and shall provide (or procure that others provide) the Independent Expert with such assistance and documents as the Independent Expert may reasonably require for the purpose of reaching a decision.</paratext>
              </para>
            </subclause1>
            <subclause1 id="a76040">
              <identifier>20.8</identifier>
              <para>
                <paratext>The Independent Expert shall act as expert and not as arbitrator and its determination shall be final and binding on the parties (in the absence of fraud or manifest error).</paratext>
              </para>
            </subclause1>
            <subclause1 id="a770326">
              <identifier>20.9</identifier>
              <para>
                <paratext>The Independent Expert shall be requested to determine the Fair Value within [NUMBER] Business Days of its appointment and to deliver its certificate to the Company. Forthwith upon receipt, the Company shall deliver a copy of the certificate to the Seller.</paratext>
              </para>
              <drafting.note id="a390979" jurisdiction="">
                <head align="left" preservecase="true">
                  <headtext>Seller's right to withdraw</headtext>
                </head>
                <division id="a000128" level="1">
                  <para>
                    <paratext>
                      Once the seller has received the expert's determination of fair value they may, if that fair value is less than the sale price the seller proposed in the original transfer notice (see 
                      <internal.reference refid="a615419">article 19.2(c)</internal.reference>
                      ), withdraw the transfer notice within a specified period (see 
                      <internal.reference refid="a568649">article 19.3</internal.reference>
                      ).
                    </paratext>
                  </para>
                </division>
              </drafting.note>
            </subclause1>
            <subclause1 id="a467204">
              <identifier>20.10</identifier>
              <para>
                <paratext>The cost of obtaining the Independent Expert's certificate shall be borne by the parties [equally or in such other proportions as the Independent Expert directs] [unless:</paratext>
              </para>
              <subclause2 id="a862412">
                <identifier>(a)</identifier>
                <para>
                  <paratext>
                    the Seller withdraws the relevant Transfer Notice in accordance with 
                    <internal.reference refid="a568649">article 19.3</internal.reference>
                    ; or
                  </paratext>
                </para>
              </subclause2>
              <subclause2 id="a411206">
                <identifier>(b)</identifier>
                <para>
                  <paratext>in respect of a Deemed Transfer Notice, the Fair Value is less than the price per Sale Share offered to the Seller by the Directors before the appointment of the Independent Expert,</paratext>
                </para>
              </subclause2>
              <para>
                <paratext>in which case the Seller shall bear the cost.]</paratext>
              </para>
            </subclause1>
          </clause>
          <clause id="a599340">
            <identifier>21.</identifier>
            <head align="left" preservecase="true">
              <headtext>Compulsory transfers</headtext>
            </head>
            <drafting.note id="a466568" jurisdiction="">
              <head align="left" preservecase="true">
                <headtext>Compulsory transfers</headtext>
              </head>
              <division id="a000129" level="1">
                <para>
                  <paratext>
                    An investor will be keen to ensure that the company's shares are held by a reasonably small group of people. Therefore, an investor is likely to insist that certain events will trigger a mandatory transfer of shares, with the shareholder being deemed to have issued a transfer notice. 
                    <internal.reference refid="a599340">article 21</internal.reference>
                     provides for a compulsory transfer notice to be issued in a variety of circumstances including:
                  </paratext>
                </para>
                <list type="bulleted">
                  <list.item>
                    <para>
                      <paratext>The bankruptcy of an individual shareholder.</paratext>
                    </para>
                  </list.item>
                  <list.item>
                    <para>
                      <paratext>The insolvency or administration of a corporate shareholder.</paratext>
                    </para>
                  </list.item>
                  <list.item>
                    <para>
                      <paratext>The departure of Employee Shareholders from the Group.</paratext>
                    </para>
                  </list.item>
                </list>
                <para>
                  <paratext>
                    The pre-emption provisions of 
                    <internal.reference refid="a73365">article 19</internal.reference>
                     will generally apply to a compulsory transfer of shares to be made under 
                    <internal.reference refid="a599340">article 21</internal.reference>
                    , although amendments to this general rule can be found in:
                  </paratext>
                </para>
                <list type="bulleted">
                  <list.item>
                    <para>
                      <paratext>
                        <internal.reference refid="a653808">article 17.8</internal.reference>
                         (which applies to all transfer notices deemed to be given in these Articles).
                      </paratext>
                    </para>
                  </list.item>
                  <list.item>
                    <para>
                      <paratext>
                        <internal.reference refid="a73365">article 19</internal.reference>
                         itself (where specific derogations are made to certain provisions where the transfer notice in question is one which was deemed to have been given).
                      </paratext>
                    </para>
                  </list.item>
                  <list.item>
                    <para>
                      <paratext>
                        <internal.reference refid="a627423">article 21.5</internal.reference>
                         and 
                        <internal.reference refid="a642150">article 21.6</internal.reference>
                         which, in respect of persons ceasing to hold office or employment with the Group, override the general rule that shares are to be offered for sale at the Transfer Price (see 
                        <internal.reference refid="a810274">article 19.4</internal.reference>
                        ).
                      </paratext>
                    </para>
                  </list.item>
                </list>
              </division>
            </drafting.note>
            <subclause1 id="a499248">
              <identifier>21.1</identifier>
              <para>
                <paratext>A person entitled to a Share in consequence of the bankruptcy of a Shareholder (or equivalent procedure in any jurisdiction outside England and Wales) shall be deemed to have given a Transfer notice in respect of that Share at such time as the Directors (acting with Investor Consent) may determine.</paratext>
              </para>
              <drafting.note id="a913916" jurisdiction="">
                <head align="left" preservecase="true">
                  <headtext>Bankruptcy</headtext>
                </head>
                <division id="a000130" level="1">
                  <para>
                    <paratext>An investor will want to avoid the risk that a trustee in bankruptcy (or other transmittee) acquires shares, without such person having a corresponding obligation to sell those shares. A trustee in bankruptcy will be keen to realise any value attached to the shares for the benefit of the bankrupt's creditors. Such realisation may, for the sake of a quick transfer, be at a price below market value and may otherwise result in a third party holding shares to whom the investor might object.</paratext>
                  </para>
                  <para>
                    <paratext>
                      Consider whether 
                      <internal.reference refid="a499248">article 21.1</internal.reference>
                       should be extended to cover situations where a shareholder makes any composition or other arrangement with their creditors generally.
                    </paratext>
                  </para>
                </division>
              </drafting.note>
            </subclause1>
            <subclause1 id="a766281">
              <identifier>21.2</identifier>
              <para>
                <paratext>If a Shareholder which is a body corporate either suffers or resolves to appoint a liquidator, administrator or administrative receiver over it, or any material part of its assets [(other than a voluntary liquidation for the purpose of a bona fide scheme of solvent amalgamation or reconstruction)] or suffers or takes any equivalent action in any jurisdiction outside England and Wales, that Shareholder shall be deemed to have given a Transfer Notice in respect of all Shares held by it at such time as the Directors (acting with Investor Consent) may determine.</paratext>
              </para>
              <drafting.note id="a460752" jurisdiction="">
                <head align="left" preservecase="true">
                  <headtext>Corporate insolvency</headtext>
                </head>
                <division id="a000131" level="1">
                  <para>
                    <paratext>
                      For the same reasons as apply to individual shareholders on bankruptcy (see 
                      <internal.reference refid="a913916">Drafting note, Bankruptcy</internal.reference>
                      ), a corporate shareholder which enters into an insolvency procedure will be required to sell its shares. The additional issue to consider in relation to companies is whether solvent amalgamations or reconstructions, which may not be related to any financial difficulties, should be excluded from 
                      <internal.reference refid="a766281">article 21.2</internal.reference>
                      . If such exclusion is permitted, the company should carefully consider what evidence it will require as to the status of any successor company.
                    </paratext>
                  </para>
                </division>
              </drafting.note>
            </subclause1>
            <subclause1 id="a965181">
              <identifier>21.3</identifier>
              <para>
                <paratext>
                  If there is a change in control (as 'control' is defined in section 1124 of the Corporation Tax Act 2010) of any Shareholder which is a company, it shall be bound at any time, if and when required in writing by the Directors to do so, to give (or procure the giving in the case of a nominee) a Transfer Notice in respect of all the Shares registered in its name (or the name of its nominee(s)) [save that, where that Shareholder acquired Shares as a Permitted Transferee of an Original Shareholder, it shall first be permitted to transfer those Shares back to the Original Shareholder from whom it received its Shares or to any other Permitted Transferee of that Original Shareholder before being required to serve a Transfer Notice]. This 
                  <internal.reference refid="a965181">article 21.3</internal.reference>
                   shall not apply to a Shareholder that is an Investor.
                </paratext>
              </para>
              <drafting.note id="a1027088" jurisdiction="">
                <head align="left" preservecase="true">
                  <headtext>Change of control of shareholder</headtext>
                </head>
                <division id="a000132" level="1">
                  <para>
                    <paratext>
                      Without the inclusion of 
                      <internal.reference refid="a965181">article 21.3</internal.reference>
                      , it may be possible to avoid provisions of the Articles which restrict who may or may not hold shares, by transferring ownership of the shareholder, rather than the shares. 
                      <internal.reference refid="a965181">article 21.3</internal.reference>
                       requires a transfer notice to be given in such an event, but only if (and to the extent) the directors determine. The company should consider whether additional protection should be included to deem a transfer notice to be given if an obligation to transfer shares under 
                      <internal.reference refid="a965181">article 21.3</internal.reference>
                       is not complied with.
                    </paratext>
                  </para>
                  <para>
                    <paratext>
                      <internal.reference refid="a965181">article 21.3</internal.reference>
                       does provide one relaxation of the general rule on the change of control of a shareholder. If the company to whom the change of control occurs is a permitted transferee of an original shareholder, it is allowed to transfer the shares back to the original shareholder or to another permitted shareholder of the original shareholder before it is required to serve a transfer notice.
                    </paratext>
                  </para>
                </division>
              </drafting.note>
            </subclause1>
            <subclause1 id="a368481">
              <identifier>21.4</identifier>
              <para>
                <paratext>
                  If an Employee becomes a Departing Employee a Transfer Notice shall, unless the Directors (with Investor Consent) otherwise direct in writing in respect of any particular Relevant Shares prior to or within [NUMBER] Business Days after the relevant Termination Date, be deemed to have been served on the relevant Termination Date in respect of all Relevant Shares (a 
                  <defn.term>Compulsory Employee Transfer</defn.term>
                  ) and any Transfer Notice served in respect of any of such Relevant Shares before the date such Employee becomes a Departing Employee shall automatically lapse.
                </paratext>
              </para>
              <drafting.note id="a723966" jurisdiction="">
                <head align="left" preservecase="true">
                  <headtext>Cessation of employment or office</headtext>
                </head>
                <division id="a000133" level="1">
                  <para>
                    <paratext>A key aspect of any negotiation of the articles of a venture capital backed company will concern the provisions relating to the compulsory transfer of shares on the termination of office or employment. The principle is that if a director or employee ceases to have an employment relationship or directorship with the Group, that person should cease to have any equity interest in the company. Investors will be keen to ensure that only those who have a direct influence on the performance of the Group can benefit from any increase in the value of the company's equity.</paratext>
                  </para>
                  <para>
                    <paratext>
                      <internal.reference refid="a368481">article 21.4</internal.reference>
                       provides that, if an Employee ceases to be a director or employee of the Group, such person will be deemed to have served a transfer notice in respect of all shares they hold (unless the directors, with investor consent, decide otherwise within a specified period).
                    </paratext>
                  </para>
                  <para>
                    <paratext>
                      It is not just the shares held by such Employee which are to be sold. As there may be shareholders who only hold shares as a result of being a permitted transferee of that Employee, additional transfer notices are deemed to be served in respect of all shares held by their permitted transferees (see the definition of 
                      <internal.reference refid="a481660">Relevant Shares</internal.reference>
                      ).
                    </paratext>
                  </para>
                  <para>
                    <paratext>
                      In the event that, before ceasing to be employed or hold office, any holder of Relevant Shares in relation to that employee or director had served a voluntary transfer notice in respect of some or all shares held by them, 
                      <internal.reference refid="a368481">article 21.4</internal.reference>
                       makes it clear that such transfer notice is cancelled and replaced by the transfer notice deemed to be given under 
                      <internal.reference refid="a368481">article 21.4</internal.reference>
                      .
                    </paratext>
                  </para>
                </division>
              </drafting.note>
            </subclause1>
            <subclause1 id="a627423">
              <identifier>21.5</identifier>
              <para>
                <paratext>Notwithstanding any other provisions of these Articles, the Transfer Price in respect of a Compulsory Employee Transfer shall, where the Departing Employee is:</paratext>
              </para>
              <subclause2 id="a381753">
                <identifier>(a)</identifier>
                <para>
                  <paratext>a Bad Leaver or an Early Leaver, be restricted to a maximum of the lower of the aggregate Issue Price of such Sale Shares and the aggregate Fair Value of such Sale Shares; and</paratext>
                </para>
              </subclause2>
              <subclause2 id="a118765">
                <identifier>(b)</identifier>
                <para>
                  <paratext>a Good Leaver, be the aggregate Fair Value of such Sale Shares.</paratext>
                </para>
                <drafting.note id="a933548" jurisdiction="">
                  <head align="left" preservecase="true">
                    <headtext>Good, bad and early leavers</headtext>
                  </head>
                  <division id="a000134" level="1">
                    <para>
                      <paratext>
                        The definitions of what constitutes a 'Good Leaver' and a 'Bad Leaver' will often be keenly negotiated. For the meaning of those phrases within this standard document, see the definitions of those terms in 
                        <internal.reference refid="a308401">article 1.1</internal.reference>
                        . The general principle is that only one of those two terms will be specifically defined, with the other defined as being any Departing Employee who does not fall within the other definition. In these Articles, the definition of Bad Leaver is specifically defined, which would commonly be considered to be a management-friendly approach (as the definition of a Good Leaver will often cover a wider group of people).
                      </paratext>
                    </para>
                    <para>
                      <paratext>
                        Under 
                        <internal.reference refid="a381753">article 21.5(a)</internal.reference>
                        , the maximum price at which a Bad Leaver will be able to sell their shares will be the amount they paid for them (or, where acquired on transfer, the amount originally subscribed for those shares). If the market value of those shares at the time of the deemed transfer notice is less than the amount the Bad Leaver paid (or originally subscribed), that lower amount will be the Transfer Price. The principle is that such a shareholder is leaving in circumstances where they should not benefit from any uplift in value of their shares. This is particularly the case in venture capital investments where those shareholders who continue in business will hold relatively illiquid shares. Were a bad leaver able to benefit from an increase in their shares' value, other shareholders may see that as an easy, if unfair, way to effect an early exit from the company.
                      </paratext>
                    </para>
                    <para>
                      <paratext>Good leavers, on the other hand, can benefit from any uplift in value on the shares to be sold. Note, however, that the fair value of the shares to be sold may be less than the amount originally subscribed for those shares. As such, a good leaver could still take out less than they originally invested, even though leaving the Group for 'good' reasons.</paratext>
                    </para>
                    <para>
                      <paratext>
                        <internal.reference refid="a627423">Article 21.5</internal.reference>
                         also refers to 'Early Leavers'. In the event that a shareholder (usually a manager) leaves the business within a prescribed period following completion of the venture capital investment (often between one and three years), an investor may consider that such person has effectively broken the commitment to the business that such person gave at the time of investment. Such commitment may have formed a material part of that investor's decision to invest and so the investor may consider that such a person should not be allowed to benefit from any increase in the value of their shares as a result.
                      </paratext>
                    </para>
                    <division id="a810059" level="2">
                      <head align="left" preservecase="true">
                        <headtext>Can a bad leaver clause constitute a penalty or unfair prejudice?</headtext>
                      </head>
                      <para>
                        <paratext>In recent years there have been several challenges to compulsory transfer provisions, particularly as they relate to bad leavers, on the grounds that they are penalty clauses and therefore unenforceable. The rule against penalties is not restricted to obligations to pay a sum of money, but can extend to other clauses operating on a breach of contract, such as a requirement to transfer property or the withholding of sums that would otherwise be due. Since leaver provisions generally require bad leavers to sell their shares for an undervalue, or prevent them from receiving accrued bonuses, there is the potential for them to be construed as penalties.</paratext>
                      </para>
                      <para>
                        <paratext>
                          In 2015, the Supreme Court reformulated and clarified the test for a penalty in 
                          <ital>Cavendish Square Holding BV v Talal El Makdessi; ParkingEye Limited v Beavis [2015] UKSC 67</ital>
                          . In their joint leading judgment, Lords Neuberger and Sumption held that the true test is “whether the impugned provision is a secondary obligation which imposes a detriment on the contract-breaker out of all proportion to any legitimate interest of the innocent party in the enforcement of the primary obligation.” Their judgment also confirmed that the penalty rule only applies to a provision operating on a breach of contract, since a provision is a penalty only if it provides an exorbitant alternative to damages.
                        </paratext>
                      </para>
                      <para>
                        <paratext>
                          The 
                          <ital>Makdessi</ital>
                           case related to an SPA entered into by Cavendish and Mr Makdessi. Mr Makdessi breached their restrictive covenants and Cavendish sought to enforce clauses which allowed it, in the event of such breach, to withhold the remaining instalments of deferred consideration and require Mr Makdessi to sell their remaining shares to Cavendish at a price excluding goodwill. Mr Makdessi argued that these clauses were unenforceable penalties. Lords Neuberger and Sumption concluded that although the clauses were triggered by a breach of contract, they were not secondary obligations. Regarding the transfer of shares, they took the view that a contractual obligation conferring an option to acquire shares for purely commercial reasons and not as compensation for breach of contract was a primary obligation, even though it was triggered by a breach of contract. Some of the justices differed, construing the compulsory transfer of shares as a secondary obligation. All agreed, however, that Cavendish had a legitimate interest in protecting the goodwill in the business and that the effect of both clauses, although harsh, was not exorbitant or penal and so even if the compulsory transfer provision were a secondary obligation, it was not a penalty clause. It was noted that the parties were of relatively equal bargaining power and had negotiated the clauses with the benefit of expert legal advice on both sides.
                        </paratext>
                      </para>
                      <para>
                        <paratext>
                          For a further discussion of the Supreme Court judgment, see 
                          <link href="0-620-0446" style="ACTLinkPLCtoPLC">
                            <ital>Legal update, Penalty clauses: the "haphazardly constructed edifice" is rebuilt but not extended (Supreme Court): full update</ital>
                          </link>
                          .
                        </paratext>
                      </para>
                      <para>
                        <paratext>
                          <ital>Makdessi</ital>
                           has analogies with bad leaver provisions in that the consequence of one of the relevant clauses was the forfeiture of existing rights, rather than the payment of a liquidated sum. Following the case there have been several others in which the courts have considered bad leaver provisions in light of the reformulated test for a penalty in 
                          <ital>Makdessi</ital>
                          .
                        </paratext>
                      </para>
                      <division id="a678697" level="3">
                        <head align="left" preservecase="true">
                          <headtext>Applying Cavendish v El Makdessi</headtext>
                        </head>
                        <para>
                          <paratext>
                            In 
                            <ital>Richards &amp; another v I P Solutions Group Ltd [2016] EWHC 1835 (QB)</ital>
                             May J held (obiter) that a provision of the company's articles of association providing for the payment of £1 for the aggregate shareholding of a bad leaver was not a penalty. Noting that the bad leaver provision was contained in the company's articles of association and that the articles dealt with the transfer of shares in a range of leaver situations, with the bad leaver being the only one to arise on the breach of an employment contract, May LJ stated that “the arrangement for "leavers" as provided for under the articles of association thus appears to me to be more akin to a primary obligation agreed between parties for distinct commercial reasons to do with a shareholder leaving the company.” The transfer price of £1 was “simply the agreed price on transfer.” May LJ further stated that even if the bad leaver provision were a secondary obligation, she would have found that there was nothing unconscionable in an arrangement between parties made at arms-length with expert legal advice, and that she would still have found the provision enforceable.
                          </paratext>
                        </para>
                        <para>
                          <paratext>
                            In the Scottish case of 
                            <ital>Re Braid Group (Holdings) Ltd [2016] CSIH 68</ital>
                             it was held by a majority (Lord Menzies dissenting) that a bad leaver provision in a company's articles which required shares to be transferred at the subscription price rather than at fair value (resulting in a loss to the bad leaver of over £18 million) was not a penalty. However, in this case, the judges construed the requirement to transfer the shares for less than fair value as a secondary obligation triggered by the bad leaver's breach of their employment contract or failure properly to carry out the duties of a director. It therefore had the potential to be a penalty, but Lords Malcolm and Brodie held that the bad leaver provision protected a legitimate interest, was not exorbitant or unconscionable and that the rule against penalties did not, therefore, apply.
                          </paratext>
                        </para>
                        <para>
                          <paratext>
                            In 
                            <ital>Signia Wealth Ltd v Vector Trustees Ltd [2018] EWHC 1774 (Ch)</ital>
                            , D, having been found to be a bad leaver, was required to transfer her shares for significantly less than their market value. D argued that the differentiation between a good leaver and a bad leaver in the articles constituted a penalty but the court held that the penalty doctrine did not apply. None of the events triggering the compulsory transfer process under the articles, including the leaver provisions, related to the shareholder's breach of contract. Even though one of the factors determining whether the leaver was a good or bad leaver was whether they were in breach of their contract of employment, this did not mean that the leaver provisions amounted to a penalty payable on breach. The court stated that there was a legitimate commercial interest in the leaver provisions, which aimed to ensure that the shares in the company remained vested in those directly connected with its development and to incentivize key employees to remain with the company. It also noted that the doctrine of penalty is an interference with freedom of contract which should be applied with care in a commercial case in which the contract has been negotiated without any sign of oppression.
                          </paratext>
                        </para>
                        <para>
                          <paratext>
                            Most recently, in 
                            <ital>Nosworthy v Instinctif Partners Ltd [2019] UKEAT/0100/18</ital>
                            , the EAT held that bad leaver provisions which required a departing employee (N) to transfer her shares for less than market value and to forfeit her loan notes were not a penalty. N had acquired the shares and loan notes as deferred consideration under an SPA. By voluntarily resigning, N became a bad leaver under the articles of association and breached a covenant contained in an investment agreement to which she was a party. Although she was in breach of an agreement, the company dealt with the shares in accordance with the terms of its articles, rather than those of the contract that was breached. The court therefore found that the bad leaver provisions applied not because of any breach of contract but because of the terms of the articles of association. Since the relevant provision did not operate on breach of contract, the penalty doctrine did not apply. For further discussion of the EAT judgment, see 
                            <link href="w-020-1718" style="ACTLinkPLCtoPLC">
                              <ital>Article, Bad leaver provisions: penalty</ital>
                            </link>
                            .
                          </paratext>
                        </para>
                        <para>
                          <paratext>
                            In light of 
                            <ital>Makdessi</ital>
                             and the subsequent cases that have considered bad leaver provisions, it seems that factors the courts will consider in determining whether a bad leaver clause is penal include:
                          </paratext>
                        </para>
                        <list type="bulleted">
                          <list.item>
                            <para>
                              <paratext>
                                <bold>Whether the leaver provisions are triggered by a breach of contract</bold>
                                . If not, the penalty doctrine will not apply because a provision is a penalty only if it provides an exorbitant alternative to damages for breach.
                              </paratext>
                            </para>
                          </list.item>
                          <list.item>
                            <para>
                              <paratext>
                                <bold>Whether the leaver provisions form primary or secondary obligations under the contract.</bold>
                                 The courts will not review the fairness of a primary obligation, but can regulate the remedies available for breach, including any secondary obligations that seek to provide a contractual alternative to common law damages.
                              </paratext>
                            </para>
                          </list.item>
                          <list.item>
                            <para>
                              <paratext>
                                <bold>Whether the sanction protects a legitimate commercial interest and is proportionate.</bold>
                                 A secondary obligation will not be a penalty if it protects a legitimate commercial interest and is not extravagant or unconscionable. Legitimate commercial interests are not limited to compensation for the breach: for example, protecting the goodwill of a company or ensuring that the shares remain in the ownership of those actively involved in the company's development have been found to be legitimate commercial interests. A sanction may not be extravagant or unconscionable simply because the sums involved exceed the loss incurred. A broader range of considerations will apply, including the commercial context that underlies the clause, and the wider ramifications of the breach for the innocent party. It may also be relevant to consider if the clause goes way beyond the industry norms, and is thereby exorbitant.
                              </paratext>
                            </para>
                          </list.item>
                          <list.item>
                            <para>
                              <paratext>
                                <bold>The relative bargaining position of the parties. </bold>
                                Where the parties are of broadly equal bargaining power and have negotiated the contract with the benefit of legal advice on each side, there will be a strong initial presumption against the clause being penal.
                              </paratext>
                            </para>
                          </list.item>
                        </list>
                        <para>
                          <paratext>For further discussion of these factors and the drafting considerations relevant to bad leaver and penalty clauses, see:</paratext>
                        </para>
                        <list type="bulleted">
                          <list.item>
                            <para>
                              <paratext>
                                <link href="w-005-1407" style="ACTLinkPLCtoPLC">
                                  <ital>Article, Articles: could a bad leaver provision requiring the transfer of shares for less than market value be a penalty? (updated)</ital>
                                </link>
                                .
                              </paratext>
                            </para>
                          </list.item>
                          <list.item>
                            <para>
                              <paratext>
                                <link anchor="a521801" href="9-582-2885" style="ACTLinkPLCtoPLC">
                                  <ital>Practice note, Contracts: agreed remedies: Distinguishing between liquidated damages and penalties</ital>
                                </link>
                                .
                              </paratext>
                            </para>
                          </list.item>
                          <list.item>
                            <para>
                              <paratext>
                                <link anchor="a321809" href="0-620-0446" style="ACTLinkPLCtoPLC">
                                  <ital>Legal update, Penalty clauses: the "haphazardly constructed edifice" is rebuilt but not extended (Supreme Court): full update: Comment</ital>
                                </link>
                                .
                              </paratext>
                            </para>
                          </list.item>
                        </list>
                      </division>
                      <division id="a876096" level="3">
                        <head align="left" preservecase="true">
                          <headtext>Unfair prejudice</headtext>
                        </head>
                        <para>
                          <paratext>
                            In 
                            <link href="D-027-2781" style="ACTLinkURL">
                              <ital>Moxon v Litchfield and others [2013] EWHC 3957 (Ch)</ital>
                            </link>
                            , the High Court concluded that, although the proper categorisation of an individual as a bad leaver under the contractual definition produced a draconian result for the individual required to transfer shares at par, neither the principles of equity nor the court's jurisdiction under 
                            <link href="9-505-7237" style="ACTLinkPLCtoPLC">
                              <ital>section 994</ital>
                            </link>
                             of the CA 2006 provided grounds for intervening in the operation of the contractual agreement made between the parties when the company was formed. Hildyard J considered that at most the exercise of contractual rights will be subject to equitable restraint if the exercise of that right would be unconscionable. However, any such contractual provision should be strictly interpreted, exercised in good faith and not permitted to be used for unworthy purposes.
                          </paratext>
                        </para>
                      </division>
                    </division>
                  </division>
                </drafting.note>
              </subclause2>
            </subclause1>
            <subclause1 id="a642150">
              <identifier>21.6</identifier>
              <para>
                <paratext>
                  Notwithstanding the provisions of 
                  <internal.reference refid="a627423">article 21.5</internal.reference>
                  , an Investor Majority may, by notice in writing served on the Company and the relevant Seller(s), direct that some higher (but not lower) Transfer Price shall apply to any or all Sale Shares which would otherwise be subject to 
                  <internal.reference refid="a627423">article 21.5</internal.reference>
                  .
                </paratext>
              </para>
              <drafting.note id="a1023043" jurisdiction="">
                <head align="left" preservecase="true">
                  <headtext>Investor's power to change compulsory transfer price</headtext>
                </head>
                <division id="a000135" level="1">
                  <para>
                    <paratext>
                      At the time of drafting the Articles, it will not be possible to anticipate all the circumstances in which any particular manager or shareholder may depart the business. As such, 
                      <internal.reference refid="a642150">article 21.6</internal.reference>
                       allows the investor (being the party which will lead on negotiation of, and will usually want control of, the leaver provisions) to override the price per share prescribed on a shareholder ceasing to be a director or employee of the Group, where it considers it equitable to do so.
                    </paratext>
                  </para>
                </division>
              </drafting.note>
            </subclause1>
            <subclause1 id="a890822">
              <identifier>21.7</identifier>
              <para>
                <paratext>
                  Forthwith upon a Transfer Notice being deemed to be served under article [
                  <internal.reference refid="a599340">article 21</internal.reference>
                  <ital> </ital>
                  <bold>OR </bold>
                  <internal.reference refid="a368481">article 21.4</internal.reference>
                  ] the [Relevant Shares 
                  <bold>OR</bold>
                   the Shares subject to the relevant Deemed Transfer Notice] (
                  <defn.term>Restricted Shares</defn.term>
                  ) shall cease to confer on the holder of them any rights:
                </paratext>
              </para>
              <subclause2 id="a884186">
                <identifier>(a)</identifier>
                <para>
                  <paratext>to vote (whether on a show of hands, on a poll or otherwise and whether in person, by proxy or otherwise), including in respect of any resolution of any class of Shares;</paratext>
                </para>
              </subclause2>
              <subclause2 id="a638516">
                <identifier>(b)</identifier>
                <para>
                  <paratext>to receive dividends or other distributions otherwise attaching to those Shares; [or]</paratext>
                </para>
              </subclause2>
              <subclause2 condition="optional" id="a375528">
                <identifier>(c)</identifier>
                <para>
                  <paratext>to participate in any future issue of Shares [issued in respect of those Shares].</paratext>
                </para>
              </subclause2>
              <para>
                <paratext>
                  The Directors may (with Investor Consent) reinstate the rights referred to in 
                  <internal.reference refid="a890822">article 21.7</internal.reference>
                   at any time and, in any event, such rights shall be reinstated [in respect of any Shares transferred pursuant to article [
                  <internal.reference refid="a599340">article 21</internal.reference>
                  <ital> </ital>
                  <bold>OR </bold>
                  <internal.reference refid="a368481">article 21.4</internal.reference>
                  ] on completion of such transfer 
                  <bold>OR</bold>
                   on completion of a transfer made pursuant to article [
                  <internal.reference refid="a599340">article 21</internal.reference>
                  <ital> </ital>
                  <bold>OR </bold>
                  <internal.reference refid="a368481">article 21.4</internal.reference>
                  ]].
                </paratext>
              </para>
              <drafting.note id="a898913" jurisdiction="">
                <head align="left" preservecase="true">
                  <headtext>Disenfranchisement on compulsory transfers</headtext>
                </head>
                <division id="a000136" level="1">
                  <para>
                    <paratext>
                      <internal.reference refid="a890822">article 21.7</internal.reference>
                       largely repeats the wording of 
                      <internal.reference refid="a499404">article 17.7(a)</internal.reference>
                      . For general information on the wording of 
                      <internal.reference refid="a890822">article 21.7</internal.reference>
                      , see 
                      <internal.reference refid="a760621">Drafting note, Disenfranchisement</internal.reference>
                      .
                    </paratext>
                  </para>
                  <para>
                    <paratext>
                      In relation to the disenfranchisement provisions of 
                      <internal.reference refid="a890822">article 21.7</internal.reference>
                       only, consider whether such disenfranchisement should occur on any of the compulsory transfer events in 
                      <internal.reference refid="a599340">article 21</internal.reference>
                      , or just when a shareholder ceases to be a director or employee of the Group. If the former, 
                      <internal.reference refid="a890822">article 21.7</internal.reference>
                       should refer to 
                      <internal.reference refid="a599340">article 21</internal.reference>
                      ; if the latter, the same references should be limited to 
                      <internal.reference refid="a368481">article 21.4</internal.reference>
                      .
                    </paratext>
                  </para>
                </division>
              </drafting.note>
            </subclause1>
          </clause>
          <clause id="a1052001">
            <identifier>22.</identifier>
            <head align="left" preservecase="true">
              <headtext>Mandatory offer on change of control</headtext>
            </head>
            <subclause1 id="a293627">
              <identifier>22.1</identifier>
              <para>
                <paratext>
                  In the event that a proposed transfer of Shares (other than a transfer of Shares made pursuant to 
                  <internal.reference refid="a817012">article 18</internal.reference>
                   [, 
                  <internal.reference refid="a599340">article 21</internal.reference>
                  ] or 
                  <internal.reference refid="a46380">article 26.2</internal.reference>
                  , but after the operation of the pre-emption procedure set out in 
                  <internal.reference refid="a73365">article 19</internal.reference>
                  ), whether made as one or as a series of transactions (a 
                  <defn.term>Proposed Transfer</defn.term>
                  ) would, if completed, result in any person [other than an existing Shareholder] (the 
                  <defn.term>Buyer</defn.term>
                  ), together with any person acting in concert with the Buyer, acquiring a Controlling Interest, the remaining provisions of this 
                  <internal.reference refid="a1052001">article 22</internal.reference>
                   shall apply.
                </paratext>
              </para>
              <drafting.note id="a570383" jurisdiction="">
                <head align="left" preservecase="true">
                  <headtext>Mandatory offer on change of control</headtext>
                </head>
                <division id="a000137" level="1">
                  <para>
                    <paratext>
                      The provisions of 
                      <internal.reference refid="a1052001">article 22</internal.reference>
                       apply if a transfer of shares would result in the buyer (and persons acting in concert with it, as defined in 
                      <internal.reference refid="a308401">article 1.1</internal.reference>
                      ) acquiring a 'Controlling Interest' in the company. In the standard document, a controlling interest is defined by reference to 'control' within the meaning of 
                      <link href="5-505-5457" style="ACTLinkPLCtoPLC">
                        <ital>section 1124</ital>
                      </link>
                       of the Corporation Tax Act 2010. Whether that test is appropriate to a particular investment is likely to be determined according to the relative shareholdings of the separate groups of investors and managers. The threshold (above which a person is deemed to hold a controlling interest) is likely to be set at a number which is below the aggregate percentage of the equity share capital held by the management team.
                    </paratext>
                  </para>
                  <para>
                    <paratext>
                      <internal.reference refid="a293627">Article 22.1</internal.reference>
                       provides optional wording to exclude the procedures set out in 
                      <internal.reference refid="a1052001">article 22</internal.reference>
                       where the proposed buyer of shares which would result in the acquisition of a controlling interest is an existing shareholder.
                    </paratext>
                  </para>
                </division>
              </drafting.note>
            </subclause1>
            <subclause1 id="a834329">
              <identifier>22.2</identifier>
              <para>
                <paratext>
                  The [Seller 
                  <bold>OR</bold>
                   Company] shall procure that, prior to the completion of the Proposed Transfer, the Buyer shall make an offer (the 
                  <defn.term>Offer</defn.term>
                  ) to each Shareholder [and, in respect of all Equity Shares held in treasury, the Company] (each an 
                  <bold>Offeree</bold>
                  ) on the date of the Offer [other than any holder(s) of Restricted Shares], to buy all of the Equity Shares held by such Offerees on the date of the Offer for a consideration in cash per Equity Share (the 
                  <defn.term>Offer Price</defn.term>
                  ) which is equal to the highest price per Equity Share offered, paid or to be paid by the Buyer, or any person acting in concert with the Buyer, for any Equity Shares in connection with the Proposed Transfer [or any transaction in the [NUMBER] calendar months preceding the date of completion of the Proposed Transfer].
                </paratext>
              </para>
              <drafting.note id="a488977" jurisdiction="">
                <head align="left" preservecase="true">
                  <headtext>Obligation to make an offer</headtext>
                </head>
                <division id="a000138" level="1">
                  <para>
                    <paratext>
                      In the event of an acquisition of a controlling interest, 
                      <internal.reference refid="a834329">article 22.2</internal.reference>
                       requires that the proposed buyer offers to acquire all the equity shares of the company. Given the buyer will not, at the point this obligation arises, be a shareholder, it would be difficult for the Articles to place a direct obligation on that buyer to make the offer. As such, 
                      <internal.reference refid="a834329">article 22.2</internal.reference>
                       provides that either the relevant seller(s) of shares or the company should procure that such an offer be made. Depending on the context in which the particular sale is to take place, it is likely that the seller will have more sway with the buyer in terms of procuring that offer.
                    </paratext>
                  </para>
                  <para>
                    <paratext>
                      <internal.reference refid="a834329">article 22.2</internal.reference>
                       allows the holders of Restricted Shares to be excluded from the particular offer. A Restricted Share is one whose rights have been disenfranchised pursuant to 
                      <internal.reference refid="a890822">article 21.7</internal.reference>
                      . Such exclusion may be considered to be an aggressive position and that, if all other shareholders have the right to accept such an offer, it should not matter whether the holders of such Restricted Shares may also benefit from that offer, even if it results in such holders obtaining a higher price for their shares than they would otherwise receive under the terms of these Articles (as 
                      <internal.reference refid="a834329">article 22.2</internal.reference>
                       also specified the price at which such offer must be made). If the holders of Restricted Shares are excluded from the benefit of 
                      <internal.reference refid="a834329">article 22.2</internal.reference>
                      , consider also whether the definition of 'Restricted Shares' should extend to the holders of any Shares which have been disenfranchised pursuant to 
                      <internal.reference refid="a499404">article 17.7(a)</internal.reference>
                      .
                    </paratext>
                  </para>
                  <para>
                    <paratext>Consideration should be given as to which shares must be subject to the offer and to whom the offer is to be made. The standard document provides for the offer to be made in respect of those shares in issue at the date of the offer (thereby excluding shares issued after that date) and to the shareholders holding those shares at that date (even though shares may be transferred after that date).</paratext>
                  </para>
                  <para>
                    <paratext>
                      Consideration should also be given to whether an offer under 
                      <internal.reference refid="a1052001">article 22</internal.reference>
                       should extend to Shares acquired after the date of the offer. If so, the wording of 
                      <internal.reference refid="a501753">article 23.10</internal.reference>
                       may be adapted for the purpose.
                    </paratext>
                  </para>
                  <para>
                    <paratext>
                      <bold>Treasury shares</bold>
                    </paratext>
                  </para>
                  <para>
                    <paratext>
                      Under 
                      <internal.reference refid="a638953">article 26</internal.reference>
                      , the Company may hold shares bought back in treasury. A buyer under a drag along will want to acquire 100% of the Company's equity share capital. For that reason, 
                      <internal.reference refid="a1052001">article 22</internal.reference>
                       applies not just to Equity Shares held by Shareholders, but also by the Company.
                    </paratext>
                  </para>
                </division>
              </drafting.note>
            </subclause1>
            <subclause1 id="a212222">
              <identifier>22.3</identifier>
              <para>
                <paratext>
                  The Offer shall be made by notice in writing (an 
                  <defn.term>Offer Notice</defn.term>
                  ) addressed to each Offeree on the date of the Offer at least [NUMBER] Business Days (the 
                  <defn.term>Offer Period</defn.term>
                  ) before the date fixed for completion of the Proposed Transfer (the 
                  <defn.term>Sale Date</defn.term>
                  ). [To the extent not described in any accompanying documents, the 
                  <bold>OR</bold>
                   The] Offer Notice shall specify:
                </paratext>
              </para>
              <subclause2 id="a812967">
                <identifier>(a)</identifier>
                <para>
                  <paratext>the identity of the Buyer (and any person(s) acting in concert with the Buyer);</paratext>
                </para>
              </subclause2>
              <subclause2 id="a276310">
                <identifier>(b)</identifier>
                <para>
                  <paratext>the Offer Price and any other terms and conditions of the Offer;</paratext>
                </para>
              </subclause2>
              <subclause2 id="a620703">
                <identifier>(c)</identifier>
                <para>
                  <paratext>the Sale Date; and</paratext>
                </para>
              </subclause2>
              <subclause2 id="a381394">
                <identifier>(d)</identifier>
                <para>
                  <paratext>the number of Equity Shares which would be held by the Buyer (and persons acting in concert with the Buyer) on completion of the Proposed Transfer.</paratext>
                </para>
              </subclause2>
            </subclause1>
            <subclause1 id="a853101">
              <identifier>22.4</identifier>
              <para>
                <paratext>The completion of the Proposed Transfer shall be conditional in all respects on:</paratext>
              </para>
              <subclause2 id="a624748">
                <identifier>(a)</identifier>
                <para>
                  <paratext>
                    the making of an Offer in accordance with this 
                    <internal.reference refid="a1052001">article 22</internal.reference>
                    ; and
                  </paratext>
                </para>
              </subclause2>
              <subclause2 id="a575387">
                <identifier>(b)</identifier>
                <para>
                  <paratext>
                    the completion of the transfer of any Equity Shares by any Offeree (each an 
                    <defn.term>Accepting Offeree</defn.term>
                    ) who accepts the Offer within the Offer Period,
                  </paratext>
                </para>
                <para>
                  <paratext>
                    and the Directors shall refuse to register any Proposed Transfer made in breach of this 
                    <internal.reference refid="a853101">article 22.4</internal.reference>
                    .
                  </paratext>
                </para>
                <drafting.note id="a553065" jurisdiction="">
                  <head align="left" preservecase="true">
                    <headtext>Conditions of the Proposed Transfer</headtext>
                  </head>
                  <division id="a000139" level="1">
                    <para>
                      <paratext>
                        <internal.reference refid="a853101">article 22.4</internal.reference>
                         gives protection to the company's shareholders by ensuring that if a Proposed Transfer which would result in the acquisition of a controlling interest is not preceded by an Offer under 
                        <internal.reference refid="a1052001">article 22</internal.reference>
                        , that Proposed Transfer may not be completed (and shall not be registered by the directors). If the offer made by the third party buyer is accepted by any shareholder, completion of the Proposed Transfer is also conditional on that buyer purchasing all the shares held by shareholders that accept the offer.
                      </paratext>
                    </para>
                  </division>
                </drafting.note>
              </subclause2>
            </subclause1>
            <subclause1 id="a298535">
              <identifier>22.5</identifier>
              <para>
                <paratext>
                  The Proposed Transfer is, but the purchase of Shares from Accepting Offerees pursuant to an Offer made under this 
                  <internal.reference refid="a1052001">article 22</internal.reference>
                   shall not be, subject to the pre-emption provisions of 
                  <internal.reference refid="a73365">article 19</internal.reference>
                  .
                </paratext>
              </para>
            </subclause1>
          </clause>
          <clause id="a457892">
            <identifier>23.</identifier>
            <head align="left" preservecase="true">
              <headtext>Drag along</headtext>
            </head>
            <subclause1 id="a78272">
              <identifier>23.1</identifier>
              <para>
                <paratext>
                  If an Investor Majority [and, for transfers before the [NUMBER] anniversary of the Adoption Date, the holders of [PERCENTAGE]% by nominal value of the Ordinary Shares in issue for the time being] (the 
                  <defn.term>Selling Shareholders</defn.term>
                  ) wish to transfer all of their interest in Equity Shares (
                  <defn.term>Sellers' Shares</defn.term>
                  ) to a bona fide purchaser on arm's-length terms (
                  <defn.term>Proposed Buyer</defn.term>
                  ), the Selling Shareholders shall have the option (
                  <defn.term>Drag Along Option</defn.term>
                  ) to require all the other holders of Equity Shares on the date of the request[, including the Company in respect of Equity Shares held in treasury, if any] (
                  <defn.term>Called Shareholders</defn.term>
                  ) to sell and transfer all their interest in Equity Shares [with full title guarantee] to the Proposed Buyer (or as the Proposed Buyer may direct) in accordance with the provisions of this 
                  <internal.reference refid="a457892">article 23</internal.reference>
                  .
                </paratext>
              </para>
              <drafting.note id="a129858" jurisdiction="">
                <head align="left" preservecase="true">
                  <headtext>Drag along</headtext>
                </head>
                <division id="a000140" level="1">
                  <para>
                    <paratext>
                      <internal.reference refid="a457892">article 23</internal.reference>
                       provides a mechanism by which an investor (or group of investors), should they wish to sell all their shares to a third party, can ensure the sale of 100% of the equity share capital to that buyer. It will be a matter for negotiation as to whether the right to exercise the drag along provisions is reserved only to the investors, or whether the consent of any other group of shareholders, provided that together they hold a minimum percentage of the company's equity share capital, is required to do so.
                    </paratext>
                  </para>
                  <para>
                    <paratext>
                      <internal.reference refid="a78272">article 23.1</internal.reference>
                       contains optional wording to prevent an investor (or group of investors) from exercising alone the drag along within a prescribed period following completion. It may be possible for an investor to obtain a substantial internal rate of return on its investment within a relatively short timeframe after completion of its investment (see 
                      <link href="6-384-9563" style="ACTLinkPLCtoPLC">
                        <ital>Practice note, Internal rate of return (IRR): an introduction</ital>
                      </link>
                      ). However, management may consider that they have not had sufficient time to increase the company's value as far as they think possible and that they should be able to veto an investor exit which may well be calculated on pure financial engineering.
                    </paratext>
                  </para>
                  <para>
                    <paratext>
                      <internal.reference refid="a78272">article 23.1</internal.reference>
                       also provides for those forced to sell their shares under a drag along to give 
                      <link href="8-107-6622" style="ACTLinkPLCtoPLC">
                        <bold>
                          <ital>full title guarantee</ital>
                        </bold>
                      </link>
                       for the shares to be sold. In certain cases, it will simply not be appropriate, or possible, for a shareholder to give full title guarantee and so these words should be included only with caution. For further detail, see 
                      <internal.reference refid="a336400">Drafting note, Terms of the sale</internal.reference>
                      .
                    </paratext>
                  </para>
                  <division id="a81291" level="2">
                    <head align="left" preservecase="true">
                      <headtext>Treasury shares</headtext>
                    </head>
                    <para>
                      <paratext>
                        Under 
                        <internal.reference refid="a638953">article 26</internal.reference>
                         the Company will be able to hold shares in treasury following a buyback. Consider whether the percentage of ordinary shares required to trigger the drag along in 
                        <internal.reference refid="a78272">article 23.1</internal.reference>
                         should be calculated by reference to a total number of ordinary shares that includes or excludes any ordinary shares held in treasury.
                      </paratext>
                    </para>
                    <para>
                      <paratext>
                        Under 
                        <internal.reference refid="a764618">article 1.10</internal.reference>
                        , references to the holders of Ordinary Shares will not include the Company. As such, the total pool of shares, against which the percentage threshold is calculated, will be smaller, making it easier for ordinary shareholders to reach that threshold. Note, however, that 
                        <internal.reference refid="a78272">article 23.1</internal.reference>
                         allows the Selling Shareholders to any Equity Shares held by the Company in treasury.
                      </paratext>
                    </para>
                  </division>
                </division>
              </drafting.note>
            </subclause1>
            <subclause1 id="a722748">
              <identifier>23.2</identifier>
              <para>
                <paratext>
                  The Selling Shareholders may exercise the Drag Along Option by giving notice in writing to that effect (a 
                  <defn.term>Drag Along Notice</defn.term>
                  ), at any time before the completion of the transfer of the Sellers' Shares, to the Proposed Buyer and each Called Shareholder. A Drag Along Notice shall specify:
                </paratext>
              </para>
              <subclause2 id="a786388">
                <identifier>(a)</identifier>
                <para>
                  <paratext>
                    that the Called Shareholders are required to transfer all their Equity Shares (
                    <defn.term>Called Shares</defn.term>
                    ) pursuant to this 
                    <internal.reference refid="a457892">article 23</internal.reference>
                    ;
                  </paratext>
                </para>
              </subclause2>
              <subclause2 id="a421900">
                <identifier>(b)</identifier>
                <para>
                  <paratext>the identity of the Proposed Buyer (and, if relevant, the transferee(s) nominated by the Proposed Buyer);</paratext>
                </para>
              </subclause2>
              <subclause2 id="a193328">
                <identifier>(c)</identifier>
                <para>
                  <paratext>
                    the consideration payable for the Called Shares calculated in accordance with 
                    <internal.reference refid="a193754">article 23.4</internal.reference>
                    ;
                  </paratext>
                </para>
              </subclause2>
              <subclause2 id="a703812">
                <identifier>(d)</identifier>
                <para>
                  <paratext>the proposed date of completion of transfer of the Called Shares.</paratext>
                </para>
              </subclause2>
            </subclause1>
            <subclause1 id="a933543">
              <identifier>23.3</identifier>
              <para>
                <paratext>Once given, a Drag Along Notice may not be revoked [save with the prior consent of the Directors, acting with Investor Consent]. However, a Drag Along Notice shall lapse if, for any reason, the Selling Shareholders have not completed the transfer of all the Sellers' Shares to the Proposed Buyer (or as the Proposed Buyer may direct) within [NUMBER] Business Days of serving the Drag Along Notice. The Selling Shareholders may serve further Drag Along Notices following the lapse of any particular Drag Along Notice.</paratext>
              </para>
            </subclause1>
            <subclause1 id="a193754">
              <identifier>23.4</identifier>
              <para>
                <paratext>
                  The consideration (in cash or otherwise) for which the Called Shareholders shall be obliged to sell each of the Called Shares shall be that to which they would be entitled if the total consideration proposed to be paid by the Proposed Buyer were distributed to the holders of the Called Shares and the Sellers' Shares in accordance with the provisions of 
                  <internal.reference refid="a302537">article 11</internal.reference>
                  .
                </paratext>
              </para>
              <drafting.note id="a1039093" jurisdiction="">
                <head align="left" preservecase="true">
                  <headtext>Consideration under a drag along</headtext>
                </head>
                <division id="a000141" level="1">
                  <para>
                    <paratext>
                      A shareholder who is obliged to sell their shares under 
                      <internal.reference refid="a457892">article 23</internal.reference>
                       will be keen to ensure that they cannot be dragged at a price per share which is less than the price the investor is to receive. 
                      <internal.reference refid="a457892">article 23</internal.reference>
                       provides that the consideration must at least equal that to be received by the investor (on the assumption that only in very rare cases will an investor sell its own shares at a price below that which it considers fair and reasonable in the circumstances).
                    </paratext>
                  </para>
                  <para>
                    <paratext>
                      However, 
                      <internal.reference refid="a193754">article 23.4</internal.reference>
                       also provides that the sale preference provisions of 
                      <internal.reference refid="a302537">article 11</internal.reference>
                       will apply to such a sale. As a result, the first tranche of proceeds of a sale under a drag along will be used to repay the amounts paid by the investor for its shares. As such, if an investor considers that 100% of the company should be sold at the price it paid for its proportion of the share capital, but no more (that is, less than it was worth at the time of the investment), it would be possible for the ordinary shareholders to be obliged to sell their shares without receiving any consideration in return. 
                      <internal.reference refid="a78272">article 23.1</internal.reference>
                       will provide some comfort to the ordinary shareholders, if an investor (or group of investors) cannot exercise the drag along option alone for a certain period after completion of the investment.
                    </paratext>
                  </para>
                </division>
              </drafting.note>
            </subclause1>
            <subclause1 id="a508935">
              <identifier>23.5</identifier>
              <para>
                <paratext>
                  No Drag Along Notice shall require a Called Shareholder to agree to any terms except those specifically set out in this 
                  <internal.reference refid="a457892">article 23</internal.reference>
                  .
                </paratext>
              </para>
              <drafting.note id="a336400" jurisdiction="">
                <head align="left" preservecase="true">
                  <headtext>Terms of the sale</headtext>
                </head>
                <division id="a000142" level="1">
                  <para>
                    <paratext>
                      In a conventional sale and purchase of shares in the United Kingdom, it is common for the seller to give certain warranties to the buyer of those shares. Venture capital transactions differ slightly in that a venture capital house is unlikely to want to give any warranties, other than very limited ones relating to its title to its shares and its capacity to enter into the particular sale and purchase agreement. A buyer of a venture capital backed company will often, therefore, have to rely on warranties given by management alone. However, in the context of a drag along, particularly one where the ordinary shareholders will not receive much, if anything, by way of consideration (see 
                      <internal.reference refid="a1039093">Drafting note, Consideration under a drag along</internal.reference>
                      ), it would be difficult to force any dragged shareholder to give any warranties to the buyer. 
                      <internal.reference refid="a508935">article 23.5</internal.reference>
                       makes it clear that no such dragged shareholder will be obliged to agree to any terms not specified in this 
                      <internal.reference refid="a457892">article 23</internal.reference>
                       (save that they are to give full title guarantee to their shares, if the wording in square brackets in 
                      <internal.reference refid="a78272">article 23.1</internal.reference>
                       is included).
                    </paratext>
                  </para>
                </division>
              </drafting.note>
            </subclause1>
            <subclause1 id="a58997">
              <identifier>23.6</identifier>
              <para>
                <paratext>Completion of the sale and purchase of the Called Shares shall take place on the same date as, and conditional upon the completion of, the sale and purchase of the Sellers' Shares unless:</paratext>
              </para>
              <subclause2 id="a86777">
                <identifier>(a)</identifier>
                <para>
                  <paratext>all of the Called Shareholders and the Selling Shareholders otherwise agree; or</paratext>
                </para>
              </subclause2>
              <subclause2 id="a828205">
                <identifier>(b)</identifier>
                <para>
                  <paratext>that date is less than [NUMBER] Business Days after the date of service of the Drag Along Notice, in which case completion of the sale and purchase of the Called Shares shall take place [NUMBER] Business Days after the date of service of the Drag Along Notice.</paratext>
                </para>
              </subclause2>
            </subclause1>
            <subclause1 id="a630682">
              <identifier>23.7</identifier>
              <para>
                <paratext>
                  Within [NUMBER] Business Days of the Selling Shareholders serving a Drag Along Notice on the Called Shareholders, the Called Shareholders shall deliver stock transfer forms for their Equity Shares in favour of the Proposed Buyer (or as the Proposed Buyer may direct), together with the share certificate(s) in respect of those Equity Shares (or a suitable indemnity in respect thereof) to the Company. On the expiration of that [NUMBER] Business Day period the Company shall pay the Called Shareholders, on behalf of the Proposed Buyer, the amounts they are respectively due pursuant to 
                  <internal.reference refid="a193754">article 23.4</internal.reference>
                   to the extent the Proposed Buyer has put the Company in the requisite funds. The Company's receipt for the amounts due pursuant to 
                  <internal.reference refid="a193754">article 23.4</internal.reference>
                   shall be a good discharge to the Proposed Buyer. The Company shall hold the amounts due to the Called Shareholders pursuant to 
                  <internal.reference refid="a193754">article 23.4</internal.reference>
                   in trust for the Called Shareholders without any obligation to pay interest.
                </paratext>
              </para>
              <drafting.note id="a670208" jurisdiction="">
                <head align="left" preservecase="true">
                  <headtext>Mechanics of the offer</headtext>
                </head>
                <division id="a000143" level="1">
                  <para>
                    <paratext>
                      Under 
                      <internal.reference refid="a630682">article 23.7</internal.reference>
                       and 
                      <internal.reference refid="a211532">article 23.8</internal.reference>
                       the called shareholders must deliver stock transfer forms and their share certificates (or an indemnity) within a prescribed period of receiving a drag along notice. At the end of this period the company will, if it has been put in funds by the buyer, pay the called shareholders the relevant amounts due under 
                      <internal.reference refid="a193754">article 23.4</internal.reference>
                       on behalf of the buyer. If the buyer fails to put the company in funds by the end of the relevant period, the called shareholders can have their share certificates and stock transfer forms returned. This puts an onus on a buyer to ensure that the company has the necessary funds to complete the transfer.
                    </paratext>
                  </para>
                  <para>
                    <paratext>
                      Under 
                      <internal.reference refid="a353537">article 23.9</internal.reference>
                      , if a called shareholder fails to deliver stock transfer forms and their share certificates (or an indemnity), any director of the company can transfer the shares on their behalf and only once their share certificates (or an indemnity) have been received are they entitled to receive payment for those shares.
                    </paratext>
                  </para>
                </division>
              </drafting.note>
            </subclause1>
            <subclause1 id="a211532">
              <identifier>23.8</identifier>
              <para>
                <paratext>
                  To the extent that the Proposed Buyer has not, on the expiration of the [NUMBER] Business Day period, put the Company in funds to pay the amounts due pursuant to 
                  <internal.reference refid="a193754">article 23.4</internal.reference>
                  , the Called Shareholders shall be entitled to the return of the stock transfer forms and share certificate(s) (or suitable indemnity) for the relevant Equity Shares and the Called Shareholders shall have no further rights or obligations under this 
                  <internal.reference refid="a457892">article 23</internal.reference>
                   in respect of their Equity Shares.
                </paratext>
              </para>
            </subclause1>
            <subclause1 id="a353537">
              <identifier>23.9</identifier>
              <para>
                <paratext>
                  If any Called Shareholder fails to deliver to the Company a duly executed stock transfer form (or forms) in respect of the Called Shares held by them (together with the share certificate(s) in respect of those Called Shares (or a suitable indemnity in respect thereof)) the defaulting Called Shareholder shall be deemed to have appointed any person nominated for the purpose by the Selling Shareholders to be their agent [and attorney] to execute and deliver all necessary transfers on their behalf, against receipt by the Company (on trust for such holder) of the consideration payable for the Called Shares. After the Proposed Buyer (or person(s) nominated by the Proposed Buyer) has been registered as the holder of any such Called Shares, the validity of such proceedings shall not be questioned by any person. Failure to produce a share certificate shall not impede the registration of any transfer of Shares under this 
                  <internal.reference refid="a457892">article 23</internal.reference>
                  .
                </paratext>
              </para>
              <drafting.note id="a537987" jurisdiction="">
                <head align="left" preservecase="true">
                  <headtext>Director as attorney</headtext>
                </head>
                <division id="a000144" level="1">
                  <para>
                    <paratext>
                      For a consideration of the effect (or otherwise) of granting a power of attorney under a set of articles, see 
                      <internal.reference refid="a786532">Drafting note, Shareholder rights on Exit</internal.reference>
                      .
                    </paratext>
                  </para>
                </division>
              </drafting.note>
            </subclause1>
            <subclause1 id="a501753">
              <identifier>23.10</identifier>
              <para>
                <paratext>
                  Upon any person, following the issue of a Drag Along Notice, becoming a Shareholder (or increasing an existing shareholding) including, without limitation, pursuant to the exercise of any option, warrant or other right to acquire or subscribe for, or to convert any security into, Equity Shares, whether or not pursuant to a Share Option Scheme (a 
                  <defn.term>New Shareholder</defn.term>
                  ), a Drag Along Notice shall be deemed to have been served upon the New Shareholder, on the same terms as the previous Drag Along Notice, who shall then be bound to sell and transfer all such Equity Shares acquired by them to the Proposed Buyer (or as the Proposed Buyer may direct) and the provisions of this 
                  <internal.reference refid="a457892">article 23</internal.reference>
                   shall apply mutatis mutandis to the New Shareholder, save that completion of the sale of such Equity Shares shall take place forthwith upon the later of the Drag Along Notice being deemed served on the New Shareholder and the date of completion of the sale of the Called Shares. References in this 
                  <internal.reference refid="a797386">Article 23.11</internal.reference>
                   to a person becoming a Shareholder (or increasing an existing shareholding) shall include the Company, in respect of the acquisition of any of its own Equity Shares.
                </paratext>
              </para>
              <drafting.note id="a285681" jurisdiction="">
                <head align="left" preservecase="true">
                  <headtext>Which shareholders are subject to the drag along?</headtext>
                </head>
                <division id="a000145" level="1">
                  <para>
                    <paratext>
                      <internal.reference refid="a78272">article 23.1</internal.reference>
                       allows a drag along notice to be served on the holders of Equity Shares at the date of the 'request'. It will usually be a key part of any sale and purchase pursuant to a drag along that the buyer acquires 100% of the company's equity share capital. 
                      <internal.reference refid="a501753">article 23.10</internal.reference>
                       provides a mechanism to sweep up any additional shares which are issued after the date of the request.
                    </paratext>
                  </para>
                </division>
              </drafting.note>
            </subclause1>
            <subclause1 id="a797386">
              <identifier>23.11</identifier>
              <para>
                <paratext>
                  A transfer of Called Shares to a Proposed Buyer (or as the Proposed Buyer may direct) pursuant to a sale in respect of which a Drag Along Notice has been duly served shall not be subject to the pre-emption provisions of 
                  <internal.reference refid="a73365">article 19</internal.reference>
                  .
                </paratext>
              </para>
            </subclause1>
            <subclause1 id="a239830">
              <identifier>23.12</identifier>
              <para>
                <paratext>Any Transfer Notice or Deemed Transfer Notice served in respect of the transfer of any Share which has not completed before the date of service of a Drag Along Notice shall automatically be revoked by the service of a Drag Along Notice.</paratext>
              </para>
            </subclause1>
          </clause>
          <head align="left" preservecase="true">
            <headtext>DECISION-MAKING BY SHAREHOLDERS</headtext>
          </head>
          <clause id="a272265">
            <identifier>24.</identifier>
            <head align="left" preservecase="true">
              <headtext>General meetings</headtext>
            </head>
            <subclause1 id="a898417">
              <identifier>24.1</identifier>
              <para>
                <paratext>
                  No business other than, subject to 
                  <internal.reference refid="a561265">article 24.2</internal.reference>
                  , the appointment of the chair of the meeting is to be transacted at a general meeting unless a quorum is present at the commencement of the meeting and also when that business is voted on.
                </paratext>
              </para>
              <drafting.note id="a233194" jurisdiction="">
                <head align="left" preservecase="true">
                  <headtext>Quorum at shareholder meetings</headtext>
                </head>
                <division id="a000146" level="1">
                  <para>
                    <paratext>
                      <internal.reference refid="a898417">Article 24.1</internal.reference>
                       replaces 
                      <link href="6-505-5094" style="ACTLinkPLCtoPLC">
                        <ital>model article 38</ital>
                      </link>
                      . Under 
                      <internal.reference refid="a561265">article 24.2</internal.reference>
                       the default rule is that the Chair (as defined) will chair general meetings. Only if they are absent (or there is no such Chair in office) will a chair of the meeting have to be elected. An inquorate meeting will need to appoint a chair of the meeting (in the absence of the Chair), as both the obligation, and the discretionary right, to adjourn inquorate meetings is vested in such chair of the meeting (
                      <ital>see model article 41(1)</ital>
                      ).
                    </paratext>
                  </para>
                </division>
              </drafting.note>
            </subclause1>
            <subclause1 id="a561265">
              <identifier>24.2</identifier>
              <para>
                <paratext>The Chair shall chair general meetings. If there is no Chair in office for the time being, or the Chair is unable to attend any general meeting, the Directors present (or, if no Directors are present, the meeting) must appoint another Director present at the meeting (or, if no Directors are present, a Shareholder) to chair the meeting and the appointment of the chair of the meeting must be the first business of the meeting.</paratext>
              </para>
              <drafting.note id="a724535" jurisdiction="">
                <head align="left" preservecase="true">
                  <headtext>Chair of general meetings</headtext>
                </head>
                <division id="a000147" level="1">
                  <para>
                    <paratext>
                      <internal.reference refid="a561265">Article 24.2</internal.reference>
                       modifies 
                      <link href="6-505-5094" style="ACTLinkPLCtoPLC">
                        <ital>model article 39</ital>
                      </link>
                      , given the specific definition given to 'Chair' in, and the provisions relating to their appointment in, 
                      <internal.reference refid="a798536">article 6.6</internal.reference>
                       of, the standard document.
                    </paratext>
                  </para>
                </division>
              </drafting.note>
            </subclause1>
          </clause>
          <clause id="a1019957">
            <identifier>25.</identifier>
            <head align="left" preservecase="true">
              <headtext>Voting</headtext>
            </head>
            <subclause1 id="a389759">
              <identifier>25.1</identifier>
              <para>
                <paratext>Subject to any other provisions in these Articles concerning voting rights, each Share in the Company shall carry the right to receive notice of and to attend, speak and vote at all general meetings of the Company.</paratext>
              </para>
              <drafting.note id="a677764" jurisdiction="">
                <head align="left" preservecase="true">
                  <headtext>Votes attached to shares</headtext>
                </head>
                <division id="a000148" level="1">
                  <para>
                    <paratext>
                      Part 13 of the 
                      <link href="3-503-8567" style="ACTLinkPLCtoPLC">
                        <ital>CA 2006</ital>
                      </link>
                       (and, in particular, 
                      <link href="4-505-5170" style="ACTLinkPLCtoPLC">
                        <ital>sections 284</ital>
                      </link>
                       and 
                      <link href="0-505-9491" style="ACTLinkPLCtoPLC">
                        <ital>285</ital>
                      </link>
                      ) makes express provision for the number of votes to be conferred on each shareholder, whether a vote is taken on a show of hands or on a poll, and whether a shareholder votes in person, by proxy or otherwise. As such, the standard document does not repeat those statutory provisions, in line with the Government's preference for articles not to repeat matters dealt with by the CA 2006.
                    </paratext>
                  </para>
                  <para>
                    <paratext>
                      For information on the appointment of proxies (including as a result of 
                      <link href="6-506-1410" style="ACTLinkPLCtoPLC">
                        <ital>The Companies (Shareholders' Rights) Regulations 2009</ital>
                      </link>
                       (
                      <ital>SI 2009/1632</ital>
                      ), see 
                      <link href="8-375-1206" style="ACTLinkPLCtoPLC">
                        <ital>Practice note, Proxies</ital>
                      </link>
                      .
                    </paratext>
                  </para>
                  <para>
                    <paratext>
                      Note that both 
                      <internal.reference refid="a389759">article 25.1</internal.reference>
                       and the statutory provisions as to voting are subject to anything contained in the company's articles such as weighted voting rights (although weighted voting rights are not included within these Articles).
                    </paratext>
                  </para>
                </division>
              </drafting.note>
            </subclause1>
            <subclause1 condition="optional" id="a461088">
              <identifier>25.2</identifier>
              <para>
                <paratext>A poll may be demanded at any general meeting by any qualifying person (as defined in section 318 of the Act) present and entitled to vote at the meeting.</paratext>
              </para>
              <drafting.note id="a194514" jurisdiction="">
                <head align="left" preservecase="true">
                  <headtext>Demand for a poll</headtext>
                </head>
                <division id="a000149" level="1">
                  <para>
                    <paratext>
                      <internal.reference refid="a389759">Article 25.1</internal.reference>
                       restricts those categories of people who would otherwise be entitled to demand a poll at a general meeting, under 
                      <link href="6-505-5094" style="ACTLinkPLCtoPLC">
                        <ital>model article 44(2)</ital>
                      </link>
                      . Shareholders will often be of the view that, if they are happy with the result of a resolution taken on a show of hands, it should not be open to any person outside the membership to seek to overturn the decision by way of a poll.
                    </paratext>
                  </para>
                  <para>
                    <paratext>
                      A 'qualifying person' is defined in 
                      <link href="7-505-5178" style="ACTLinkPLCtoPLC">
                        <ital>section 318(3)</ital>
                      </link>
                       of the CA 2006 as being:
                    </paratext>
                  </para>
                  <list type="bulleted">
                    <list.item>
                      <para>
                        <paratext>An individual who is a member of the company.</paratext>
                      </para>
                    </list.item>
                    <list.item>
                      <para>
                        <paratext>
                          A corporate representative of a member (authorised under 
                          <link href="8-505-5390" style="ACTLinkPLCtoPLC">
                            <ital>section 323</ital>
                          </link>
                           of the CA 2006).
                        </paratext>
                      </para>
                    </list.item>
                    <list.item>
                      <para>
                        <paratext>A proxy of a member appointed in relation to the relevant meeting.</paratext>
                      </para>
                    </list.item>
                  </list>
                  <para>
                    <paratext>
                      A company may further limit 
                      <internal.reference refid="a461088">article 25.2</internal.reference>
                       by excluding the right for a qualifying person to demand a poll on questions as to the election of a chair of the meeting, or the adjournment of the meeting.
                    </paratext>
                  </para>
                  <para>
                    <paratext>
                      <link href="6-505-5094" style="ACTLinkPLCtoPLC">
                        <ital>Model article 44(2)</ital>
                      </link>
                       cannot be amended in a way which would breach 
                      <link href="6-505-5391" style="ACTLinkPLCtoPLC">
                        <ital>section 321</ital>
                      </link>
                       of the CA 2006, which sets out minimum thresholds for categories of members who may demand a poll, breach of which renders such a provision void. For further information on those minimum thresholds and on the general provisions of the 
                      <link href="3-503-8567" style="ACTLinkPLCtoPLC">
                        <ital>CA 2006</ital>
                      </link>
                       in relation to polls, see 
                      <link anchor="a77060" href="9-523-8714" style="ACTLinkPLCtoPLC">
                        <ital>Practice note, General meetings: resolutions and voting: Voting on a poll</ital>
                      </link>
                      .
                    </paratext>
                  </para>
                </division>
              </drafting.note>
            </subclause1>
            <subclause1 id="a1027198">
              <identifier>25.3</identifier>
              <para>
                <paratext>Model article 44(3) shall be amended by the insertion of the words "A demand so withdrawn shall not invalidate the result of a show of hands declared before the demand was made" as a new paragraph at the end of that model article.</paratext>
              </para>
            </subclause1>
            <subclause1 id="a328867">
              <identifier>25.4</identifier>
              <para>
                <paratext>Model article 45(1) shall be amended by:</paratext>
              </para>
              <subclause2 id="a689441">
                <identifier>(a)</identifier>
                <para>
                  <paratext>the deletion of model article 45(1)(d) and its replacement with the words "is delivered to the company in accordance with the Articles not less than 48 hours before the time appointed for holding the meeting or adjourned meeting at which the right to vote is to be exercised and in accordance with any instructions contained in the notice of the general meeting (or adjourned meeting) to which they relate"; and</paratext>
                </para>
              </subclause2>
              <subclause2 id="a76561">
                <identifier>(b)</identifier>
                <para>
                  <paratext>the insertion of the words "and a proxy notice which is not delivered in such manner shall be invalid [,unless the Directors, in their discretion, accept the notice at any time before the meeting]" as a new paragraph at the end of that model article.</paratext>
                </para>
                <drafting.note id="a837984" jurisdiction="">
                  <head align="left" preservecase="true">
                    <headtext>Appointment of proxies</headtext>
                  </head>
                  <division id="a000150" level="1">
                    <para>
                      <paratext>
                        The 
                        <link href="6-505-5094" style="ACTLinkPLCtoPLC">
                          <ital>Model Articles</ital>
                        </link>
                         contain no express requirement as to the time of delivery of a proxy notice. 
                        <link href="2-505-5393" style="ACTLinkPLCtoPLC">
                          <ital>Section 327(2)(a)</ital>
                        </link>
                         of the CA 2006 provides that any article that requires delivery of proxy notices to be given earlier than 48 hours before the particular meeting is void.
                      </paratext>
                    </para>
                    <para>
                      <paratext>
                        <link href="6-505-5094" style="ACTLinkPLCtoPLC">
                          <ital>Model article 45</ital>
                        </link>
                         allows instructions as to delivery to be stated in the notice of the general meeting to which a proxy notice relates. Whilst this does allow the directors flexibility in setting the rules (and to vary them from meeting to meeting, subject always to 
                        <link href="2-505-5393" style="ACTLinkPLCtoPLC">
                          <ital>section 327(2)(a)</ital>
                        </link>
                         of the CA 2006), the shareholders may prefer certainty as to required delivery times (as provided in 
                        <internal.reference refid="a689441">article 25.4(a)</internal.reference>
                        , although 
                        <internal.reference refid="a76561">article 25.4(b)</internal.reference>
                         re-establishes a degree of flexibility for the directors to reduce that 48 hour rule, to be exercised at their discretion).
                      </paratext>
                    </para>
                    <para>
                      <paratext>
                        <internal.reference refid="a200960">Article 29</internal.reference>
                         is relevant in determining whether a proxy notice has been received in time for a particular general meeting.
                      </paratext>
                    </para>
                    <para>
                      <paratext>
                        For further information on the appointment of proxies, see 
                        <link href="8-375-1206" style="ACTLinkPLCtoPLC">
                          <ital>Practice note, Proxies</ital>
                        </link>
                        .
                      </paratext>
                    </para>
                  </division>
                </drafting.note>
              </subclause2>
            </subclause1>
          </clause>
          <clause id="a638953">
            <identifier>26.</identifier>
            <head align="left" preservecase="true">
              <headtext>Purchase of own shares</headtext>
            </head>
            <subclause1 id="a152157">
              <identifier>26.1</identifier>
              <para>
                <paratext>
                  Subject to the Act but without prejudice to any other provision of these Articles (including, without limitation, 
                  <internal.reference refid="a152999">article 13.2(e)</internal.reference>
                  ), the Company may purchase its own shares in accordance with Chapter 4 of Part 18 of the Act, including (without limitation) out of capital up to any amount in a financial year not exceeding the lower of:
                </paratext>
              </para>
              <subclause2 id="a609683">
                <identifier>(a)</identifier>
                <para>
                  <paratext>£15,000; and</paratext>
                </para>
              </subclause2>
              <subclause2 id="a424056">
                <identifier>(b)</identifier>
                <para>
                  <paratext>the nominal value of 5% of the Company's fully paid share capital at the beginning of each Financial Year.</paratext>
                </para>
                <drafting.note id="a157189" jurisdiction="">
                  <head align="left" preservecase="true">
                    <headtext>Purchase of own shares</headtext>
                  </head>
                  <division id="a000151" level="1">
                    <para>
                      <paratext>
                        On 30 April 2013, the 
                        <link href="1-526-7748" style="ACTLinkPLCtoPLC">
                          <ital>Companies Act 2006 (Amendment of Part 18) Regulations 2013</ital>
                        </link>
                         (
                        <ital>SI 2013/999</ital>
                        ) came into force and were amended with effect from 6 April 2015 by the 
                        <link href="9-608-7337" style="ACTLinkPLCtoPLC">
                          <ital>Companies Act 2006 (Amendment of Part 18) Regulations 2015</ital>
                        </link>
                         (
                        <ital>SI 2015/0532</ital>
                        ). Both sets of Regulations amend the CA 2006 to deregulate the share buyback regime for private companies.
                      </paratext>
                    </para>
                    <para>
                      <paratext>
                        Section 692(1ZA) of the CA 2006 permits a company to buy shares out of capital for relatively small sums, whether or not it has available profits to cover that amount. A company that wishes to take advantage of this ability must be authorised to do so by its articles and 
                        <internal.reference refid="a152157">article 26.1</internal.reference>
                         provides that authority. The total purchase price for any shares bought back under 
                        <internal.reference refid="a152157">article 26.1</internal.reference>
                         is capped (
                        <ital>section 692(1ZA), CA 2006</ital>
                        ). However, a company may use this power to make a purchase from cash in tandem with the power to make a purchase from capital under Chapter 5 of Part 18, as amended (
                        <ital>section 692(1), CA 2006</ital>
                        ). The Regulations now also make it clear that the reference to 5% of a company's share capital is to 5% of the aggregate nominal value at the beginning of each financial year of the company, excluding amounts standing to the credit of the share premium account..
                      </paratext>
                    </para>
                    <para>
                      <paratext>
                        For more, see 
                        <link href="1-386-4240" style="ACTLinkPLCtoPLC">
                          <ital>Practice note, Share buybacks: private companies</ital>
                        </link>
                        .
                      </paratext>
                    </para>
                    <para>
                      <paratext>
                        Consider whether the Company should have the power set out in 
                        <internal.reference refid="a152157">article 26.1</internal.reference>
                        . In any event, the exercise of the power will be subject to Investor Consent under 
                        <internal.reference refid="a152999">article 13.2(e)</internal.reference>
                        .
                      </paratext>
                    </para>
                  </division>
                </drafting.note>
              </subclause2>
            </subclause1>
            <subclause1 condition="optional" id="a46380">
              <identifier>26.2</identifier>
              <para>
                <paratext>
                  Subject to the remaining provisions of this 
                  <internal.reference refid="a638953">article 26</internal.reference>
                  , on a purchase of Shares in accordance with Chapter 4 of Part 18 of the Act, the Company may:
                </paratext>
              </para>
              <subclause2 id="a241511">
                <identifier>(a)</identifier>
                <para>
                  <paratext>hold the Shares (or any of them) in treasury;</paratext>
                </para>
              </subclause2>
              <subclause2 id="a576677">
                <identifier>(b)</identifier>
                <para>
                  <paratext>deal with any of the Shares, at any time, in accordance with section 727; or</paratext>
                </para>
              </subclause2>
              <subclause2 id="a305599">
                <identifier>(c)</identifier>
                <para>
                  <paratext>cancel any of the Shares, at any time, in accordance with section 729 of the Act.</paratext>
                </para>
                <drafting.note id="a384413" jurisdiction="">
                  <head align="left" preservecase="true">
                    <headtext>26.2 Treasury shares: powers of the Company</headtext>
                  </head>
                  <division id="a000152" level="1">
                    <para>
                      <paratext>
                        Under 
                        <link href="4-506-4754" style="ACTLinkPLCtoPLC">
                          <ital>section 724(3)</ital>
                        </link>
                         of the CA 2006, following a buyback of shares made out of distributable profits a company may hold some or all of those shares in treasury, sell them for a cash consideration, transfer them in accordance with or pursuant to an employees' share scheme or cancel any of them.
                      </paratext>
                    </para>
                  </division>
                </drafting.note>
              </subclause2>
            </subclause1>
            <subclause1 id="a654037">
              <identifier>26.3</identifier>
              <para>
                <paratext>
                  The provisions of 
                  <internal.reference refid="a227058">article 16.4</internal.reference>
                   to 
                  <internal.reference refid="a164238">article 16.11</internal.reference>
                   (inclusive) shall apply to a sale or transfer of Shares held in treasury pursuant to article 26.2(b) save that, for the purposes of this 
                  <internal.reference refid="a654037">article 26.3</internal.reference>
                  :
                </paratext>
              </para>
              <subclause2 id="a604676">
                <identifier>(a)</identifier>
                <para>
                  <paratext>
                    reference in 
                    <internal.reference refid="a544163">article 16</internal.reference>
                     to an allotment shall include the sale or transfer of Shares; and
                  </paratext>
                </para>
              </subclause2>
              <subclause2 id="a487181">
                <identifier>(b)</identifier>
                <para>
                  <paratext>reference in the definition of "Relevant Securities" to Shares "issued after the Adoption Date" shall include Shares to be sold or transferred by the Company,</paratext>
                </para>
              </subclause2>
              <para>
                <paratext>that immediately before the sale or transfer were, in each case, held by the Company as treasury shares</paratext>
              </para>
              <drafting.note id="a839665" jurisdiction="">
                <head align="left" preservecase="true">
                  <headtext>Pre-emption rights on sale of treasury shares</headtext>
                </head>
                <division id="a000153" level="1">
                  <para>
                    <paratext>
                      Where the Company chooses to sell shares held in treasury in accordance with 
                      <link href="6-506-2155" style="ACTLinkPLCtoPLC">
                        <ital>section 727</ital>
                      </link>
                       of the CA 2006, consider how those shares should be transferred and whether pre-emption rights will apply to those shares. An investor will want that ability to ensure that those shares cannot end up in the hands of someone of whom it does not approve.
                    </paratext>
                  </para>
                  <para>
                    <paratext>
                      <internal.reference refid="a654037">Article 26.3</internal.reference>
                       applies to a sale of shares out of treasury the pre-emption on allotment provisions of 
                      <internal.reference refid="a227058">article 16.4</internal.reference>
                       to 
                      <internal.reference refid="a164238">article 16.11</internal.reference>
                       (inclusive). 
                      <internal.reference refid="a604676">article 26.3(a)</internal.reference>
                      <ital> and</ital>
                      <internal.reference refid="a487181">article 26.3(b)</internal.reference>
                      <ital> </ital>
                      modify 
                      <internal.reference refid="a544163">article 16</internal.reference>
                       to ensure that those provisions work in the context of a sale of treasury shares. Although a sale of treasury shares might be made subject to the pre-emption provisions that apply on a transfer of shares (
                      <internal.reference refid="a73365">article 19</internal.reference>
                      ), the provisions relating to an allotment of shares require fewer modifications to fit the circumstances of a sale out of treasury. This approach also mirrors 
                      <link href="7-505-8817" style="ACTLinkPLCtoPLC">
                        <ital>section 560(3)</ital>
                      </link>
                       of the CA 2006 which applies the statutory pre-emption provisions of 
                      <link href="5-505-5122" style="ACTLinkPLCtoPLC">
                        <ital>sections 561</ital>
                      </link>
                       and 
                      <link href="3-505-5123" style="ACTLinkPLCtoPLC">
                        <ital>562</ital>
                      </link>
                       of the CA 2006 to a sale of treasury shares.
                    </paratext>
                  </para>
                  <para>
                    <paratext>
                      Deeming 
                      <internal.reference refid="a227058">article 16.4</internal.reference>
                       to 
                      <internal.reference refid="a164238">article 16.11</internal.reference>
                       to apply to the sale of treasury shares will mean that only the sale or transfer of "Relevant Securities" will be subject to pre-emption rights. Consider whether the exclusions from the definition of "Relevant Securities" are appropriate in each case. In particular, should a transfer of shares in accordance with or pursuant to an employees' share scheme be expressly excluded from the operation of the pre-emption provisions?
                    </paratext>
                  </para>
                </division>
              </drafting.note>
            </subclause1>
          </clause>
          <clause id="a545934">
            <identifier>27.</identifier>
            <head align="left" preservecase="true">
              <headtext>Company's Lien over Shares</headtext>
            </head>
            <drafting.note id="a614801" jurisdiction="">
              <head align="left" preservecase="true">
                <headtext>Nil, partly or fully paid shares</headtext>
              </head>
              <division id="a000154" level="1">
                <para>
                  <paratext>
                    The standard document incorporates 
                    <link href="6-505-5094" style="ACTLinkPLCtoPLC">
                      <ital>model article 21(1)</ital>
                    </link>
                    , which requires all shares to be issued fully paid. As such, a lien which extends only to shares which are not fully paid (such as that in article 52 of the 
                    <link href="6-505-5094" style="ACTLinkPLCtoPLC">
                      <ital>model articles for public companies</ital>
                    </link>
                    <ital>)</ital>
                     would have no relevance to these Articles. 
                    <internal.reference refid="a342989">Article 27.1</internal.reference>
                    <ital> </ital>
                    extends the company's lien to all amounts which are (or may become) due to the company by a shareholder at any future time.
                  </paratext>
                </para>
                <para>
                  <paratext>
                    Although it is possible to extend the company's lien to a shareholder's ordinary debts, it is not possible to extend a call and forfeiture provision to sums other than amounts unpaid on shares. As such, wording equivalent to that in articles 54 to 62 of the 
                    <link href="6-505-5094" style="ACTLinkPLCtoPLC">
                      <ital>model articles for public companies</ital>
                    </link>
                     will not be relevant to the standard document, given the incorporation of model article 21(1).
                  </paratext>
                </para>
                <para>
                  <paratext>
                    Companies backed by venture capital investment may wish to retain the flexibility to allot nil or partly paid shares as part of management or employee incentive arrangements. If so, it will be appropriate to include call, forfeiture and surrender provisions. In that case, consider excluding existing 
                    <internal.reference refid="a545934">article 27</internal.reference>
                     and 
                    <internal.reference refid="a913255">article 28</internal.reference>
                     of this standard document and replacing them with 
                    <link href="3-385-6951" style="ACTLinkPLCtoPLC">
                      <ital>Standard clause, Articles of association, Partly paid shares: calls on shares, lien and forfeiture</ital>
                    </link>
                    . It will be necessary both to adapt that standard clause to this document and to consider whether any consequential changes would be required to this document, such as (without limitation):
                  </paratext>
                </para>
                <list type="bulleted">
                  <list.item>
                    <para>
                      <paratext>
                        The exclusion of model article 21(1) (by including it in the list of exclusions set out in 
                        <internal.reference refid="a852328">article 2.2</internal.reference>
                        ); and
                      </paratext>
                    </para>
                  </list.item>
                  <list.item>
                    <para>
                      <paratext>
                        The manner in which dividends are to be allocated between shareholders (see 
                        <internal.reference refid="a890010">Drafting note, Allocation of dividends</internal.reference>
                        ).
                      </paratext>
                    </para>
                  </list.item>
                </list>
              </division>
            </drafting.note>
            <subclause1 id="a342989">
              <identifier>27.1</identifier>
              <para>
                <paratext>
                  The Company has a lien (the 
                  <bold>Company's Lien</bold>
                  ) over every Share which is registered in the name of a person indebted or under any liability to the Company, whether they are the sole registered holder of the Share or one of several joint holders, for all monies payable by them (either alone or jointly with any other person) to the Company, whether payable immediately or at some time in the future.
                </paratext>
              </para>
              <drafting.note id="a897585" jurisdiction="">
                <head align="left" preservecase="true">
                  <headtext>Extent of the Company's Lien</headtext>
                </head>
                <division id="a000155" level="1">
                  <para>
                    <paratext>
                      <internal.reference refid="a342989">Article 27.1</internal.reference>
                       extends the scope of the company's lien on its shares (and the associated power of sale) to any indebtedness or other liability of its shareholders to the company. As such, the lien will apply even to fully paid shares.
                    </paratext>
                  </para>
                  <para>
                    <paratext>
                      As a company is not obliged to take notice of any trust (
                      <link href="2-505-7721" style="ACTLinkPLCtoPLC">
                        <ital>section 126</ital>
                      </link>
                      <ital>, CA 2006</ital>
                      ), the lien only permits the company to exercise its rights against the registered holder of the shares (and not, for example, a beneficial owner).
                    </paratext>
                  </para>
                </division>
              </drafting.note>
            </subclause1>
            <subclause1 id="a569055">
              <identifier>27.2</identifier>
              <para>
                <paratext>The Company's Lien over a share:</paratext>
              </para>
              <subclause2 id="a844178">
                <identifier>(a)</identifier>
                <para>
                  <paratext>takes priority over any third party's interest in that Share; and</paratext>
                </para>
              </subclause2>
              <subclause2 id="a487649">
                <identifier>(b)</identifier>
                <para>
                  <paratext>extends to any dividend or other money payable by the Company in respect of that Share and (if the lien is enforced and the Share is sold by the Company) the proceeds of sale of that Share.</paratext>
                </para>
              </subclause2>
            </subclause1>
            <subclause1 id="a822815">
              <identifier>27.3</identifier>
              <para>
                <paratext>The Directors may at any time decide that a Share which is or would otherwise be subject to the Company's Lien shall not be subject to it, either wholly or in part.</paratext>
              </para>
            </subclause1>
          </clause>
          <clause id="a913255">
            <identifier>28.</identifier>
            <head align="left" preservecase="true">
              <headtext>Enforcement of the Company's Lien</headtext>
            </head>
            <subclause1 id="a630552">
              <identifier>28.1</identifier>
              <para>
                <paratext>
                  Subject to the provisions of this 
                  <internal.reference refid="a913255">article 28</internal.reference>
                  , if:
                </paratext>
              </para>
              <subclause2 id="a128530">
                <identifier>(a)</identifier>
                <para>
                  <paratext>a Lien Enforcement Notice has been given in respect of a Share; and</paratext>
                </para>
              </subclause2>
              <subclause2 id="a900176">
                <identifier>(b)</identifier>
                <para>
                  <paratext>the person to whom the notice was given has failed to comply with it,</paratext>
                </para>
              </subclause2>
              <para>
                <paratext>the Company may sell that Share in such manner as the Directors decide.</paratext>
              </para>
            </subclause1>
            <subclause1 id="a850814">
              <identifier>28.2</identifier>
              <para>
                <paratext>A Lien Enforcement Notice:</paratext>
              </para>
              <subclause2 id="a733320">
                <identifier>(a)</identifier>
                <para>
                  <paratext>may only be given in respect of a Share which is subject to the Company's Lien and in respect of a sum payable to the Company for which the due date for payment has passed;</paratext>
                </para>
              </subclause2>
              <subclause2 id="a85804">
                <identifier>(b)</identifier>
                <para>
                  <paratext>must specify the Share concerned;</paratext>
                </para>
              </subclause2>
              <subclause2 id="a1028352">
                <identifier>(c)</identifier>
                <para>
                  <paratext>must require payment of the sum within 14 clear days of the notice (that is, excluding the date on which the notice is given and the date on which that 14 day period expires);</paratext>
                </para>
              </subclause2>
              <subclause2 id="a466287">
                <identifier>(d)</identifier>
                <para>
                  <paratext>must be addressed either to the holder of the Share or to a transmittee of that holder; and</paratext>
                </para>
              </subclause2>
              <subclause2 id="a886903">
                <identifier>(e)</identifier>
                <para>
                  <paratext>must state the Company's intention to sell the Share if the notice is not complied with.</paratext>
                </para>
                <drafting.note id="a359473" jurisdiction="">
                  <head align="left" preservecase="true">
                    <headtext>Clear days and transmittees</headtext>
                  </head>
                  <division id="a472923" level="1">
                    <head align="left" preservecase="true">
                      <headtext>Clear days</headtext>
                    </head>
                    <para>
                      <paratext>
                        <internal.reference refid="a1028352">article 28.2(c)</internal.reference>
                         requires 14 clear days to have passed before a sum is considered due. The formulation of clear days in brackets reflects the approach taken by the Model Articles in relation to the calling of adjourned meetings. If the notice is given on day one, the 14 day period commences on day two and the sum will not be due until day 16. Practitioners may prefer to insert a definition of "clear days" into 
                        <internal.reference refid="a308401">article 1.1</internal.reference>
                         to avoid the need to repeat those words in brackets.
                      </paratext>
                    </para>
                  </division>
                  <division id="a729445" level="1">
                    <head align="left" preservecase="true">
                      <headtext>Transmittees</headtext>
                    </head>
                    <para>
                      <paratext>
                        For the purposes of 
                        <internal.reference refid="a466287">article 28.2(d)</internal.reference>
                        , a "transmittee" is defined by article 1 of the Model Articles as "a person entitled to a share by reason of the death or bankruptcy of a shareholder or otherwise by operation of law".
                      </paratext>
                    </para>
                  </division>
                </drafting.note>
              </subclause2>
            </subclause1>
            <subclause1 id="a398154">
              <identifier>28.3</identifier>
              <para>
                <paratext>
                  Where Shares are sold under this 
                  <internal.reference refid="a913255">article 28</internal.reference>
                  :
                </paratext>
              </para>
              <subclause2 id="a622461">
                <identifier>(a)</identifier>
                <para>
                  <paratext>the Directors may authorise any person to execute an instrument of transfer of the Shares to the purchaser or to a person nominated by the purchaser; and</paratext>
                </para>
              </subclause2>
              <subclause2 id="a683958">
                <identifier>(b)</identifier>
                <para>
                  <paratext>the transferee is not bound to see to the application of the consideration, and the transferee's title is not affected by any irregularity in or invalidity of the process leading to the sale.</paratext>
                </para>
              </subclause2>
            </subclause1>
            <subclause1 id="a968309">
              <identifier>28.4</identifier>
              <para>
                <paratext>The net proceeds of any such sale (after payment of the costs of sale and any other costs of enforcing the Company's Lien) must be applied:</paratext>
              </para>
              <subclause2 id="a380836">
                <identifier>(a)</identifier>
                <para>
                  <paratext>first, in payment of so much of the sum for which the lien exists as was payable at the date of the Lien Enforcement Notice; and</paratext>
                </para>
              </subclause2>
              <subclause2 id="a408835">
                <identifier>(b)</identifier>
                <para>
                  <paratext>second, to the person entitled to the Shares at the date of the sale, but only after the certificate for the Shares sold has been surrendered to the Company for cancellation, or an indemnity in a form reasonably satisfactory to the Directors has been given for any lost certificates, and subject to a lien equivalent to the Company's Lien over the Shares before the sale for any money payable by that person (or their estate or any joint holder of the shares) after the date of the Lien Enforcement Notice.</paratext>
                </para>
              </subclause2>
            </subclause1>
            <subclause1 id="a590417">
              <identifier>28.5</identifier>
              <para>
                <paratext>A statutory declaration by a Director or the company secretary that the declarant is a Director or the company secretary and that a Share has been sold to satisfy the Company's Lien on a specified date:</paratext>
              </para>
              <subclause2 id="a780090">
                <identifier>(a)</identifier>
                <para>
                  <paratext>is conclusive evidence of the facts stated in it as against all persons claiming to be entitled to the Share; and</paratext>
                </para>
              </subclause2>
              <subclause2 id="a679913">
                <identifier>(b)</identifier>
                <para>
                  <paratext>subject to compliance with any other formalities of transfer required by the Articles or by law, constitutes a good title to the Share.</paratext>
                </para>
              </subclause2>
            </subclause1>
          </clause>
          <head align="left" preservecase="true">
            <headtext>ADMINISTRATIVE ARRANGEMENTS</headtext>
          </head>
          <clause id="a200960">
            <identifier>29.</identifier>
            <head align="left" preservecase="true">
              <headtext>Means of communication to be used</headtext>
            </head>
            <subclause1 id="a557248">
              <identifier>29.1</identifier>
              <para>
                <paratext>
                  Subject to 
                  <internal.reference refid="a678785">article 29.3</internal.reference>
                  , any notice, document or other information shall be deemed received by the intended recipient:
                </paratext>
              </para>
              <subclause2 id="a514871">
                <identifier>(a)</identifier>
                <para>
                  <paratext>if delivered by hand, at the time the notice, document or other information is left at the address;</paratext>
                </para>
              </subclause2>
              <subclause2 id="a68179">
                <identifier>(b)</identifier>
                <para>
                  <paratext>
                    if sent by [pre-paid first class post or other] next working day delivery service [providing proof of [postage 
                    <bold>OR</bold>
                     delivery]], at 9.00 am on the [second] Business Day after posting;
                  </paratext>
                </para>
              </subclause2>
              <subclause2 id="a483871">
                <identifier>(c)</identifier>
                <para>
                  <paratext>
                    if sent by pre-paid airmail [providing proof of [postage 
                    <bold>OR</bold>
                     delivery]], at 9.00 am on the [fifth] Business Day after posting;
                  </paratext>
                </para>
              </subclause2>
              <subclause2 id="a806404">
                <identifier>(d)</identifier>
                <para>
                  <paratext>if sent by email or fax, at the time of transmission; or</paratext>
                </para>
              </subclause2>
              <subclause2 id="a241993">
                <identifier>(e)</identifier>
                <para>
                  <paratext>if sent or supplied by means of a website, when the material is first made available on the website or (if later) when the recipient receives (or is deemed to have received) notice of the fact that the material is available on the website.</paratext>
                </para>
              </subclause2>
            </subclause1>
            <subclause1 id="a948583">
              <identifier>29.2</identifier>
              <para>
                <paratext>
                  If deemed receipt under 
                  <internal.reference refid="a557248">article 29.1</internal.reference>
                   would occur outside business hours in the place of receipt, it shall be deferred until business hours resume. In this 
                  <internal.reference refid="a948583">article 29.2</internal.reference>
                  , business hours means 9.00 am to 5.00 pm Monday to Friday on a day that is not a public holiday in the place of receipt and all references to time are to local time in the place of receipt.
                </paratext>
              </para>
              <drafting.note id="a781192" jurisdiction="">
                <head align="left" preservecase="true">
                  <headtext>Service or delivery of notices</headtext>
                </head>
                <division id="a000156" level="1">
                  <para>
                    <paratext>
                      <link href="2-505-5213" style="ACTLinkPLCtoPLC">
                        <ital>Section 1147</ital>
                      </link>
                       of CA 2006 provides deemed times of delivery of documents or information sent by a company, according to the manner in which they are sent. That section is subject to anything contained in the articles and so 
                      <internal.reference refid="a557248">article 29.1</internal.reference>
                       of the standard document will override that section (the 48 hour deemed delivery time for documents and information sent by electronic means, in particular, seems unduly lengthy). The 
                      <link href="3-503-8567" style="ACTLinkPLCtoPLC">
                        <ital>CA 2006</ital>
                      </link>
                       does not provide equivalent deemed delivery times for documents or information sent to a company. 
                      <internal.reference refid="a557248">article 29.1</internal.reference>
                       applies also to deliveries to the company as well as to any notices served under the articles by one shareholder on the other.
                    </paratext>
                  </para>
                  <para>
                    <paratext>
                      Article 48 of the 
                      <link href="6-505-5094" style="ACTLinkPLCtoPLC">
                        <ital>Model Articles</ital>
                      </link>
                      , which is included in the standard document, permits (subject to anything else in the articles) the sending or supply of documents to be provided under 
                      <link href="3-503-8567" style="ACTLinkPLCtoPLC">
                        <ital>CA 2006</ital>
                      </link>
                       by or to the company in any way provided by the Act. This would include the sending or supply of documents by electronic means, such as email, or by means of website publication (subject to 
                      <internal.reference refid="a678785">article 29.3</internal.reference>
                      ).
                    </paratext>
                  </para>
                  <para>
                    <paratext>It may be that sending documents or information by publishing them on a website is not something that will be much used. However, this has not been excluded (other than in the case of the Transfer Notices to be served under the share transfer provisions of the standard document) in case it may need to be used.</paratext>
                  </para>
                  <para>
                    <paratext>
                      Note that there are additional formalities to be followed under 
                      <link href="5-505-8045" style="ACTLinkPLCtoPLC">
                        <ital>Schedule 5</ital>
                      </link>
                       of CA 2006 in order for a company to send information or documents by electronic means, including by the use of a website:
                    </paratext>
                  </para>
                  <list type="bulleted">
                    <list.item>
                      <para>
                        <paratext>If a company wants to send communications in electronic form, such as by email, it may only do so to persons that have agreed (either generally or specifically) that the document or information may be sent or supplied in that form, and such documents or information may only be sent or supplied to an email address specified for the purpose by the intended recipient.</paratext>
                      </para>
                    </list.item>
                    <list.item>
                      <para>
                        <paratext>Each of the shareholders will also need to be asked individually by the company to agree that the company may provide them with documents or information by means of a website. If a shareholder does not respond within 28 days of the request, the shareholder will be deemed to have agreed to the use of a website.</paratext>
                      </para>
                    </list.item>
                    <list.item>
                      <para>
                        <paratext>If the company sends any documents to the members by means of website publication, it must notify them of the presence of the document or information on the website, and provide details of how to access the document or information.</paratext>
                      </para>
                    </list.item>
                  </list>
                  <para>
                    <paratext>
                      For more information, see 
                      <link href="1-211-3085" style="ACTLinkPLCtoPLC">
                        <ital>Checklist, Electronic communications</ital>
                      </link>
                      .
                    </paratext>
                  </para>
                </division>
              </drafting.note>
            </subclause1>
            <subclause1 id="a678785">
              <identifier>29.3</identifier>
              <para>
                <paratext>To prove service, it is sufficient to prove that:</paratext>
              </para>
              <subclause2 id="a604342">
                <identifier>(a)</identifier>
                <para>
                  <paratext>if delivered by hand, the notice was delivered to the correct address; or</paratext>
                </para>
              </subclause2>
              <subclause2 id="a228316">
                <identifier>(b)</identifier>
                <para>
                  <paratext>if sent by post [or by airmail], the envelope containing the notice was properly addressed, paid for and posted;</paratext>
                </para>
              </subclause2>
              <subclause2 id="a904794">
                <identifier>(c)</identifier>
                <para>
                  <paratext>if sent by fax, a transmission report was received confirming that the notice was successfully transmitted to the correct fax number; or</paratext>
                </para>
              </subclause2>
              <subclause2 id="a1030703">
                <identifier>(d)</identifier>
                <para>
                  <paratext>if sent by email, the notice was properly addressed and sent to the email address of the recipient.</paratext>
                </para>
              </subclause2>
            </subclause1>
            <subclause1 condition="optional" id="a151543">
              <identifier>29.4</identifier>
              <para>
                <paratext>A Transfer Notice (or Deemed Transfer Notice) may not be served or delivered in electronic form (other than by fax), or by means of a website.</paratext>
              </para>
              <drafting.note id="a837212" jurisdiction="">
                <head align="left" preservecase="true">
                  <headtext>Service and delivery of notices and documents under transfer articles</headtext>
                </head>
                <division id="a000157" level="1">
                  <para>
                    <paratext>
                      In respect of a proposed or deemed transfer of shares, a more formal procedure may be preferred for the service or delivery of notices to the use of email. In such cases, the definition of 
                      <internal.reference refid="a825560">Writing or written</internal.reference>
                      , together with 
                      <internal.reference refid="a151543">article 29.4</internal.reference>
                      , provide that electronic forms of communication (other than by fax) are specifically excluded for the purposes of serving the various notices that trigger the transfer procedures under the articles. If electronic forms of communication are also to be excluded for the purposes of any further notices required to be served to complete such procedures, then this article and the definition of "Writing or written" should be amended accordingly.
                    </paratext>
                  </para>
                  <para>
                    <paratext>
                      Further consideration should be given to whether it would be appropriate for service of any other documents in electronic form (or by electronic means), where such document requires the recipient to respond within a particular time period, or the contents of the document will have a material bearing on that recipient. For example, 
                      <internal.reference refid="a707506">article 19.9</internal.reference>
                       requires an offeree of new shares to respond with their acceptance within a prescribed period.
                    </paratext>
                  </para>
                </division>
              </drafting.note>
            </subclause1>
            <subclause1 id="a333010">
              <identifier>29.5</identifier>
              <para>
                <paratext>In proving that any notice, document or information was properly addressed, it will suffice to show that the notice, document or information was addressed to an address permitted for the purpose by the Act.</paratext>
              </para>
            </subclause1>
          </clause>
          <clause id="a934506">
            <identifier>30.</identifier>
            <head align="left" preservecase="true">
              <headtext>Indemnity and insurance</headtext>
            </head>
            <subclause1 id="a646111">
              <identifier>30.1</identifier>
              <para>
                <paratext>
                  Subject to 
                  <internal.reference refid="a748879">article 30.2</internal.reference>
                  , but without prejudice to any indemnity to which a Relevant Officer is otherwise entitled:
                </paratext>
              </para>
              <subclause2 id="a511299">
                <identifier>(a)</identifier>
                <para>
                  <paratext>each Relevant Officer shall be indemnified out of the Company's assets against all costs, charges, losses, expenses and liabilities incurred by them as a Relevant Officer:</paratext>
                </para>
                <subclause3 id="a650156">
                  <identifier>(i)</identifier>
                  <para>
                    <paratext>in the actual or purported execution and/or discharge of their duties, or in relation thereto [; and]</paratext>
                  </para>
                </subclause3>
                <subclause3 condition="optional" id="a233584">
                  <identifier>(ii)</identifier>
                  <para>
                    <paratext>in relation to the Company's [(or other Group Company's)] activities as trustee of an occupational pension scheme (as defined in section 235(6) of the Act),</paratext>
                  </para>
                </subclause3>
                <para>
                  <paratext>including (in each case) any liability incurred by them in defending any civil or criminal proceedings, in which judgment is given in their favour or in which they are acquitted, or the proceedings are otherwise disposed of without any finding or admission of any material breach of duty on their part, or in connection with any application in which the court grants them, in their capacity as a Relevant Officer, relief from liability for negligence, default, breach of duty or breach of trust in relation to the Company's (or other Group Company's) affairs; and</paratext>
                </para>
              </subclause2>
              <subclause2 id="a657526">
                <identifier>(b)</identifier>
                <para>
                  <paratext>
                    the Company may provide any Relevant Officer with funds to meet expenditure incurred or to be incurred by them in connection with any proceedings or application referred to in 
                    <internal.reference refid="a646111">article 30.1</internal.reference>
                     and otherwise may take any action to enable such Relevant Officer to avoid incurring such expenditure.
                  </paratext>
                </para>
                <drafting.note id="a152045" jurisdiction="">
                  <head align="left" preservecase="true">
                    <headtext>Directors' indemnity</headtext>
                  </head>
                  <division id="a000158" level="1">
                    <para>
                      <paratext>
                        <internal.reference refid="a934506">article 30</internal.reference>
                         extends the provisions of 
                        <link href="6-505-5094" style="ACTLinkPLCtoPLC">
                          <ital>model article 52</ital>
                        </link>
                         by:
                      </paratext>
                    </para>
                    <list type="bulleted">
                      <list.item>
                        <para>
                          <paratext>
                            Removing the discretion afforded to a company to indemnify its directors. Model Article 52 states that "a relevant director ... may be indemnified". 
                            <internal.reference refid="a934506">article 30</internal.reference>
                             states that relevant officers "shall be indemnified".
                          </paratext>
                        </para>
                      </list.item>
                      <list.item>
                        <para>
                          <paratext>
                            Providing (in 
                            <internal.reference refid="a657526">article 30.1(b)</internal.reference>
                            ) that the company can fund a director's expenditure in connection with any proceedings indemnified under 
                            <internal.reference refid="a511299">article 30.1(a)</internal.reference>
                            . Note that a company is not obliged to do so (unlike the indemnity in 
                            <internal.reference refid="a511299">article 30.1(a)</internal.reference>
                            ).
                          </paratext>
                        </para>
                      </list.item>
                      <list.item>
                        <para>
                          <paratext>Extending the category of persons who are covered to "other officers" (and former officers) of the company.</paratext>
                        </para>
                      </list.item>
                    </list>
                    <para>
                      <paratext>
                        The provisions of the 
                        <link href="6-505-5094" style="ACTLinkPLCtoPLC">
                          <ital>Model Articles</ital>
                        </link>
                         on indemnifying directors of any associated companies have been replaced with references to 'Group Companies', for consistency with the rest of these Articles.
                      </paratext>
                    </para>
                    <para>
                      <paratext>
                        The directors should consider whether they are happy to rely solely on an indemnity provision in the Articles, as there is uncertainty about a director's ability to enforce a provision such as this in their own favour (the Articles form a binding contract between the company and its members but a director is not party to this arrangement). Each director may want to enter into some form of separate contractual indemnity with the company. 
                        <internal.reference refid="a646111">article 30.1</internal.reference>
                         provides that the indemnity in the Articles does not prejudice any such separate contractual indemnity.
                      </paratext>
                    </para>
                  </division>
                </drafting.note>
              </subclause2>
            </subclause1>
            <subclause1 id="a748879">
              <identifier>30.2</identifier>
              <para>
                <paratext>
                  This 
                  <internal.reference refid="a934506">article 30</internal.reference>
                   does not authorise any indemnity which would be prohibited or rendered void by any provision of the Act or by any other provision of law.
                </paratext>
              </para>
              <drafting.note id="a903774" jurisdiction="">
                <head align="left" preservecase="true">
                  <headtext>Limitations on the indemnity</headtext>
                </head>
                <division id="a000159" level="1">
                  <para>
                    <paratext>
                      The terms of any indemnity in the Articles will be subject to the limitations imposed by 
                      <link href="8-505-5408" style="ACTLinkPLCtoPLC">
                        <ital>sections 234</ital>
                      </link>
                       and 
                      <link href="2-505-5411" style="ACTLinkPLCtoPLC">
                        <bold>
                          <ital>235</ital>
                        </bold>
                      </link>
                       of the CA 2006, which constitute exceptions to the general prohibition (
                      <link href="1-505-5218" style="ACTLinkPLCtoPLC">
                        <ital>section 232(2)</ital>
                      </link>
                      <ital>, CA 2006</ital>
                      ) on companies indemnifying directors for any negligence, default, breach of duty or trust. 
                      <internal.reference refid="a748879">article 30.2</internal.reference>
                       seeks to ensure that the indemnity does not exceed the limitations of those two sections. For more information on the extent to which indemnities may be granted under the 
                      <link href="3-503-8567" style="ACTLinkPLCtoPLC">
                        <ital>CA 2006</ital>
                      </link>
                      , see 
                      <link href="5-203-0413" style="ACTLinkPLCtoPLC">
                        <ital>Practice note, Directors' liabilities: Companies Act 2006</ital>
                      </link>
                      .
                    </paratext>
                  </para>
                </division>
              </drafting.note>
            </subclause1>
            <subclause1 id="a334495">
              <identifier>30.3</identifier>
              <para>
                <paratext>The Directors may decide to purchase and maintain insurance, at the expense of the Company, for the benefit of any Relevant Officer in respect of any Relevant Loss.</paratext>
              </para>
              <drafting.note id="a293800" jurisdiction="">
                <head align="left" preservecase="true">
                  <headtext>Insurance</headtext>
                </head>
                <division id="a000160" level="1">
                  <para>
                    <paratext>
                      <link href="9-505-5295" style="ACTLinkPLCtoPLC">
                        <ital>Section 233</ital>
                      </link>
                       of the CA 2006 constitutes a further exception to the general prohibition of 
                      <link href="1-505-5218" style="ACTLinkPLCtoPLC">
                        <ital>section 232(2)</ital>
                      </link>
                       of the CA 2006 and allows a company to purchase insurance for the benefit of its directors. 
                      <internal.reference refid="a334495">article 30.3</internal.reference>
                       extends 
                      <link href="6-505-5094" style="ACTLinkPLCtoPLC">
                        <ital>model article 53</ital>
                      </link>
                       (which has been excluded in the standard document) to other officers (and former officers), as is also the case in the indemnity provisions.
                    </paratext>
                  </para>
                </division>
              </drafting.note>
            </subclause1>
            <subclause1 id="a772429">
              <identifier>30.4</identifier>
              <para>
                <paratext>
                  In this 
                  <internal.reference refid="a934506">article 30</internal.reference>
                  :
                </paratext>
              </para>
              <subclause2 id="a458626">
                <identifier>(a)</identifier>
                <para>
                  <paratext>
                    <defn.term>Relevant Loss</defn.term>
                     means any loss or liability which has been or may be incurred by a Relevant Officer in connection with that Relevant Officer's duties or powers in relation to the Company (or other Group Company) or any pension fund [or employees' share scheme] of the Company (or other Group Company); and
                  </paratext>
                </para>
              </subclause2>
              <subclause2 id="a665616">
                <identifier>(b)</identifier>
                <para>
                  <paratext>
                    <defn.term>Relevant Officer</defn.term>
                     means any director or other officer [or former director or other officer] of any Group Company [(including any company which is a trustee of an occupational pension scheme (as defined by section 235(6) of the Act)] [, but excluding in each case any person engaged by a Group Company as auditor (whether or not they are also a director or other officer), to the extent they act in their capacity as auditor].
                  </paratext>
                </para>
                <drafting.note id="a988205" jurisdiction="">
                  <head align="left" preservecase="true">
                    <headtext>Relevant Officers</headtext>
                  </head>
                  <division id="a000161" level="1">
                    <para>
                      <paratext>
                        An 'officer' is defined by 
                        <link href="0-505-5407" style="ACTLinkPLCtoPLC">
                          <ital>section 1173(1)</ital>
                        </link>
                         of the CA 2006 as including any director, manager or secretary. The parties may wish to restrict the definition of 'Relevant Officer' in 
                        <internal.reference refid="a665616">article 30.4(b)</internal.reference>
                         to directors and, where relevant, secretaries (that is, excluding managers).
                      </paratext>
                    </para>
                    <para>
                      <paratext>
                        Reference in 
                        <internal.reference refid="a665616">article 30.4(b)</internal.reference>
                         to a trustee of an occupational pension scheme permits the indemnity of 
                        <internal.reference refid="a646111">article 30.1</internal.reference>
                         to extend to those matters which may be indemnified under 
                        <link href="8-505-5408" style="ACTLinkPLCtoPLC">
                          <ital>section 234</ital>
                        </link>
                         of the CA 2006. If 
                        <internal.reference refid="a233584">article 30.1(a)(ii)</internal.reference>
                         is included, the words in square brackets in 
                        <internal.reference refid="a665616">article 30.4(b)</internal.reference>
                         relating to occupational pension schemes should also be included.
                      </paratext>
                    </para>
                  </division>
                </drafting.note>
              </subclause2>
            </subclause1>
          </clause>
        </operative>
        <disclosure.schedule>
          <schedule id="a837787">
            <identifier>Schedule 1</identifier>
            <head align="left" preservecase="true">
              <headtext>[Model Articles]</headtext>
            </head>
            <drafting.note id="a158003" jurisdiction="">
              <head align="left" preservecase="true">
                <headtext>Schedule: Model Articles</headtext>
              </head>
              <division id="a000162" level="1">
                <para>
                  <paratext>
                    <internal.reference refid="a328943">Article 2.1</internal.reference>
                     includes reference to a Schedule to permit a copy of the 
                    <link href="https://uk.practicallaw.thomsonreuters.com/Document/IB686D280D6FA11DD8F32D38F0A964147/View/FullText.html?navId=FCB7E321E3B44DD4A7BDD69FE077382D&amp;amp;comp=pluk&amp;amp;transitionType=Default&amp;amp;contextData=(sc.Default)" style="ACTLinkURL">
                      <ital>Model Articles</ital>
                    </link>
                     to be appended to the set of Articles filed at Companies House under 
                    <link href="https://uk.practicallaw.thomsonreuters.com/Document/I5BAC67E18B3311DBA1DB80994EEB92DE/View/FullText.html?navId=FCB7E321E3B44DD4A7BDD69FE077382D&amp;amp;comp=pluk&amp;amp;transitionType=Default&amp;amp;contextData=(sc.Default)" style="ACTLinkURL">
                      <ital>section 26</ital>
                    </link>
                     of the CA 2006.
                  </paratext>
                </para>
              </division>
            </drafting.note>
          </schedule>
        </disclosure.schedule>
      </body>
      <rev.history>
        <rev.item>
          <rev.title>"Termination Date"</rev.title>
          <rev.date>20181207</rev.date>
          <rev.author>Practical Law Corporate</rev.author>
          <rev.body>
            <division id="a000001" level="1">
              <para>
                <paratext>Amending paragraph (a) of definition of Termination Date. Replacing "the date on which such notice expires" with "the date on which notice of termination was served".</paratext>
              </para>
            </division>
          </rev.body>
        </rev.item>
        <rev.item>
          <rev.title>Companies Act 2006 (Amendment of Part 18) Regulations 2015 (SI 2015/0532)</rev.title>
          <rev.date>20150406</rev.date>
          <rev.author>Practical Law Corporate</rev.author>
          <rev.body>
            <division id="a000002" level="1">
              <para>
                <paratext>
                  We have updated Article 15.1 and the related drafting note as a result of implementation of the Companies Act 2006 (Amendment of Part 18) Regulations 2015 (
                  <ital>SI 2015/0532</ital>
                  ).
                </paratext>
              </para>
            </division>
          </rev.body>
        </rev.item>
      </rev.history>
    </standard.doc>
  </n-docbody>
</n-document>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BE086BDB-E3E9-4C9E-8CC2-E67CE32C3AEF}">
  <ds:schemaRefs>
    <ds:schemaRef ds:uri="http://www.w3.org/2001/XMLSchema"/>
  </ds:schemaRefs>
</ds:datastoreItem>
</file>

<file path=customXml/itemProps4.xml><?xml version="1.0" encoding="utf-8"?>
<ds:datastoreItem xmlns:ds="http://schemas.openxmlformats.org/officeDocument/2006/customXml" ds:itemID="{5092EC64-46DB-4CC0-B016-E06DDD13A7B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9564</Words>
  <Characters>54519</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Jacqueline Hills</cp:lastModifiedBy>
  <cp:revision>2</cp:revision>
  <dcterms:created xsi:type="dcterms:W3CDTF">2024-02-09T16:11:00Z</dcterms:created>
  <dcterms:modified xsi:type="dcterms:W3CDTF">2024-02-09T16:11:00Z</dcterms:modified>
</cp:coreProperties>
</file>