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67A24" w14:textId="77777777" w:rsidR="00CA3C7F" w:rsidRPr="00C7122C" w:rsidRDefault="00CA3C7F" w:rsidP="00B72AC8">
      <w:pPr>
        <w:pStyle w:val="Title0"/>
        <w:jc w:val="right"/>
        <w:rPr>
          <w:rFonts w:ascii="Arial" w:hAnsi="Arial"/>
          <w:sz w:val="20"/>
          <w:szCs w:val="20"/>
        </w:rPr>
      </w:pPr>
    </w:p>
    <w:p w14:paraId="21188681" w14:textId="77777777" w:rsidR="00CA3C7F" w:rsidRPr="00C7122C" w:rsidRDefault="00CA3C7F" w:rsidP="00B72AC8">
      <w:pPr>
        <w:rPr>
          <w:rFonts w:cs="Arial"/>
          <w:sz w:val="20"/>
          <w:szCs w:val="20"/>
        </w:rPr>
      </w:pPr>
    </w:p>
    <w:p w14:paraId="44ECCB05" w14:textId="77777777" w:rsidR="00CA3C7F" w:rsidRPr="00C7122C" w:rsidRDefault="00CA3C7F" w:rsidP="00B72AC8">
      <w:pPr>
        <w:rPr>
          <w:rFonts w:cs="Arial"/>
          <w:sz w:val="20"/>
          <w:szCs w:val="20"/>
        </w:rPr>
      </w:pPr>
    </w:p>
    <w:p w14:paraId="4B355595" w14:textId="77777777" w:rsidR="00CA3C7F" w:rsidRPr="00C7122C" w:rsidRDefault="00CA3C7F" w:rsidP="00B72AC8">
      <w:pPr>
        <w:rPr>
          <w:rFonts w:cs="Arial"/>
          <w:sz w:val="20"/>
          <w:szCs w:val="20"/>
        </w:rPr>
      </w:pPr>
    </w:p>
    <w:p w14:paraId="58211C01" w14:textId="77777777" w:rsidR="00CA3C7F" w:rsidRPr="00C7122C" w:rsidRDefault="00CA3C7F" w:rsidP="00B72AC8">
      <w:pPr>
        <w:rPr>
          <w:rFonts w:cs="Arial"/>
          <w:sz w:val="20"/>
          <w:szCs w:val="20"/>
        </w:rPr>
      </w:pPr>
    </w:p>
    <w:p w14:paraId="093C3B44" w14:textId="77777777" w:rsidR="00CA3C7F" w:rsidRPr="00C7122C" w:rsidRDefault="00CA3C7F" w:rsidP="00B72AC8">
      <w:pPr>
        <w:pStyle w:val="Title0"/>
        <w:jc w:val="both"/>
        <w:rPr>
          <w:rFonts w:ascii="Arial" w:hAnsi="Arial"/>
          <w:sz w:val="20"/>
          <w:szCs w:val="20"/>
        </w:rPr>
      </w:pPr>
    </w:p>
    <w:p w14:paraId="66BA5E91" w14:textId="77777777" w:rsidR="00CA3C7F" w:rsidRPr="00C7122C" w:rsidRDefault="00CA3C7F" w:rsidP="00B72AC8">
      <w:pPr>
        <w:rPr>
          <w:sz w:val="20"/>
          <w:szCs w:val="20"/>
        </w:rPr>
      </w:pPr>
    </w:p>
    <w:p w14:paraId="16CAC9BA" w14:textId="77777777" w:rsidR="00CA3C7F" w:rsidRPr="00C7122C" w:rsidRDefault="00CA3C7F" w:rsidP="00B72AC8">
      <w:pPr>
        <w:rPr>
          <w:sz w:val="20"/>
          <w:szCs w:val="20"/>
        </w:rPr>
      </w:pPr>
    </w:p>
    <w:p w14:paraId="7CA9B15E" w14:textId="77777777" w:rsidR="00CA3C7F" w:rsidRPr="00C7122C" w:rsidRDefault="00CA3C7F" w:rsidP="00B72AC8">
      <w:pPr>
        <w:rPr>
          <w:sz w:val="20"/>
          <w:szCs w:val="20"/>
        </w:rPr>
      </w:pPr>
    </w:p>
    <w:p w14:paraId="15066A52" w14:textId="77777777" w:rsidR="00CA3C7F" w:rsidRPr="00C7122C" w:rsidRDefault="00CA3C7F" w:rsidP="00B72AC8">
      <w:pPr>
        <w:rPr>
          <w:sz w:val="20"/>
          <w:szCs w:val="20"/>
        </w:rPr>
      </w:pPr>
    </w:p>
    <w:p w14:paraId="32299957" w14:textId="77777777" w:rsidR="00CA3C7F" w:rsidRPr="00C7122C" w:rsidRDefault="00CA3C7F" w:rsidP="00B72AC8">
      <w:pPr>
        <w:rPr>
          <w:sz w:val="20"/>
          <w:szCs w:val="20"/>
        </w:rPr>
      </w:pPr>
    </w:p>
    <w:p w14:paraId="00EC7860" w14:textId="77777777" w:rsidR="00CA3C7F" w:rsidRPr="00C7122C" w:rsidRDefault="00CA3C7F" w:rsidP="00B72AC8">
      <w:pPr>
        <w:pStyle w:val="Body1"/>
        <w:rPr>
          <w:b/>
          <w:sz w:val="20"/>
          <w:szCs w:val="20"/>
        </w:rPr>
      </w:pPr>
      <w:r w:rsidRPr="00C7122C">
        <w:rPr>
          <w:b/>
          <w:sz w:val="20"/>
          <w:szCs w:val="20"/>
        </w:rPr>
        <w:t xml:space="preserve">Dated: </w:t>
      </w:r>
    </w:p>
    <w:p w14:paraId="0AD29F38" w14:textId="77777777" w:rsidR="00CA3C7F" w:rsidRPr="00C7122C" w:rsidRDefault="00AE03DD" w:rsidP="00B72AC8">
      <w:pPr>
        <w:pStyle w:val="Body1"/>
        <w:rPr>
          <w:sz w:val="20"/>
          <w:szCs w:val="20"/>
        </w:rPr>
      </w:pPr>
      <w:r w:rsidRPr="00AE03DD">
        <w:rPr>
          <w:noProof/>
          <w:sz w:val="20"/>
          <w:szCs w:val="20"/>
          <w14:ligatures w14:val="none"/>
        </w:rPr>
        <w:pict w14:anchorId="21B0FA2C">
          <v:rect id="_x0000_i1026" alt="" style="width:451.3pt;height:.05pt;mso-width-percent:0;mso-height-percent:0;mso-position-horizontal:absolute;mso-width-percent:0;mso-height-percent:0" o:hralign="center" o:hrstd="t" o:hr="t" fillcolor="#a0a0a0" stroked="f"/>
        </w:pict>
      </w:r>
    </w:p>
    <w:p w14:paraId="4D32DE7E" w14:textId="77777777" w:rsidR="00CA3C7F" w:rsidRPr="00C7122C" w:rsidRDefault="00CA3C7F" w:rsidP="00B72AC8">
      <w:pPr>
        <w:pStyle w:val="Body1"/>
        <w:rPr>
          <w:sz w:val="20"/>
          <w:szCs w:val="20"/>
        </w:rPr>
      </w:pPr>
    </w:p>
    <w:p w14:paraId="338E6120" w14:textId="77777777" w:rsidR="00CA3C7F" w:rsidRPr="00C7122C" w:rsidRDefault="00CA3C7F" w:rsidP="00B72AC8">
      <w:pPr>
        <w:pStyle w:val="Body1"/>
        <w:rPr>
          <w:sz w:val="20"/>
          <w:szCs w:val="20"/>
        </w:rPr>
      </w:pPr>
    </w:p>
    <w:p w14:paraId="7830E695" w14:textId="77777777" w:rsidR="00B911C6" w:rsidRPr="00C7122C" w:rsidRDefault="00B911C6" w:rsidP="00CA3C7F">
      <w:pPr>
        <w:pStyle w:val="Body1"/>
        <w:rPr>
          <w:rFonts w:asciiTheme="minorHAnsi" w:eastAsiaTheme="minorHAnsi" w:hAnsiTheme="minorHAnsi"/>
          <w:b/>
          <w:sz w:val="20"/>
          <w:szCs w:val="20"/>
          <w:lang w:eastAsia="en-US"/>
        </w:rPr>
      </w:pPr>
      <w:r w:rsidRPr="00C7122C">
        <w:rPr>
          <w:rFonts w:asciiTheme="minorHAnsi" w:eastAsiaTheme="minorHAnsi" w:hAnsiTheme="minorHAnsi"/>
          <w:b/>
          <w:sz w:val="20"/>
          <w:szCs w:val="20"/>
          <w:lang w:eastAsia="en-US"/>
        </w:rPr>
        <w:t>IN HOME MEDIA LTD</w:t>
      </w:r>
    </w:p>
    <w:p w14:paraId="070AD9CB" w14:textId="77777777" w:rsidR="00CA3C7F" w:rsidRPr="00C7122C" w:rsidRDefault="00CA3C7F" w:rsidP="00CA3C7F">
      <w:pPr>
        <w:pStyle w:val="Body1"/>
        <w:rPr>
          <w:rFonts w:asciiTheme="minorHAnsi" w:eastAsiaTheme="minorHAnsi" w:hAnsiTheme="minorHAnsi"/>
          <w:b/>
          <w:sz w:val="20"/>
          <w:szCs w:val="20"/>
          <w:lang w:eastAsia="en-US"/>
        </w:rPr>
      </w:pPr>
      <w:r w:rsidRPr="00C7122C">
        <w:rPr>
          <w:rFonts w:asciiTheme="minorHAnsi" w:eastAsiaTheme="minorHAnsi" w:hAnsiTheme="minorHAnsi"/>
          <w:b/>
          <w:sz w:val="20"/>
          <w:szCs w:val="20"/>
          <w:lang w:eastAsia="en-US"/>
        </w:rPr>
        <w:t xml:space="preserve">Company No </w:t>
      </w:r>
      <w:r w:rsidR="00B911C6" w:rsidRPr="00C7122C">
        <w:rPr>
          <w:rFonts w:asciiTheme="minorHAnsi" w:eastAsiaTheme="minorHAnsi" w:hAnsiTheme="minorHAnsi"/>
          <w:b/>
          <w:sz w:val="20"/>
          <w:szCs w:val="20"/>
          <w:lang w:eastAsia="en-US"/>
        </w:rPr>
        <w:t>14606919</w:t>
      </w:r>
    </w:p>
    <w:p w14:paraId="4651F75E" w14:textId="77777777" w:rsidR="00CA3C7F" w:rsidRPr="00C7122C" w:rsidRDefault="00CA3C7F" w:rsidP="00B72AC8">
      <w:pPr>
        <w:rPr>
          <w:rFonts w:cs="Arial"/>
          <w:sz w:val="20"/>
          <w:szCs w:val="20"/>
        </w:rPr>
      </w:pPr>
    </w:p>
    <w:p w14:paraId="518BBAF2" w14:textId="77777777" w:rsidR="00CA3C7F" w:rsidRPr="00C7122C" w:rsidRDefault="00AE03DD" w:rsidP="00B72AC8">
      <w:pPr>
        <w:rPr>
          <w:rFonts w:cs="Arial"/>
          <w:sz w:val="20"/>
          <w:szCs w:val="20"/>
        </w:rPr>
      </w:pPr>
      <w:r w:rsidRPr="00AE03DD">
        <w:rPr>
          <w:rFonts w:cs="Arial"/>
          <w:noProof/>
          <w:sz w:val="20"/>
          <w:szCs w:val="20"/>
          <w14:ligatures w14:val="none"/>
        </w:rPr>
        <w:pict w14:anchorId="738949DA">
          <v:rect id="_x0000_i1025" alt="" style="width:451.3pt;height:.05pt;mso-width-percent:0;mso-height-percent:0;mso-width-percent:0;mso-height-percent:0" o:hralign="center" o:hrstd="t" o:hr="t" fillcolor="#a0a0a0" stroked="f"/>
        </w:pict>
      </w:r>
    </w:p>
    <w:p w14:paraId="788FC208" w14:textId="77777777" w:rsidR="00CA3C7F" w:rsidRPr="00C7122C" w:rsidRDefault="00CA3C7F" w:rsidP="00B72AC8">
      <w:pPr>
        <w:pStyle w:val="Body1"/>
        <w:spacing w:after="0"/>
        <w:rPr>
          <w:sz w:val="20"/>
          <w:szCs w:val="20"/>
        </w:rPr>
      </w:pPr>
    </w:p>
    <w:p w14:paraId="3E13B13B" w14:textId="77777777" w:rsidR="00CA3C7F" w:rsidRPr="00C7122C" w:rsidRDefault="00CA3C7F" w:rsidP="00CA3C7F">
      <w:pPr>
        <w:pStyle w:val="Body1"/>
        <w:rPr>
          <w:rFonts w:asciiTheme="minorHAnsi" w:eastAsiaTheme="minorHAnsi" w:hAnsiTheme="minorHAnsi"/>
          <w:b/>
          <w:sz w:val="20"/>
          <w:szCs w:val="20"/>
          <w:lang w:eastAsia="en-US"/>
        </w:rPr>
      </w:pPr>
      <w:r w:rsidRPr="00C7122C">
        <w:rPr>
          <w:rFonts w:asciiTheme="minorHAnsi" w:eastAsiaTheme="minorHAnsi" w:hAnsiTheme="minorHAnsi"/>
          <w:b/>
          <w:sz w:val="20"/>
          <w:szCs w:val="20"/>
          <w:lang w:eastAsia="en-US"/>
        </w:rPr>
        <w:t>THE COMPANIES ACT 2006</w:t>
      </w:r>
    </w:p>
    <w:p w14:paraId="1482F5BC" w14:textId="77777777" w:rsidR="00CA3C7F" w:rsidRPr="00C7122C" w:rsidRDefault="00CA3C7F" w:rsidP="00CA3C7F">
      <w:pPr>
        <w:pStyle w:val="Body1"/>
        <w:rPr>
          <w:rFonts w:asciiTheme="minorHAnsi" w:eastAsiaTheme="minorHAnsi" w:hAnsiTheme="minorHAnsi"/>
          <w:b/>
          <w:sz w:val="20"/>
          <w:szCs w:val="20"/>
          <w:lang w:eastAsia="en-US"/>
        </w:rPr>
      </w:pPr>
      <w:r w:rsidRPr="00C7122C">
        <w:rPr>
          <w:rFonts w:asciiTheme="minorHAnsi" w:eastAsiaTheme="minorHAnsi" w:hAnsiTheme="minorHAnsi"/>
          <w:b/>
          <w:sz w:val="20"/>
          <w:szCs w:val="20"/>
          <w:lang w:eastAsia="en-US"/>
        </w:rPr>
        <w:t xml:space="preserve">PRIVATE COMPANY LIMITED BY SHARES </w:t>
      </w:r>
    </w:p>
    <w:p w14:paraId="7F19E3D7" w14:textId="77777777" w:rsidR="00CA3C7F" w:rsidRPr="00C7122C" w:rsidRDefault="00CA3C7F" w:rsidP="00CA3C7F">
      <w:pPr>
        <w:pStyle w:val="Body1"/>
        <w:rPr>
          <w:sz w:val="20"/>
          <w:szCs w:val="20"/>
        </w:rPr>
      </w:pPr>
      <w:r w:rsidRPr="00C7122C">
        <w:rPr>
          <w:rFonts w:asciiTheme="minorHAnsi" w:eastAsiaTheme="minorHAnsi" w:hAnsiTheme="minorHAnsi"/>
          <w:b/>
          <w:sz w:val="20"/>
          <w:szCs w:val="20"/>
          <w:lang w:eastAsia="en-US"/>
        </w:rPr>
        <w:t>ARTICLES OF ASSOCIATION</w:t>
      </w:r>
    </w:p>
    <w:p w14:paraId="1F46B84D" w14:textId="77777777" w:rsidR="00CA3C7F" w:rsidRPr="00C7122C" w:rsidRDefault="00CA3C7F" w:rsidP="00B72AC8">
      <w:pPr>
        <w:pStyle w:val="Body1"/>
        <w:rPr>
          <w:sz w:val="20"/>
          <w:szCs w:val="20"/>
        </w:rPr>
      </w:pPr>
    </w:p>
    <w:p w14:paraId="77192BED" w14:textId="0CEEAA4C" w:rsidR="00CA3C7F" w:rsidRPr="00C7122C" w:rsidRDefault="002976F2" w:rsidP="00B72AC8">
      <w:pPr>
        <w:pStyle w:val="Body1"/>
        <w:rPr>
          <w:sz w:val="20"/>
          <w:szCs w:val="20"/>
        </w:rPr>
      </w:pPr>
      <w:r>
        <w:rPr>
          <w:sz w:val="20"/>
          <w:szCs w:val="20"/>
        </w:rPr>
        <w:t xml:space="preserve">Draft: </w:t>
      </w:r>
      <w:r w:rsidR="00C67B01">
        <w:rPr>
          <w:sz w:val="20"/>
          <w:szCs w:val="20"/>
        </w:rPr>
        <w:t>25</w:t>
      </w:r>
      <w:r>
        <w:rPr>
          <w:sz w:val="20"/>
          <w:szCs w:val="20"/>
        </w:rPr>
        <w:t xml:space="preserve"> September 2023</w:t>
      </w:r>
    </w:p>
    <w:p w14:paraId="1BB707A7" w14:textId="77777777" w:rsidR="00CA3C7F" w:rsidRPr="00C7122C" w:rsidRDefault="00CA3C7F">
      <w:pPr>
        <w:spacing w:after="200" w:line="24" w:lineRule="auto"/>
        <w:rPr>
          <w:rFonts w:ascii="Arial" w:eastAsia="Arial Unicode MS" w:hAnsi="Arial" w:cs="Arial"/>
          <w:b/>
          <w:color w:val="000000"/>
          <w:sz w:val="20"/>
          <w:szCs w:val="20"/>
        </w:rPr>
      </w:pPr>
      <w:r w:rsidRPr="00C7122C">
        <w:rPr>
          <w:rFonts w:eastAsia="Arial Unicode MS"/>
          <w:color w:val="000000"/>
          <w:sz w:val="20"/>
          <w:szCs w:val="20"/>
        </w:rPr>
        <w:br w:type="page"/>
      </w:r>
    </w:p>
    <w:p w14:paraId="57AD625D" w14:textId="77777777" w:rsidR="00000000" w:rsidRPr="00C7122C" w:rsidRDefault="00000000" w:rsidP="00EB0BF6">
      <w:pPr>
        <w:rPr>
          <w:sz w:val="20"/>
          <w:szCs w:val="20"/>
        </w:rPr>
        <w:sectPr w:rsidR="00CB55CF" w:rsidRPr="00C7122C">
          <w:headerReference w:type="default" r:id="rId11"/>
          <w:footerReference w:type="default" r:id="rId12"/>
          <w:pgSz w:w="12240" w:h="15840"/>
          <w:pgMar w:top="1440" w:right="1440" w:bottom="1440" w:left="1440" w:header="720" w:footer="720" w:gutter="0"/>
          <w:pgNumType w:start="1"/>
          <w:cols w:space="720"/>
        </w:sectPr>
      </w:pPr>
    </w:p>
    <w:p w14:paraId="31A37BAD" w14:textId="77777777" w:rsidR="00000000" w:rsidRPr="00C7122C" w:rsidRDefault="00E94771" w:rsidP="00E94771">
      <w:pPr>
        <w:pStyle w:val="Subtitle"/>
        <w:rPr>
          <w:sz w:val="20"/>
          <w:szCs w:val="20"/>
        </w:rPr>
      </w:pPr>
      <w:r w:rsidRPr="00C7122C">
        <w:rPr>
          <w:sz w:val="20"/>
          <w:szCs w:val="20"/>
        </w:rPr>
        <w:lastRenderedPageBreak/>
        <w:t>Contents</w:t>
      </w:r>
    </w:p>
    <w:p w14:paraId="67CC7948" w14:textId="77777777" w:rsidR="0017407B" w:rsidRDefault="000077D6">
      <w:pPr>
        <w:pStyle w:val="TOC1"/>
        <w:tabs>
          <w:tab w:val="left" w:pos="440"/>
          <w:tab w:val="right" w:leader="dot" w:pos="9350"/>
        </w:tabs>
        <w:rPr>
          <w:rFonts w:asciiTheme="minorHAnsi" w:eastAsiaTheme="minorEastAsia" w:hAnsiTheme="minorHAnsi" w:cstheme="minorBidi"/>
          <w:noProof/>
          <w:sz w:val="22"/>
          <w:szCs w:val="22"/>
          <w:lang w:eastAsia="en-GB"/>
        </w:rPr>
      </w:pPr>
      <w:r w:rsidRPr="00C7122C">
        <w:rPr>
          <w:kern w:val="0"/>
        </w:rPr>
        <w:fldChar w:fldCharType="begin"/>
      </w:r>
      <w:r w:rsidRPr="00C7122C">
        <w:instrText xml:space="preserve"> TOC \h \z \t "* Level 1,1,*Commercial .Schedule Title,1" </w:instrText>
      </w:r>
      <w:r w:rsidRPr="00C7122C">
        <w:rPr>
          <w:kern w:val="0"/>
        </w:rPr>
        <w:fldChar w:fldCharType="separate"/>
      </w:r>
      <w:hyperlink w:anchor="_Toc144907409" w:history="1">
        <w:r w:rsidR="0017407B" w:rsidRPr="00F17719">
          <w:rPr>
            <w:rStyle w:val="Hyperlink"/>
            <w:rFonts w:eastAsiaTheme="majorEastAsia"/>
            <w:noProof/>
          </w:rPr>
          <w:t>1</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Interpretation</w:t>
        </w:r>
        <w:r w:rsidR="0017407B">
          <w:rPr>
            <w:noProof/>
            <w:webHidden/>
          </w:rPr>
          <w:tab/>
        </w:r>
        <w:r w:rsidR="0017407B">
          <w:rPr>
            <w:noProof/>
            <w:webHidden/>
          </w:rPr>
          <w:fldChar w:fldCharType="begin"/>
        </w:r>
        <w:r w:rsidR="0017407B">
          <w:rPr>
            <w:noProof/>
            <w:webHidden/>
          </w:rPr>
          <w:instrText xml:space="preserve"> PAGEREF _Toc144907409 \h </w:instrText>
        </w:r>
        <w:r w:rsidR="0017407B">
          <w:rPr>
            <w:noProof/>
            <w:webHidden/>
          </w:rPr>
        </w:r>
        <w:r w:rsidR="0017407B">
          <w:rPr>
            <w:noProof/>
            <w:webHidden/>
          </w:rPr>
          <w:fldChar w:fldCharType="separate"/>
        </w:r>
        <w:r w:rsidR="0017407B">
          <w:rPr>
            <w:noProof/>
            <w:webHidden/>
          </w:rPr>
          <w:t>1</w:t>
        </w:r>
        <w:r w:rsidR="0017407B">
          <w:rPr>
            <w:noProof/>
            <w:webHidden/>
          </w:rPr>
          <w:fldChar w:fldCharType="end"/>
        </w:r>
      </w:hyperlink>
    </w:p>
    <w:p w14:paraId="2A55AC67" w14:textId="77777777" w:rsidR="0017407B" w:rsidRDefault="00000000">
      <w:pPr>
        <w:pStyle w:val="TOC1"/>
        <w:tabs>
          <w:tab w:val="left" w:pos="440"/>
          <w:tab w:val="right" w:leader="dot" w:pos="9350"/>
        </w:tabs>
        <w:rPr>
          <w:rFonts w:asciiTheme="minorHAnsi" w:eastAsiaTheme="minorEastAsia" w:hAnsiTheme="minorHAnsi" w:cstheme="minorBidi"/>
          <w:noProof/>
          <w:sz w:val="22"/>
          <w:szCs w:val="22"/>
          <w:lang w:eastAsia="en-GB"/>
        </w:rPr>
      </w:pPr>
      <w:hyperlink w:anchor="_Toc144907410" w:history="1">
        <w:r w:rsidR="0017407B" w:rsidRPr="00F17719">
          <w:rPr>
            <w:rStyle w:val="Hyperlink"/>
            <w:rFonts w:eastAsiaTheme="majorEastAsia"/>
            <w:noProof/>
          </w:rPr>
          <w:t>2</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Adoption of the Model Articles</w:t>
        </w:r>
        <w:r w:rsidR="0017407B">
          <w:rPr>
            <w:noProof/>
            <w:webHidden/>
          </w:rPr>
          <w:tab/>
        </w:r>
        <w:r w:rsidR="0017407B">
          <w:rPr>
            <w:noProof/>
            <w:webHidden/>
          </w:rPr>
          <w:fldChar w:fldCharType="begin"/>
        </w:r>
        <w:r w:rsidR="0017407B">
          <w:rPr>
            <w:noProof/>
            <w:webHidden/>
          </w:rPr>
          <w:instrText xml:space="preserve"> PAGEREF _Toc144907410 \h </w:instrText>
        </w:r>
        <w:r w:rsidR="0017407B">
          <w:rPr>
            <w:noProof/>
            <w:webHidden/>
          </w:rPr>
        </w:r>
        <w:r w:rsidR="0017407B">
          <w:rPr>
            <w:noProof/>
            <w:webHidden/>
          </w:rPr>
          <w:fldChar w:fldCharType="separate"/>
        </w:r>
        <w:r w:rsidR="0017407B">
          <w:rPr>
            <w:noProof/>
            <w:webHidden/>
          </w:rPr>
          <w:t>4</w:t>
        </w:r>
        <w:r w:rsidR="0017407B">
          <w:rPr>
            <w:noProof/>
            <w:webHidden/>
          </w:rPr>
          <w:fldChar w:fldCharType="end"/>
        </w:r>
      </w:hyperlink>
    </w:p>
    <w:p w14:paraId="33C3BED0" w14:textId="77777777" w:rsidR="0017407B" w:rsidRDefault="00000000">
      <w:pPr>
        <w:pStyle w:val="TOC1"/>
        <w:tabs>
          <w:tab w:val="left" w:pos="440"/>
          <w:tab w:val="right" w:leader="dot" w:pos="9350"/>
        </w:tabs>
        <w:rPr>
          <w:rFonts w:asciiTheme="minorHAnsi" w:eastAsiaTheme="minorEastAsia" w:hAnsiTheme="minorHAnsi" w:cstheme="minorBidi"/>
          <w:noProof/>
          <w:sz w:val="22"/>
          <w:szCs w:val="22"/>
          <w:lang w:eastAsia="en-GB"/>
        </w:rPr>
      </w:pPr>
      <w:hyperlink w:anchor="_Toc144907411" w:history="1">
        <w:r w:rsidR="0017407B" w:rsidRPr="00F17719">
          <w:rPr>
            <w:rStyle w:val="Hyperlink"/>
            <w:rFonts w:eastAsiaTheme="majorEastAsia"/>
            <w:noProof/>
          </w:rPr>
          <w:t>3</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Number of directors</w:t>
        </w:r>
        <w:r w:rsidR="0017407B">
          <w:rPr>
            <w:noProof/>
            <w:webHidden/>
          </w:rPr>
          <w:tab/>
        </w:r>
        <w:r w:rsidR="0017407B">
          <w:rPr>
            <w:noProof/>
            <w:webHidden/>
          </w:rPr>
          <w:fldChar w:fldCharType="begin"/>
        </w:r>
        <w:r w:rsidR="0017407B">
          <w:rPr>
            <w:noProof/>
            <w:webHidden/>
          </w:rPr>
          <w:instrText xml:space="preserve"> PAGEREF _Toc144907411 \h </w:instrText>
        </w:r>
        <w:r w:rsidR="0017407B">
          <w:rPr>
            <w:noProof/>
            <w:webHidden/>
          </w:rPr>
        </w:r>
        <w:r w:rsidR="0017407B">
          <w:rPr>
            <w:noProof/>
            <w:webHidden/>
          </w:rPr>
          <w:fldChar w:fldCharType="separate"/>
        </w:r>
        <w:r w:rsidR="0017407B">
          <w:rPr>
            <w:noProof/>
            <w:webHidden/>
          </w:rPr>
          <w:t>4</w:t>
        </w:r>
        <w:r w:rsidR="0017407B">
          <w:rPr>
            <w:noProof/>
            <w:webHidden/>
          </w:rPr>
          <w:fldChar w:fldCharType="end"/>
        </w:r>
      </w:hyperlink>
    </w:p>
    <w:p w14:paraId="777C11C4" w14:textId="77777777" w:rsidR="0017407B" w:rsidRDefault="00000000">
      <w:pPr>
        <w:pStyle w:val="TOC1"/>
        <w:tabs>
          <w:tab w:val="left" w:pos="440"/>
          <w:tab w:val="right" w:leader="dot" w:pos="9350"/>
        </w:tabs>
        <w:rPr>
          <w:rFonts w:asciiTheme="minorHAnsi" w:eastAsiaTheme="minorEastAsia" w:hAnsiTheme="minorHAnsi" w:cstheme="minorBidi"/>
          <w:noProof/>
          <w:sz w:val="22"/>
          <w:szCs w:val="22"/>
          <w:lang w:eastAsia="en-GB"/>
        </w:rPr>
      </w:pPr>
      <w:hyperlink w:anchor="_Toc144907412" w:history="1">
        <w:r w:rsidR="0017407B" w:rsidRPr="00F17719">
          <w:rPr>
            <w:rStyle w:val="Hyperlink"/>
            <w:rFonts w:eastAsiaTheme="majorEastAsia"/>
            <w:noProof/>
          </w:rPr>
          <w:t>4</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Proceedings of directors</w:t>
        </w:r>
        <w:r w:rsidR="0017407B">
          <w:rPr>
            <w:noProof/>
            <w:webHidden/>
          </w:rPr>
          <w:tab/>
        </w:r>
        <w:r w:rsidR="0017407B">
          <w:rPr>
            <w:noProof/>
            <w:webHidden/>
          </w:rPr>
          <w:fldChar w:fldCharType="begin"/>
        </w:r>
        <w:r w:rsidR="0017407B">
          <w:rPr>
            <w:noProof/>
            <w:webHidden/>
          </w:rPr>
          <w:instrText xml:space="preserve"> PAGEREF _Toc144907412 \h </w:instrText>
        </w:r>
        <w:r w:rsidR="0017407B">
          <w:rPr>
            <w:noProof/>
            <w:webHidden/>
          </w:rPr>
        </w:r>
        <w:r w:rsidR="0017407B">
          <w:rPr>
            <w:noProof/>
            <w:webHidden/>
          </w:rPr>
          <w:fldChar w:fldCharType="separate"/>
        </w:r>
        <w:r w:rsidR="0017407B">
          <w:rPr>
            <w:noProof/>
            <w:webHidden/>
          </w:rPr>
          <w:t>4</w:t>
        </w:r>
        <w:r w:rsidR="0017407B">
          <w:rPr>
            <w:noProof/>
            <w:webHidden/>
          </w:rPr>
          <w:fldChar w:fldCharType="end"/>
        </w:r>
      </w:hyperlink>
    </w:p>
    <w:p w14:paraId="6DC29518" w14:textId="77777777" w:rsidR="0017407B" w:rsidRDefault="00000000">
      <w:pPr>
        <w:pStyle w:val="TOC1"/>
        <w:tabs>
          <w:tab w:val="left" w:pos="440"/>
          <w:tab w:val="right" w:leader="dot" w:pos="9350"/>
        </w:tabs>
        <w:rPr>
          <w:rFonts w:asciiTheme="minorHAnsi" w:eastAsiaTheme="minorEastAsia" w:hAnsiTheme="minorHAnsi" w:cstheme="minorBidi"/>
          <w:noProof/>
          <w:sz w:val="22"/>
          <w:szCs w:val="22"/>
          <w:lang w:eastAsia="en-GB"/>
        </w:rPr>
      </w:pPr>
      <w:hyperlink w:anchor="_Toc144907413" w:history="1">
        <w:r w:rsidR="0017407B" w:rsidRPr="00F17719">
          <w:rPr>
            <w:rStyle w:val="Hyperlink"/>
            <w:rFonts w:eastAsiaTheme="majorEastAsia"/>
            <w:noProof/>
          </w:rPr>
          <w:t>5</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Appointment and removal of directors</w:t>
        </w:r>
        <w:r w:rsidR="0017407B">
          <w:rPr>
            <w:noProof/>
            <w:webHidden/>
          </w:rPr>
          <w:tab/>
        </w:r>
        <w:r w:rsidR="0017407B">
          <w:rPr>
            <w:noProof/>
            <w:webHidden/>
          </w:rPr>
          <w:fldChar w:fldCharType="begin"/>
        </w:r>
        <w:r w:rsidR="0017407B">
          <w:rPr>
            <w:noProof/>
            <w:webHidden/>
          </w:rPr>
          <w:instrText xml:space="preserve"> PAGEREF _Toc144907413 \h </w:instrText>
        </w:r>
        <w:r w:rsidR="0017407B">
          <w:rPr>
            <w:noProof/>
            <w:webHidden/>
          </w:rPr>
        </w:r>
        <w:r w:rsidR="0017407B">
          <w:rPr>
            <w:noProof/>
            <w:webHidden/>
          </w:rPr>
          <w:fldChar w:fldCharType="separate"/>
        </w:r>
        <w:r w:rsidR="0017407B">
          <w:rPr>
            <w:noProof/>
            <w:webHidden/>
          </w:rPr>
          <w:t>5</w:t>
        </w:r>
        <w:r w:rsidR="0017407B">
          <w:rPr>
            <w:noProof/>
            <w:webHidden/>
          </w:rPr>
          <w:fldChar w:fldCharType="end"/>
        </w:r>
      </w:hyperlink>
    </w:p>
    <w:p w14:paraId="5CDEB486" w14:textId="77777777" w:rsidR="0017407B" w:rsidRDefault="00000000">
      <w:pPr>
        <w:pStyle w:val="TOC1"/>
        <w:tabs>
          <w:tab w:val="left" w:pos="440"/>
          <w:tab w:val="right" w:leader="dot" w:pos="9350"/>
        </w:tabs>
        <w:rPr>
          <w:rFonts w:asciiTheme="minorHAnsi" w:eastAsiaTheme="minorEastAsia" w:hAnsiTheme="minorHAnsi" w:cstheme="minorBidi"/>
          <w:noProof/>
          <w:sz w:val="22"/>
          <w:szCs w:val="22"/>
          <w:lang w:eastAsia="en-GB"/>
        </w:rPr>
      </w:pPr>
      <w:hyperlink w:anchor="_Toc144907414" w:history="1">
        <w:r w:rsidR="0017407B" w:rsidRPr="00F17719">
          <w:rPr>
            <w:rStyle w:val="Hyperlink"/>
            <w:rFonts w:eastAsiaTheme="majorEastAsia"/>
            <w:noProof/>
          </w:rPr>
          <w:t>6</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Transactions or other arrangements with the Company</w:t>
        </w:r>
        <w:r w:rsidR="0017407B">
          <w:rPr>
            <w:noProof/>
            <w:webHidden/>
          </w:rPr>
          <w:tab/>
        </w:r>
        <w:r w:rsidR="0017407B">
          <w:rPr>
            <w:noProof/>
            <w:webHidden/>
          </w:rPr>
          <w:fldChar w:fldCharType="begin"/>
        </w:r>
        <w:r w:rsidR="0017407B">
          <w:rPr>
            <w:noProof/>
            <w:webHidden/>
          </w:rPr>
          <w:instrText xml:space="preserve"> PAGEREF _Toc144907414 \h </w:instrText>
        </w:r>
        <w:r w:rsidR="0017407B">
          <w:rPr>
            <w:noProof/>
            <w:webHidden/>
          </w:rPr>
        </w:r>
        <w:r w:rsidR="0017407B">
          <w:rPr>
            <w:noProof/>
            <w:webHidden/>
          </w:rPr>
          <w:fldChar w:fldCharType="separate"/>
        </w:r>
        <w:r w:rsidR="0017407B">
          <w:rPr>
            <w:noProof/>
            <w:webHidden/>
          </w:rPr>
          <w:t>5</w:t>
        </w:r>
        <w:r w:rsidR="0017407B">
          <w:rPr>
            <w:noProof/>
            <w:webHidden/>
          </w:rPr>
          <w:fldChar w:fldCharType="end"/>
        </w:r>
      </w:hyperlink>
    </w:p>
    <w:p w14:paraId="66C06DCA" w14:textId="77777777" w:rsidR="0017407B" w:rsidRDefault="00000000">
      <w:pPr>
        <w:pStyle w:val="TOC1"/>
        <w:tabs>
          <w:tab w:val="left" w:pos="440"/>
          <w:tab w:val="right" w:leader="dot" w:pos="9350"/>
        </w:tabs>
        <w:rPr>
          <w:rFonts w:asciiTheme="minorHAnsi" w:eastAsiaTheme="minorEastAsia" w:hAnsiTheme="minorHAnsi" w:cstheme="minorBidi"/>
          <w:noProof/>
          <w:sz w:val="22"/>
          <w:szCs w:val="22"/>
          <w:lang w:eastAsia="en-GB"/>
        </w:rPr>
      </w:pPr>
      <w:hyperlink w:anchor="_Toc144907415" w:history="1">
        <w:r w:rsidR="0017407B" w:rsidRPr="00F17719">
          <w:rPr>
            <w:rStyle w:val="Hyperlink"/>
            <w:rFonts w:eastAsiaTheme="majorEastAsia"/>
            <w:noProof/>
          </w:rPr>
          <w:t>7</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Directors' conflicts</w:t>
        </w:r>
        <w:r w:rsidR="0017407B">
          <w:rPr>
            <w:noProof/>
            <w:webHidden/>
          </w:rPr>
          <w:tab/>
        </w:r>
        <w:r w:rsidR="0017407B">
          <w:rPr>
            <w:noProof/>
            <w:webHidden/>
          </w:rPr>
          <w:fldChar w:fldCharType="begin"/>
        </w:r>
        <w:r w:rsidR="0017407B">
          <w:rPr>
            <w:noProof/>
            <w:webHidden/>
          </w:rPr>
          <w:instrText xml:space="preserve"> PAGEREF _Toc144907415 \h </w:instrText>
        </w:r>
        <w:r w:rsidR="0017407B">
          <w:rPr>
            <w:noProof/>
            <w:webHidden/>
          </w:rPr>
        </w:r>
        <w:r w:rsidR="0017407B">
          <w:rPr>
            <w:noProof/>
            <w:webHidden/>
          </w:rPr>
          <w:fldChar w:fldCharType="separate"/>
        </w:r>
        <w:r w:rsidR="0017407B">
          <w:rPr>
            <w:noProof/>
            <w:webHidden/>
          </w:rPr>
          <w:t>6</w:t>
        </w:r>
        <w:r w:rsidR="0017407B">
          <w:rPr>
            <w:noProof/>
            <w:webHidden/>
          </w:rPr>
          <w:fldChar w:fldCharType="end"/>
        </w:r>
      </w:hyperlink>
    </w:p>
    <w:p w14:paraId="7F40DAE9" w14:textId="77777777" w:rsidR="0017407B" w:rsidRDefault="00000000">
      <w:pPr>
        <w:pStyle w:val="TOC1"/>
        <w:tabs>
          <w:tab w:val="left" w:pos="440"/>
          <w:tab w:val="right" w:leader="dot" w:pos="9350"/>
        </w:tabs>
        <w:rPr>
          <w:rFonts w:asciiTheme="minorHAnsi" w:eastAsiaTheme="minorEastAsia" w:hAnsiTheme="minorHAnsi" w:cstheme="minorBidi"/>
          <w:noProof/>
          <w:sz w:val="22"/>
          <w:szCs w:val="22"/>
          <w:lang w:eastAsia="en-GB"/>
        </w:rPr>
      </w:pPr>
      <w:hyperlink w:anchor="_Toc144907416" w:history="1">
        <w:r w:rsidR="0017407B" w:rsidRPr="00F17719">
          <w:rPr>
            <w:rStyle w:val="Hyperlink"/>
            <w:rFonts w:eastAsiaTheme="majorEastAsia"/>
            <w:bCs/>
            <w:noProof/>
          </w:rPr>
          <w:t>8</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Voting</w:t>
        </w:r>
        <w:r w:rsidR="0017407B">
          <w:rPr>
            <w:noProof/>
            <w:webHidden/>
          </w:rPr>
          <w:tab/>
        </w:r>
        <w:r w:rsidR="0017407B">
          <w:rPr>
            <w:noProof/>
            <w:webHidden/>
          </w:rPr>
          <w:fldChar w:fldCharType="begin"/>
        </w:r>
        <w:r w:rsidR="0017407B">
          <w:rPr>
            <w:noProof/>
            <w:webHidden/>
          </w:rPr>
          <w:instrText xml:space="preserve"> PAGEREF _Toc144907416 \h </w:instrText>
        </w:r>
        <w:r w:rsidR="0017407B">
          <w:rPr>
            <w:noProof/>
            <w:webHidden/>
          </w:rPr>
        </w:r>
        <w:r w:rsidR="0017407B">
          <w:rPr>
            <w:noProof/>
            <w:webHidden/>
          </w:rPr>
          <w:fldChar w:fldCharType="separate"/>
        </w:r>
        <w:r w:rsidR="0017407B">
          <w:rPr>
            <w:noProof/>
            <w:webHidden/>
          </w:rPr>
          <w:t>7</w:t>
        </w:r>
        <w:r w:rsidR="0017407B">
          <w:rPr>
            <w:noProof/>
            <w:webHidden/>
          </w:rPr>
          <w:fldChar w:fldCharType="end"/>
        </w:r>
      </w:hyperlink>
    </w:p>
    <w:p w14:paraId="761B187F" w14:textId="77777777" w:rsidR="0017407B" w:rsidRDefault="00000000">
      <w:pPr>
        <w:pStyle w:val="TOC1"/>
        <w:tabs>
          <w:tab w:val="left" w:pos="440"/>
          <w:tab w:val="right" w:leader="dot" w:pos="9350"/>
        </w:tabs>
        <w:rPr>
          <w:rFonts w:asciiTheme="minorHAnsi" w:eastAsiaTheme="minorEastAsia" w:hAnsiTheme="minorHAnsi" w:cstheme="minorBidi"/>
          <w:noProof/>
          <w:sz w:val="22"/>
          <w:szCs w:val="22"/>
          <w:lang w:eastAsia="en-GB"/>
        </w:rPr>
      </w:pPr>
      <w:hyperlink w:anchor="_Toc144907417" w:history="1">
        <w:r w:rsidR="0017407B" w:rsidRPr="00F17719">
          <w:rPr>
            <w:rStyle w:val="Hyperlink"/>
            <w:rFonts w:eastAsiaTheme="majorEastAsia"/>
            <w:noProof/>
          </w:rPr>
          <w:t>9</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Dividends</w:t>
        </w:r>
        <w:r w:rsidR="0017407B">
          <w:rPr>
            <w:noProof/>
            <w:webHidden/>
          </w:rPr>
          <w:tab/>
        </w:r>
        <w:r w:rsidR="0017407B">
          <w:rPr>
            <w:noProof/>
            <w:webHidden/>
          </w:rPr>
          <w:fldChar w:fldCharType="begin"/>
        </w:r>
        <w:r w:rsidR="0017407B">
          <w:rPr>
            <w:noProof/>
            <w:webHidden/>
          </w:rPr>
          <w:instrText xml:space="preserve"> PAGEREF _Toc144907417 \h </w:instrText>
        </w:r>
        <w:r w:rsidR="0017407B">
          <w:rPr>
            <w:noProof/>
            <w:webHidden/>
          </w:rPr>
        </w:r>
        <w:r w:rsidR="0017407B">
          <w:rPr>
            <w:noProof/>
            <w:webHidden/>
          </w:rPr>
          <w:fldChar w:fldCharType="separate"/>
        </w:r>
        <w:r w:rsidR="0017407B">
          <w:rPr>
            <w:noProof/>
            <w:webHidden/>
          </w:rPr>
          <w:t>7</w:t>
        </w:r>
        <w:r w:rsidR="0017407B">
          <w:rPr>
            <w:noProof/>
            <w:webHidden/>
          </w:rPr>
          <w:fldChar w:fldCharType="end"/>
        </w:r>
      </w:hyperlink>
    </w:p>
    <w:p w14:paraId="0887CA15" w14:textId="7DDDDBBE"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18" w:history="1">
        <w:r w:rsidR="0017407B" w:rsidRPr="00F17719">
          <w:rPr>
            <w:rStyle w:val="Hyperlink"/>
            <w:rFonts w:eastAsiaTheme="majorEastAsia"/>
            <w:noProof/>
          </w:rPr>
          <w:t>10</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Return of Capital</w:t>
        </w:r>
        <w:r w:rsidR="008579EC">
          <w:tab/>
        </w:r>
        <w:r w:rsidR="0017407B">
          <w:rPr>
            <w:noProof/>
            <w:webHidden/>
          </w:rPr>
          <w:fldChar w:fldCharType="begin"/>
        </w:r>
        <w:r w:rsidR="0017407B">
          <w:rPr>
            <w:noProof/>
            <w:webHidden/>
          </w:rPr>
          <w:instrText xml:space="preserve"> PAGEREF _Toc144907418 \h </w:instrText>
        </w:r>
        <w:r w:rsidR="0017407B">
          <w:rPr>
            <w:noProof/>
            <w:webHidden/>
          </w:rPr>
        </w:r>
        <w:r w:rsidR="0017407B">
          <w:rPr>
            <w:noProof/>
            <w:webHidden/>
          </w:rPr>
          <w:fldChar w:fldCharType="separate"/>
        </w:r>
        <w:r w:rsidR="0017407B">
          <w:rPr>
            <w:noProof/>
            <w:webHidden/>
          </w:rPr>
          <w:t>7</w:t>
        </w:r>
        <w:r w:rsidR="0017407B">
          <w:rPr>
            <w:noProof/>
            <w:webHidden/>
          </w:rPr>
          <w:fldChar w:fldCharType="end"/>
        </w:r>
      </w:hyperlink>
    </w:p>
    <w:p w14:paraId="5C604A8A" w14:textId="434407A0"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19" w:history="1">
        <w:r w:rsidR="0017407B" w:rsidRPr="00F17719">
          <w:rPr>
            <w:rStyle w:val="Hyperlink"/>
            <w:rFonts w:eastAsiaTheme="majorEastAsia"/>
            <w:noProof/>
          </w:rPr>
          <w:t>11</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Share Sale</w:t>
        </w:r>
        <w:r w:rsidR="008579EC">
          <w:tab/>
        </w:r>
        <w:r w:rsidR="0017407B">
          <w:rPr>
            <w:noProof/>
            <w:webHidden/>
          </w:rPr>
          <w:fldChar w:fldCharType="begin"/>
        </w:r>
        <w:r w:rsidR="0017407B">
          <w:rPr>
            <w:noProof/>
            <w:webHidden/>
          </w:rPr>
          <w:instrText xml:space="preserve"> PAGEREF _Toc144907419 \h </w:instrText>
        </w:r>
        <w:r w:rsidR="0017407B">
          <w:rPr>
            <w:noProof/>
            <w:webHidden/>
          </w:rPr>
        </w:r>
        <w:r w:rsidR="0017407B">
          <w:rPr>
            <w:noProof/>
            <w:webHidden/>
          </w:rPr>
          <w:fldChar w:fldCharType="separate"/>
        </w:r>
        <w:r w:rsidR="0017407B">
          <w:rPr>
            <w:noProof/>
            <w:webHidden/>
          </w:rPr>
          <w:t>7</w:t>
        </w:r>
        <w:r w:rsidR="0017407B">
          <w:rPr>
            <w:noProof/>
            <w:webHidden/>
          </w:rPr>
          <w:fldChar w:fldCharType="end"/>
        </w:r>
      </w:hyperlink>
    </w:p>
    <w:p w14:paraId="751871D6" w14:textId="77777777"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20" w:history="1">
        <w:r w:rsidR="0017407B" w:rsidRPr="00F17719">
          <w:rPr>
            <w:rStyle w:val="Hyperlink"/>
            <w:rFonts w:eastAsiaTheme="majorEastAsia"/>
            <w:noProof/>
          </w:rPr>
          <w:t>12</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Variation of class rights</w:t>
        </w:r>
        <w:r w:rsidR="0017407B">
          <w:rPr>
            <w:noProof/>
            <w:webHidden/>
          </w:rPr>
          <w:tab/>
        </w:r>
        <w:r w:rsidR="0017407B">
          <w:rPr>
            <w:noProof/>
            <w:webHidden/>
          </w:rPr>
          <w:fldChar w:fldCharType="begin"/>
        </w:r>
        <w:r w:rsidR="0017407B">
          <w:rPr>
            <w:noProof/>
            <w:webHidden/>
          </w:rPr>
          <w:instrText xml:space="preserve"> PAGEREF _Toc144907420 \h </w:instrText>
        </w:r>
        <w:r w:rsidR="0017407B">
          <w:rPr>
            <w:noProof/>
            <w:webHidden/>
          </w:rPr>
        </w:r>
        <w:r w:rsidR="0017407B">
          <w:rPr>
            <w:noProof/>
            <w:webHidden/>
          </w:rPr>
          <w:fldChar w:fldCharType="separate"/>
        </w:r>
        <w:r w:rsidR="0017407B">
          <w:rPr>
            <w:noProof/>
            <w:webHidden/>
          </w:rPr>
          <w:t>8</w:t>
        </w:r>
        <w:r w:rsidR="0017407B">
          <w:rPr>
            <w:noProof/>
            <w:webHidden/>
          </w:rPr>
          <w:fldChar w:fldCharType="end"/>
        </w:r>
      </w:hyperlink>
    </w:p>
    <w:p w14:paraId="45D4198D" w14:textId="23E56BDB"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21" w:history="1">
        <w:r w:rsidR="0017407B" w:rsidRPr="00F17719">
          <w:rPr>
            <w:rStyle w:val="Hyperlink"/>
            <w:rFonts w:eastAsiaTheme="majorEastAsia"/>
            <w:bCs/>
            <w:noProof/>
          </w:rPr>
          <w:t>13</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Pre-emption rights on the issue of further shares</w:t>
        </w:r>
        <w:r w:rsidR="008579EC">
          <w:tab/>
        </w:r>
        <w:r w:rsidR="0017407B">
          <w:rPr>
            <w:noProof/>
            <w:webHidden/>
          </w:rPr>
          <w:fldChar w:fldCharType="begin"/>
        </w:r>
        <w:r w:rsidR="0017407B">
          <w:rPr>
            <w:noProof/>
            <w:webHidden/>
          </w:rPr>
          <w:instrText xml:space="preserve"> PAGEREF _Toc144907421 \h </w:instrText>
        </w:r>
        <w:r w:rsidR="0017407B">
          <w:rPr>
            <w:noProof/>
            <w:webHidden/>
          </w:rPr>
        </w:r>
        <w:r w:rsidR="0017407B">
          <w:rPr>
            <w:noProof/>
            <w:webHidden/>
          </w:rPr>
          <w:fldChar w:fldCharType="separate"/>
        </w:r>
        <w:r w:rsidR="0017407B">
          <w:rPr>
            <w:noProof/>
            <w:webHidden/>
          </w:rPr>
          <w:t>8</w:t>
        </w:r>
        <w:r w:rsidR="0017407B">
          <w:rPr>
            <w:noProof/>
            <w:webHidden/>
          </w:rPr>
          <w:fldChar w:fldCharType="end"/>
        </w:r>
      </w:hyperlink>
    </w:p>
    <w:p w14:paraId="74E504F8" w14:textId="33676529"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22" w:history="1">
        <w:r w:rsidR="0017407B" w:rsidRPr="00F17719">
          <w:rPr>
            <w:rStyle w:val="Hyperlink"/>
            <w:rFonts w:eastAsiaTheme="majorEastAsia"/>
            <w:noProof/>
          </w:rPr>
          <w:t>14</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Transfers of shares: general</w:t>
        </w:r>
        <w:r w:rsidR="008579EC">
          <w:tab/>
        </w:r>
        <w:r w:rsidR="0017407B">
          <w:rPr>
            <w:noProof/>
            <w:webHidden/>
          </w:rPr>
          <w:fldChar w:fldCharType="begin"/>
        </w:r>
        <w:r w:rsidR="0017407B">
          <w:rPr>
            <w:noProof/>
            <w:webHidden/>
          </w:rPr>
          <w:instrText xml:space="preserve"> PAGEREF _Toc144907422 \h </w:instrText>
        </w:r>
        <w:r w:rsidR="0017407B">
          <w:rPr>
            <w:noProof/>
            <w:webHidden/>
          </w:rPr>
        </w:r>
        <w:r w:rsidR="0017407B">
          <w:rPr>
            <w:noProof/>
            <w:webHidden/>
          </w:rPr>
          <w:fldChar w:fldCharType="separate"/>
        </w:r>
        <w:r w:rsidR="0017407B">
          <w:rPr>
            <w:noProof/>
            <w:webHidden/>
          </w:rPr>
          <w:t>9</w:t>
        </w:r>
        <w:r w:rsidR="0017407B">
          <w:rPr>
            <w:noProof/>
            <w:webHidden/>
          </w:rPr>
          <w:fldChar w:fldCharType="end"/>
        </w:r>
      </w:hyperlink>
    </w:p>
    <w:p w14:paraId="10FC9AA1" w14:textId="20A09D01"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23" w:history="1">
        <w:r w:rsidR="0017407B" w:rsidRPr="00F17719">
          <w:rPr>
            <w:rStyle w:val="Hyperlink"/>
            <w:rFonts w:eastAsiaTheme="majorEastAsia"/>
            <w:noProof/>
          </w:rPr>
          <w:t>15</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Permitted transfers of shares</w:t>
        </w:r>
        <w:r w:rsidR="008579EC">
          <w:tab/>
        </w:r>
        <w:r w:rsidR="0017407B">
          <w:rPr>
            <w:noProof/>
            <w:webHidden/>
          </w:rPr>
          <w:fldChar w:fldCharType="begin"/>
        </w:r>
        <w:r w:rsidR="0017407B">
          <w:rPr>
            <w:noProof/>
            <w:webHidden/>
          </w:rPr>
          <w:instrText xml:space="preserve"> PAGEREF _Toc144907423 \h </w:instrText>
        </w:r>
        <w:r w:rsidR="0017407B">
          <w:rPr>
            <w:noProof/>
            <w:webHidden/>
          </w:rPr>
        </w:r>
        <w:r w:rsidR="0017407B">
          <w:rPr>
            <w:noProof/>
            <w:webHidden/>
          </w:rPr>
          <w:fldChar w:fldCharType="separate"/>
        </w:r>
        <w:r w:rsidR="0017407B">
          <w:rPr>
            <w:noProof/>
            <w:webHidden/>
          </w:rPr>
          <w:t>10</w:t>
        </w:r>
        <w:r w:rsidR="0017407B">
          <w:rPr>
            <w:noProof/>
            <w:webHidden/>
          </w:rPr>
          <w:fldChar w:fldCharType="end"/>
        </w:r>
      </w:hyperlink>
    </w:p>
    <w:p w14:paraId="45C4C19E" w14:textId="4CB3F14D"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24" w:history="1">
        <w:r w:rsidR="0017407B" w:rsidRPr="00F17719">
          <w:rPr>
            <w:rStyle w:val="Hyperlink"/>
            <w:rFonts w:eastAsiaTheme="majorEastAsia"/>
            <w:noProof/>
          </w:rPr>
          <w:t>16</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Pre-emption rights on the transfer of shares</w:t>
        </w:r>
        <w:r w:rsidR="008579EC">
          <w:tab/>
        </w:r>
        <w:r w:rsidR="0017407B">
          <w:rPr>
            <w:noProof/>
            <w:webHidden/>
          </w:rPr>
          <w:fldChar w:fldCharType="begin"/>
        </w:r>
        <w:r w:rsidR="0017407B">
          <w:rPr>
            <w:noProof/>
            <w:webHidden/>
          </w:rPr>
          <w:instrText xml:space="preserve"> PAGEREF _Toc144907424 \h </w:instrText>
        </w:r>
        <w:r w:rsidR="0017407B">
          <w:rPr>
            <w:noProof/>
            <w:webHidden/>
          </w:rPr>
        </w:r>
        <w:r w:rsidR="0017407B">
          <w:rPr>
            <w:noProof/>
            <w:webHidden/>
          </w:rPr>
          <w:fldChar w:fldCharType="separate"/>
        </w:r>
        <w:r w:rsidR="0017407B">
          <w:rPr>
            <w:noProof/>
            <w:webHidden/>
          </w:rPr>
          <w:t>11</w:t>
        </w:r>
        <w:r w:rsidR="0017407B">
          <w:rPr>
            <w:noProof/>
            <w:webHidden/>
          </w:rPr>
          <w:fldChar w:fldCharType="end"/>
        </w:r>
      </w:hyperlink>
    </w:p>
    <w:p w14:paraId="2844ADE8" w14:textId="77777777"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25" w:history="1">
        <w:r w:rsidR="0017407B" w:rsidRPr="00F17719">
          <w:rPr>
            <w:rStyle w:val="Hyperlink"/>
            <w:rFonts w:eastAsiaTheme="majorEastAsia"/>
            <w:noProof/>
          </w:rPr>
          <w:t>17</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Valuation</w:t>
        </w:r>
        <w:r w:rsidR="0017407B">
          <w:rPr>
            <w:noProof/>
            <w:webHidden/>
          </w:rPr>
          <w:tab/>
        </w:r>
        <w:r w:rsidR="0017407B">
          <w:rPr>
            <w:noProof/>
            <w:webHidden/>
          </w:rPr>
          <w:fldChar w:fldCharType="begin"/>
        </w:r>
        <w:r w:rsidR="0017407B">
          <w:rPr>
            <w:noProof/>
            <w:webHidden/>
          </w:rPr>
          <w:instrText xml:space="preserve"> PAGEREF _Toc144907425 \h </w:instrText>
        </w:r>
        <w:r w:rsidR="0017407B">
          <w:rPr>
            <w:noProof/>
            <w:webHidden/>
          </w:rPr>
        </w:r>
        <w:r w:rsidR="0017407B">
          <w:rPr>
            <w:noProof/>
            <w:webHidden/>
          </w:rPr>
          <w:fldChar w:fldCharType="separate"/>
        </w:r>
        <w:r w:rsidR="0017407B">
          <w:rPr>
            <w:noProof/>
            <w:webHidden/>
          </w:rPr>
          <w:t>13</w:t>
        </w:r>
        <w:r w:rsidR="0017407B">
          <w:rPr>
            <w:noProof/>
            <w:webHidden/>
          </w:rPr>
          <w:fldChar w:fldCharType="end"/>
        </w:r>
      </w:hyperlink>
    </w:p>
    <w:p w14:paraId="6DD05926" w14:textId="77777777"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26" w:history="1">
        <w:r w:rsidR="0017407B" w:rsidRPr="00F17719">
          <w:rPr>
            <w:rStyle w:val="Hyperlink"/>
            <w:rFonts w:eastAsiaTheme="majorEastAsia"/>
            <w:noProof/>
          </w:rPr>
          <w:t>18</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Compulsory transfers</w:t>
        </w:r>
        <w:r w:rsidR="0017407B">
          <w:rPr>
            <w:noProof/>
            <w:webHidden/>
          </w:rPr>
          <w:tab/>
        </w:r>
        <w:r w:rsidR="0017407B">
          <w:rPr>
            <w:noProof/>
            <w:webHidden/>
          </w:rPr>
          <w:fldChar w:fldCharType="begin"/>
        </w:r>
        <w:r w:rsidR="0017407B">
          <w:rPr>
            <w:noProof/>
            <w:webHidden/>
          </w:rPr>
          <w:instrText xml:space="preserve"> PAGEREF _Toc144907426 \h </w:instrText>
        </w:r>
        <w:r w:rsidR="0017407B">
          <w:rPr>
            <w:noProof/>
            <w:webHidden/>
          </w:rPr>
        </w:r>
        <w:r w:rsidR="0017407B">
          <w:rPr>
            <w:noProof/>
            <w:webHidden/>
          </w:rPr>
          <w:fldChar w:fldCharType="separate"/>
        </w:r>
        <w:r w:rsidR="0017407B">
          <w:rPr>
            <w:noProof/>
            <w:webHidden/>
          </w:rPr>
          <w:t>14</w:t>
        </w:r>
        <w:r w:rsidR="0017407B">
          <w:rPr>
            <w:noProof/>
            <w:webHidden/>
          </w:rPr>
          <w:fldChar w:fldCharType="end"/>
        </w:r>
      </w:hyperlink>
    </w:p>
    <w:p w14:paraId="238F82F3" w14:textId="0D175F85"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2317861" w:history="1">
        <w:r w:rsidR="004D2180" w:rsidRPr="00C7122C">
          <w:rPr>
            <w:rFonts w:asciiTheme="minorHAnsi" w:eastAsiaTheme="minorEastAsia" w:hAnsiTheme="minorHAnsi" w:cstheme="minorBidi"/>
            <w:noProof/>
            <w:lang w:eastAsia="en-GB"/>
          </w:rPr>
          <w:tab/>
        </w:r>
        <w:r w:rsidR="004D2180" w:rsidRPr="00C7122C">
          <w:rPr>
            <w:noProof/>
            <w:webHidden/>
          </w:rPr>
          <w:tab/>
        </w:r>
      </w:hyperlink>
      <w:hyperlink w:anchor="_Toc144907427" w:history="1">
        <w:r w:rsidR="0017407B" w:rsidRPr="00F17719">
          <w:rPr>
            <w:rStyle w:val="Hyperlink"/>
            <w:rFonts w:eastAsiaTheme="majorEastAsia"/>
            <w:noProof/>
          </w:rPr>
          <w:t>19</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Tag Along</w:t>
        </w:r>
        <w:r w:rsidR="0017407B">
          <w:rPr>
            <w:noProof/>
            <w:webHidden/>
          </w:rPr>
          <w:tab/>
        </w:r>
        <w:r w:rsidR="0017407B">
          <w:rPr>
            <w:noProof/>
            <w:webHidden/>
          </w:rPr>
          <w:fldChar w:fldCharType="begin"/>
        </w:r>
        <w:r w:rsidR="0017407B">
          <w:rPr>
            <w:noProof/>
            <w:webHidden/>
          </w:rPr>
          <w:instrText xml:space="preserve"> PAGEREF _Toc144907427 \h </w:instrText>
        </w:r>
        <w:r w:rsidR="0017407B">
          <w:rPr>
            <w:noProof/>
            <w:webHidden/>
          </w:rPr>
        </w:r>
        <w:r w:rsidR="0017407B">
          <w:rPr>
            <w:noProof/>
            <w:webHidden/>
          </w:rPr>
          <w:fldChar w:fldCharType="separate"/>
        </w:r>
        <w:r w:rsidR="0017407B">
          <w:rPr>
            <w:noProof/>
            <w:webHidden/>
          </w:rPr>
          <w:t>15</w:t>
        </w:r>
        <w:r w:rsidR="0017407B">
          <w:rPr>
            <w:noProof/>
            <w:webHidden/>
          </w:rPr>
          <w:fldChar w:fldCharType="end"/>
        </w:r>
      </w:hyperlink>
    </w:p>
    <w:p w14:paraId="539F762C" w14:textId="77777777"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28" w:history="1">
        <w:r w:rsidR="0017407B" w:rsidRPr="00F17719">
          <w:rPr>
            <w:rStyle w:val="Hyperlink"/>
            <w:rFonts w:eastAsiaTheme="majorEastAsia"/>
            <w:noProof/>
          </w:rPr>
          <w:t>20</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Drag along</w:t>
        </w:r>
        <w:r w:rsidR="0017407B">
          <w:rPr>
            <w:noProof/>
            <w:webHidden/>
          </w:rPr>
          <w:tab/>
        </w:r>
        <w:r w:rsidR="0017407B">
          <w:rPr>
            <w:noProof/>
            <w:webHidden/>
          </w:rPr>
          <w:fldChar w:fldCharType="begin"/>
        </w:r>
        <w:r w:rsidR="0017407B">
          <w:rPr>
            <w:noProof/>
            <w:webHidden/>
          </w:rPr>
          <w:instrText xml:space="preserve"> PAGEREF _Toc144907428 \h </w:instrText>
        </w:r>
        <w:r w:rsidR="0017407B">
          <w:rPr>
            <w:noProof/>
            <w:webHidden/>
          </w:rPr>
        </w:r>
        <w:r w:rsidR="0017407B">
          <w:rPr>
            <w:noProof/>
            <w:webHidden/>
          </w:rPr>
          <w:fldChar w:fldCharType="separate"/>
        </w:r>
        <w:r w:rsidR="0017407B">
          <w:rPr>
            <w:noProof/>
            <w:webHidden/>
          </w:rPr>
          <w:t>15</w:t>
        </w:r>
        <w:r w:rsidR="0017407B">
          <w:rPr>
            <w:noProof/>
            <w:webHidden/>
          </w:rPr>
          <w:fldChar w:fldCharType="end"/>
        </w:r>
      </w:hyperlink>
    </w:p>
    <w:p w14:paraId="27856448" w14:textId="77777777"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29" w:history="1">
        <w:r w:rsidR="0017407B" w:rsidRPr="00F17719">
          <w:rPr>
            <w:rStyle w:val="Hyperlink"/>
            <w:rFonts w:eastAsiaTheme="majorEastAsia"/>
            <w:noProof/>
          </w:rPr>
          <w:t>21</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General meetings</w:t>
        </w:r>
        <w:r w:rsidR="0017407B">
          <w:rPr>
            <w:noProof/>
            <w:webHidden/>
          </w:rPr>
          <w:tab/>
        </w:r>
        <w:r w:rsidR="0017407B">
          <w:rPr>
            <w:noProof/>
            <w:webHidden/>
          </w:rPr>
          <w:fldChar w:fldCharType="begin"/>
        </w:r>
        <w:r w:rsidR="0017407B">
          <w:rPr>
            <w:noProof/>
            <w:webHidden/>
          </w:rPr>
          <w:instrText xml:space="preserve"> PAGEREF _Toc144907429 \h </w:instrText>
        </w:r>
        <w:r w:rsidR="0017407B">
          <w:rPr>
            <w:noProof/>
            <w:webHidden/>
          </w:rPr>
        </w:r>
        <w:r w:rsidR="0017407B">
          <w:rPr>
            <w:noProof/>
            <w:webHidden/>
          </w:rPr>
          <w:fldChar w:fldCharType="separate"/>
        </w:r>
        <w:r w:rsidR="0017407B">
          <w:rPr>
            <w:noProof/>
            <w:webHidden/>
          </w:rPr>
          <w:t>17</w:t>
        </w:r>
        <w:r w:rsidR="0017407B">
          <w:rPr>
            <w:noProof/>
            <w:webHidden/>
          </w:rPr>
          <w:fldChar w:fldCharType="end"/>
        </w:r>
      </w:hyperlink>
    </w:p>
    <w:p w14:paraId="4364E005" w14:textId="77777777"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30" w:history="1">
        <w:r w:rsidR="0017407B" w:rsidRPr="00F17719">
          <w:rPr>
            <w:rStyle w:val="Hyperlink"/>
            <w:rFonts w:eastAsiaTheme="majorEastAsia"/>
            <w:noProof/>
          </w:rPr>
          <w:t>22</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Voting</w:t>
        </w:r>
        <w:r w:rsidR="0017407B">
          <w:rPr>
            <w:noProof/>
            <w:webHidden/>
          </w:rPr>
          <w:tab/>
        </w:r>
        <w:r w:rsidR="0017407B">
          <w:rPr>
            <w:noProof/>
            <w:webHidden/>
          </w:rPr>
          <w:fldChar w:fldCharType="begin"/>
        </w:r>
        <w:r w:rsidR="0017407B">
          <w:rPr>
            <w:noProof/>
            <w:webHidden/>
          </w:rPr>
          <w:instrText xml:space="preserve"> PAGEREF _Toc144907430 \h </w:instrText>
        </w:r>
        <w:r w:rsidR="0017407B">
          <w:rPr>
            <w:noProof/>
            <w:webHidden/>
          </w:rPr>
        </w:r>
        <w:r w:rsidR="0017407B">
          <w:rPr>
            <w:noProof/>
            <w:webHidden/>
          </w:rPr>
          <w:fldChar w:fldCharType="separate"/>
        </w:r>
        <w:r w:rsidR="0017407B">
          <w:rPr>
            <w:noProof/>
            <w:webHidden/>
          </w:rPr>
          <w:t>18</w:t>
        </w:r>
        <w:r w:rsidR="0017407B">
          <w:rPr>
            <w:noProof/>
            <w:webHidden/>
          </w:rPr>
          <w:fldChar w:fldCharType="end"/>
        </w:r>
      </w:hyperlink>
    </w:p>
    <w:p w14:paraId="0FF2ECB2" w14:textId="77777777"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31" w:history="1">
        <w:r w:rsidR="0017407B" w:rsidRPr="00F17719">
          <w:rPr>
            <w:rStyle w:val="Hyperlink"/>
            <w:rFonts w:eastAsiaTheme="majorEastAsia"/>
            <w:noProof/>
          </w:rPr>
          <w:t>23</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Purchase of own shares</w:t>
        </w:r>
        <w:r w:rsidR="0017407B">
          <w:rPr>
            <w:noProof/>
            <w:webHidden/>
          </w:rPr>
          <w:tab/>
        </w:r>
        <w:r w:rsidR="0017407B">
          <w:rPr>
            <w:noProof/>
            <w:webHidden/>
          </w:rPr>
          <w:fldChar w:fldCharType="begin"/>
        </w:r>
        <w:r w:rsidR="0017407B">
          <w:rPr>
            <w:noProof/>
            <w:webHidden/>
          </w:rPr>
          <w:instrText xml:space="preserve"> PAGEREF _Toc144907431 \h </w:instrText>
        </w:r>
        <w:r w:rsidR="0017407B">
          <w:rPr>
            <w:noProof/>
            <w:webHidden/>
          </w:rPr>
        </w:r>
        <w:r w:rsidR="0017407B">
          <w:rPr>
            <w:noProof/>
            <w:webHidden/>
          </w:rPr>
          <w:fldChar w:fldCharType="separate"/>
        </w:r>
        <w:r w:rsidR="0017407B">
          <w:rPr>
            <w:noProof/>
            <w:webHidden/>
          </w:rPr>
          <w:t>18</w:t>
        </w:r>
        <w:r w:rsidR="0017407B">
          <w:rPr>
            <w:noProof/>
            <w:webHidden/>
          </w:rPr>
          <w:fldChar w:fldCharType="end"/>
        </w:r>
      </w:hyperlink>
    </w:p>
    <w:p w14:paraId="756F2A13" w14:textId="77777777"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32" w:history="1">
        <w:r w:rsidR="0017407B" w:rsidRPr="00F17719">
          <w:rPr>
            <w:rStyle w:val="Hyperlink"/>
            <w:rFonts w:eastAsiaTheme="majorEastAsia"/>
            <w:noProof/>
          </w:rPr>
          <w:t>24</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Company's Lien over Shares</w:t>
        </w:r>
        <w:r w:rsidR="0017407B">
          <w:rPr>
            <w:noProof/>
            <w:webHidden/>
          </w:rPr>
          <w:tab/>
        </w:r>
        <w:r w:rsidR="0017407B">
          <w:rPr>
            <w:noProof/>
            <w:webHidden/>
          </w:rPr>
          <w:fldChar w:fldCharType="begin"/>
        </w:r>
        <w:r w:rsidR="0017407B">
          <w:rPr>
            <w:noProof/>
            <w:webHidden/>
          </w:rPr>
          <w:instrText xml:space="preserve"> PAGEREF _Toc144907432 \h </w:instrText>
        </w:r>
        <w:r w:rsidR="0017407B">
          <w:rPr>
            <w:noProof/>
            <w:webHidden/>
          </w:rPr>
        </w:r>
        <w:r w:rsidR="0017407B">
          <w:rPr>
            <w:noProof/>
            <w:webHidden/>
          </w:rPr>
          <w:fldChar w:fldCharType="separate"/>
        </w:r>
        <w:r w:rsidR="0017407B">
          <w:rPr>
            <w:noProof/>
            <w:webHidden/>
          </w:rPr>
          <w:t>18</w:t>
        </w:r>
        <w:r w:rsidR="0017407B">
          <w:rPr>
            <w:noProof/>
            <w:webHidden/>
          </w:rPr>
          <w:fldChar w:fldCharType="end"/>
        </w:r>
      </w:hyperlink>
    </w:p>
    <w:p w14:paraId="44AE0AB2" w14:textId="77777777"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33" w:history="1">
        <w:r w:rsidR="0017407B" w:rsidRPr="00F17719">
          <w:rPr>
            <w:rStyle w:val="Hyperlink"/>
            <w:rFonts w:eastAsiaTheme="majorEastAsia"/>
            <w:noProof/>
          </w:rPr>
          <w:t>25</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Enforcement of the Company's Lien</w:t>
        </w:r>
        <w:r w:rsidR="0017407B">
          <w:rPr>
            <w:noProof/>
            <w:webHidden/>
          </w:rPr>
          <w:tab/>
        </w:r>
        <w:r w:rsidR="0017407B">
          <w:rPr>
            <w:noProof/>
            <w:webHidden/>
          </w:rPr>
          <w:fldChar w:fldCharType="begin"/>
        </w:r>
        <w:r w:rsidR="0017407B">
          <w:rPr>
            <w:noProof/>
            <w:webHidden/>
          </w:rPr>
          <w:instrText xml:space="preserve"> PAGEREF _Toc144907433 \h </w:instrText>
        </w:r>
        <w:r w:rsidR="0017407B">
          <w:rPr>
            <w:noProof/>
            <w:webHidden/>
          </w:rPr>
        </w:r>
        <w:r w:rsidR="0017407B">
          <w:rPr>
            <w:noProof/>
            <w:webHidden/>
          </w:rPr>
          <w:fldChar w:fldCharType="separate"/>
        </w:r>
        <w:r w:rsidR="0017407B">
          <w:rPr>
            <w:noProof/>
            <w:webHidden/>
          </w:rPr>
          <w:t>18</w:t>
        </w:r>
        <w:r w:rsidR="0017407B">
          <w:rPr>
            <w:noProof/>
            <w:webHidden/>
          </w:rPr>
          <w:fldChar w:fldCharType="end"/>
        </w:r>
      </w:hyperlink>
    </w:p>
    <w:p w14:paraId="63DD28CD" w14:textId="77777777"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34" w:history="1">
        <w:r w:rsidR="0017407B" w:rsidRPr="00F17719">
          <w:rPr>
            <w:rStyle w:val="Hyperlink"/>
            <w:rFonts w:eastAsiaTheme="majorEastAsia"/>
            <w:noProof/>
          </w:rPr>
          <w:t>26</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Means of communication to be used</w:t>
        </w:r>
        <w:r w:rsidR="0017407B">
          <w:rPr>
            <w:noProof/>
            <w:webHidden/>
          </w:rPr>
          <w:tab/>
        </w:r>
        <w:r w:rsidR="0017407B">
          <w:rPr>
            <w:noProof/>
            <w:webHidden/>
          </w:rPr>
          <w:fldChar w:fldCharType="begin"/>
        </w:r>
        <w:r w:rsidR="0017407B">
          <w:rPr>
            <w:noProof/>
            <w:webHidden/>
          </w:rPr>
          <w:instrText xml:space="preserve"> PAGEREF _Toc144907434 \h </w:instrText>
        </w:r>
        <w:r w:rsidR="0017407B">
          <w:rPr>
            <w:noProof/>
            <w:webHidden/>
          </w:rPr>
        </w:r>
        <w:r w:rsidR="0017407B">
          <w:rPr>
            <w:noProof/>
            <w:webHidden/>
          </w:rPr>
          <w:fldChar w:fldCharType="separate"/>
        </w:r>
        <w:r w:rsidR="0017407B">
          <w:rPr>
            <w:noProof/>
            <w:webHidden/>
          </w:rPr>
          <w:t>19</w:t>
        </w:r>
        <w:r w:rsidR="0017407B">
          <w:rPr>
            <w:noProof/>
            <w:webHidden/>
          </w:rPr>
          <w:fldChar w:fldCharType="end"/>
        </w:r>
      </w:hyperlink>
    </w:p>
    <w:p w14:paraId="36732E05" w14:textId="77777777" w:rsidR="0017407B" w:rsidRDefault="00000000">
      <w:pPr>
        <w:pStyle w:val="TOC1"/>
        <w:tabs>
          <w:tab w:val="left" w:pos="660"/>
          <w:tab w:val="right" w:leader="dot" w:pos="9350"/>
        </w:tabs>
        <w:rPr>
          <w:rFonts w:asciiTheme="minorHAnsi" w:eastAsiaTheme="minorEastAsia" w:hAnsiTheme="minorHAnsi" w:cstheme="minorBidi"/>
          <w:noProof/>
          <w:sz w:val="22"/>
          <w:szCs w:val="22"/>
          <w:lang w:eastAsia="en-GB"/>
        </w:rPr>
      </w:pPr>
      <w:hyperlink w:anchor="_Toc144907435" w:history="1">
        <w:r w:rsidR="0017407B" w:rsidRPr="00F17719">
          <w:rPr>
            <w:rStyle w:val="Hyperlink"/>
            <w:rFonts w:eastAsiaTheme="majorEastAsia"/>
            <w:noProof/>
          </w:rPr>
          <w:t>27</w:t>
        </w:r>
        <w:r w:rsidR="0017407B">
          <w:rPr>
            <w:rFonts w:asciiTheme="minorHAnsi" w:eastAsiaTheme="minorEastAsia" w:hAnsiTheme="minorHAnsi" w:cstheme="minorBidi"/>
            <w:noProof/>
            <w:sz w:val="22"/>
            <w:szCs w:val="22"/>
            <w:lang w:eastAsia="en-GB"/>
          </w:rPr>
          <w:tab/>
        </w:r>
        <w:r w:rsidR="0017407B" w:rsidRPr="00F17719">
          <w:rPr>
            <w:rStyle w:val="Hyperlink"/>
            <w:rFonts w:eastAsiaTheme="majorEastAsia"/>
            <w:noProof/>
          </w:rPr>
          <w:t>Indemnity and insurance</w:t>
        </w:r>
        <w:r w:rsidR="0017407B">
          <w:rPr>
            <w:noProof/>
            <w:webHidden/>
          </w:rPr>
          <w:tab/>
        </w:r>
        <w:r w:rsidR="0017407B">
          <w:rPr>
            <w:noProof/>
            <w:webHidden/>
          </w:rPr>
          <w:fldChar w:fldCharType="begin"/>
        </w:r>
        <w:r w:rsidR="0017407B">
          <w:rPr>
            <w:noProof/>
            <w:webHidden/>
          </w:rPr>
          <w:instrText xml:space="preserve"> PAGEREF _Toc144907435 \h </w:instrText>
        </w:r>
        <w:r w:rsidR="0017407B">
          <w:rPr>
            <w:noProof/>
            <w:webHidden/>
          </w:rPr>
        </w:r>
        <w:r w:rsidR="0017407B">
          <w:rPr>
            <w:noProof/>
            <w:webHidden/>
          </w:rPr>
          <w:fldChar w:fldCharType="separate"/>
        </w:r>
        <w:r w:rsidR="0017407B">
          <w:rPr>
            <w:noProof/>
            <w:webHidden/>
          </w:rPr>
          <w:t>20</w:t>
        </w:r>
        <w:r w:rsidR="0017407B">
          <w:rPr>
            <w:noProof/>
            <w:webHidden/>
          </w:rPr>
          <w:fldChar w:fldCharType="end"/>
        </w:r>
      </w:hyperlink>
    </w:p>
    <w:p w14:paraId="7BB93EB8" w14:textId="77777777" w:rsidR="00E94771" w:rsidRPr="00C7122C" w:rsidRDefault="000077D6" w:rsidP="00DE5C22">
      <w:pPr>
        <w:pStyle w:val="Body1"/>
        <w:rPr>
          <w:sz w:val="20"/>
          <w:szCs w:val="20"/>
        </w:rPr>
      </w:pPr>
      <w:r w:rsidRPr="00C7122C">
        <w:rPr>
          <w:sz w:val="20"/>
          <w:szCs w:val="20"/>
        </w:rPr>
        <w:fldChar w:fldCharType="end"/>
      </w:r>
    </w:p>
    <w:p w14:paraId="0CA80EEF" w14:textId="77777777" w:rsidR="000077D6" w:rsidRPr="00C7122C" w:rsidRDefault="000077D6" w:rsidP="000077D6">
      <w:pPr>
        <w:spacing w:after="200" w:line="24" w:lineRule="auto"/>
        <w:rPr>
          <w:sz w:val="20"/>
          <w:szCs w:val="20"/>
        </w:rPr>
        <w:sectPr w:rsidR="000077D6" w:rsidRPr="00C7122C">
          <w:pgSz w:w="12240" w:h="15840"/>
          <w:pgMar w:top="1440" w:right="1440" w:bottom="1440" w:left="1440" w:header="720" w:footer="720" w:gutter="0"/>
          <w:cols w:space="720"/>
        </w:sectPr>
      </w:pPr>
    </w:p>
    <w:p w14:paraId="2651A47E" w14:textId="77777777" w:rsidR="00E94771" w:rsidRPr="00C7122C" w:rsidRDefault="00E94771" w:rsidP="000077D6">
      <w:pPr>
        <w:pStyle w:val="Title"/>
        <w:rPr>
          <w:sz w:val="20"/>
          <w:szCs w:val="20"/>
        </w:rPr>
      </w:pPr>
      <w:r w:rsidRPr="00C7122C">
        <w:rPr>
          <w:sz w:val="20"/>
          <w:szCs w:val="20"/>
        </w:rPr>
        <w:lastRenderedPageBreak/>
        <w:t xml:space="preserve">Company number </w:t>
      </w:r>
      <w:r w:rsidR="00B911C6" w:rsidRPr="00C7122C">
        <w:rPr>
          <w:sz w:val="20"/>
          <w:szCs w:val="20"/>
        </w:rPr>
        <w:t>14606919</w:t>
      </w:r>
    </w:p>
    <w:p w14:paraId="25203C0F" w14:textId="77777777" w:rsidR="00E94771" w:rsidRPr="00C7122C" w:rsidRDefault="00E94771" w:rsidP="00E94771">
      <w:pPr>
        <w:pStyle w:val="Title"/>
        <w:rPr>
          <w:sz w:val="20"/>
          <w:szCs w:val="20"/>
        </w:rPr>
      </w:pPr>
      <w:r w:rsidRPr="00C7122C">
        <w:rPr>
          <w:sz w:val="20"/>
          <w:szCs w:val="20"/>
        </w:rPr>
        <w:t>THE COMPANIES ACT 2006</w:t>
      </w:r>
    </w:p>
    <w:p w14:paraId="60ACCD76" w14:textId="77777777" w:rsidR="00E94771" w:rsidRPr="00C7122C" w:rsidRDefault="00E94771" w:rsidP="00E94771">
      <w:pPr>
        <w:pStyle w:val="Title"/>
        <w:rPr>
          <w:sz w:val="20"/>
          <w:szCs w:val="20"/>
        </w:rPr>
      </w:pPr>
      <w:r w:rsidRPr="00C7122C">
        <w:rPr>
          <w:sz w:val="20"/>
          <w:szCs w:val="20"/>
        </w:rPr>
        <w:t>PRIVATE COMPANY LIMITED BY SHARES</w:t>
      </w:r>
    </w:p>
    <w:p w14:paraId="605302AE" w14:textId="77777777" w:rsidR="00E94771" w:rsidRPr="00C7122C" w:rsidRDefault="00E94771" w:rsidP="00E94771">
      <w:pPr>
        <w:pStyle w:val="Title"/>
        <w:rPr>
          <w:sz w:val="20"/>
          <w:szCs w:val="20"/>
        </w:rPr>
      </w:pPr>
      <w:r w:rsidRPr="00C7122C">
        <w:rPr>
          <w:sz w:val="20"/>
          <w:szCs w:val="20"/>
        </w:rPr>
        <w:t>ARTICLES OF ASSOCIATION</w:t>
      </w:r>
    </w:p>
    <w:p w14:paraId="6B9AACBE" w14:textId="77777777" w:rsidR="00E94771" w:rsidRPr="00C7122C" w:rsidRDefault="00E94771" w:rsidP="00E94771">
      <w:pPr>
        <w:pStyle w:val="Title"/>
        <w:rPr>
          <w:sz w:val="20"/>
          <w:szCs w:val="20"/>
        </w:rPr>
      </w:pPr>
      <w:r w:rsidRPr="00C7122C">
        <w:rPr>
          <w:sz w:val="20"/>
          <w:szCs w:val="20"/>
        </w:rPr>
        <w:t>OF</w:t>
      </w:r>
    </w:p>
    <w:p w14:paraId="27E1E591" w14:textId="77777777" w:rsidR="00B911C6" w:rsidRPr="00C7122C" w:rsidRDefault="004554DB" w:rsidP="00E94771">
      <w:pPr>
        <w:pStyle w:val="Title"/>
        <w:rPr>
          <w:sz w:val="20"/>
          <w:szCs w:val="20"/>
        </w:rPr>
      </w:pPr>
      <w:r w:rsidRPr="00C7122C">
        <w:rPr>
          <w:sz w:val="20"/>
          <w:szCs w:val="20"/>
        </w:rPr>
        <w:t xml:space="preserve">IN HOME MEDIA </w:t>
      </w:r>
      <w:r w:rsidR="00B911C6" w:rsidRPr="00C7122C">
        <w:rPr>
          <w:sz w:val="20"/>
          <w:szCs w:val="20"/>
        </w:rPr>
        <w:t xml:space="preserve">LTD </w:t>
      </w:r>
    </w:p>
    <w:p w14:paraId="2030BEC6" w14:textId="77777777" w:rsidR="00000000" w:rsidRPr="00C7122C" w:rsidRDefault="00E94771" w:rsidP="00E94771">
      <w:pPr>
        <w:pStyle w:val="Title"/>
        <w:rPr>
          <w:sz w:val="20"/>
          <w:szCs w:val="20"/>
        </w:rPr>
      </w:pPr>
      <w:r w:rsidRPr="00C7122C">
        <w:rPr>
          <w:sz w:val="20"/>
          <w:szCs w:val="20"/>
        </w:rPr>
        <w:t xml:space="preserve">(Adopted by special resolution passed on </w:t>
      </w:r>
      <w:r w:rsidR="004554DB" w:rsidRPr="00C7122C">
        <w:rPr>
          <w:sz w:val="20"/>
          <w:szCs w:val="20"/>
        </w:rPr>
        <w:tab/>
      </w:r>
      <w:r w:rsidR="004554DB" w:rsidRPr="00C7122C">
        <w:rPr>
          <w:sz w:val="20"/>
          <w:szCs w:val="20"/>
        </w:rPr>
        <w:tab/>
      </w:r>
      <w:r w:rsidR="004554DB" w:rsidRPr="00C7122C">
        <w:rPr>
          <w:sz w:val="20"/>
          <w:szCs w:val="20"/>
        </w:rPr>
        <w:tab/>
      </w:r>
      <w:r w:rsidR="004554DB" w:rsidRPr="00C7122C">
        <w:rPr>
          <w:sz w:val="20"/>
          <w:szCs w:val="20"/>
        </w:rPr>
        <w:tab/>
        <w:t>2023</w:t>
      </w:r>
      <w:r w:rsidRPr="00C7122C">
        <w:rPr>
          <w:sz w:val="20"/>
          <w:szCs w:val="20"/>
        </w:rPr>
        <w:t>)</w:t>
      </w:r>
    </w:p>
    <w:p w14:paraId="09137645" w14:textId="77777777" w:rsidR="00000000" w:rsidRPr="00C7122C" w:rsidRDefault="00A35BEC" w:rsidP="00B4246C">
      <w:pPr>
        <w:pStyle w:val="Subtitle"/>
        <w:rPr>
          <w:sz w:val="20"/>
          <w:szCs w:val="20"/>
        </w:rPr>
      </w:pPr>
      <w:r w:rsidRPr="00C7122C">
        <w:rPr>
          <w:sz w:val="20"/>
          <w:szCs w:val="20"/>
        </w:rPr>
        <w:t>INTRODUCTION</w:t>
      </w:r>
    </w:p>
    <w:p w14:paraId="4AACDB5B" w14:textId="77777777" w:rsidR="00000000" w:rsidRPr="00C7122C" w:rsidRDefault="00A35BEC" w:rsidP="00E12420">
      <w:pPr>
        <w:pStyle w:val="Level1"/>
        <w:rPr>
          <w:sz w:val="20"/>
          <w:szCs w:val="20"/>
        </w:rPr>
      </w:pPr>
      <w:bookmarkStart w:id="0" w:name="_Toc256000000"/>
      <w:bookmarkStart w:id="1" w:name="a831611"/>
      <w:bookmarkStart w:id="2" w:name="_Toc144907409"/>
      <w:r w:rsidRPr="00C7122C">
        <w:rPr>
          <w:sz w:val="20"/>
          <w:szCs w:val="20"/>
        </w:rPr>
        <w:t>Interpretation</w:t>
      </w:r>
      <w:bookmarkEnd w:id="0"/>
      <w:bookmarkEnd w:id="1"/>
      <w:bookmarkEnd w:id="2"/>
    </w:p>
    <w:p w14:paraId="646804ED" w14:textId="77777777" w:rsidR="00000000" w:rsidRPr="00C7122C" w:rsidRDefault="00A35BEC" w:rsidP="00E12420">
      <w:pPr>
        <w:pStyle w:val="Level2"/>
        <w:rPr>
          <w:sz w:val="20"/>
          <w:szCs w:val="20"/>
        </w:rPr>
      </w:pPr>
      <w:bookmarkStart w:id="3" w:name="a308401"/>
      <w:r w:rsidRPr="00C7122C">
        <w:rPr>
          <w:sz w:val="20"/>
          <w:szCs w:val="20"/>
        </w:rPr>
        <w:t>The following definitions and rules of interpretation apply in these Articles:</w:t>
      </w:r>
      <w:bookmarkEnd w:id="3"/>
    </w:p>
    <w:p w14:paraId="4B543AA1" w14:textId="77777777" w:rsidR="00000000" w:rsidRPr="00C7122C" w:rsidRDefault="00A35BEC" w:rsidP="00E24DAB">
      <w:pPr>
        <w:pStyle w:val="Body2"/>
        <w:rPr>
          <w:sz w:val="20"/>
          <w:szCs w:val="20"/>
        </w:rPr>
      </w:pPr>
      <w:bookmarkStart w:id="4" w:name="a323931"/>
      <w:r w:rsidRPr="001E2D38">
        <w:rPr>
          <w:b/>
          <w:bCs/>
          <w:sz w:val="20"/>
          <w:szCs w:val="20"/>
        </w:rPr>
        <w:t>Act</w:t>
      </w:r>
      <w:r w:rsidRPr="001E2D38">
        <w:rPr>
          <w:sz w:val="20"/>
          <w:szCs w:val="20"/>
        </w:rPr>
        <w:t>: the</w:t>
      </w:r>
      <w:r w:rsidRPr="00C7122C">
        <w:rPr>
          <w:sz w:val="20"/>
          <w:szCs w:val="20"/>
        </w:rPr>
        <w:t xml:space="preserve"> Companies Act 2006.</w:t>
      </w:r>
      <w:bookmarkEnd w:id="4"/>
    </w:p>
    <w:p w14:paraId="795A043B" w14:textId="77777777" w:rsidR="00000000" w:rsidRPr="00C7122C" w:rsidRDefault="00A35BEC" w:rsidP="00E24DAB">
      <w:pPr>
        <w:pStyle w:val="Body2"/>
        <w:rPr>
          <w:sz w:val="20"/>
          <w:szCs w:val="20"/>
        </w:rPr>
      </w:pPr>
      <w:bookmarkStart w:id="5" w:name="a578251"/>
      <w:r w:rsidRPr="00C7122C">
        <w:rPr>
          <w:b/>
          <w:bCs/>
          <w:sz w:val="20"/>
          <w:szCs w:val="20"/>
        </w:rPr>
        <w:t>acting in concert</w:t>
      </w:r>
      <w:r w:rsidRPr="00C7122C">
        <w:rPr>
          <w:sz w:val="20"/>
          <w:szCs w:val="20"/>
        </w:rPr>
        <w:t>: has the meaning given to it in the City Code on Takeovers and Mergers published by the Panel on Takeovers and Mergers (as amended).</w:t>
      </w:r>
      <w:bookmarkEnd w:id="5"/>
    </w:p>
    <w:p w14:paraId="0D615228" w14:textId="77777777" w:rsidR="00000000" w:rsidRPr="00C7122C" w:rsidRDefault="00A35BEC" w:rsidP="00E24DAB">
      <w:pPr>
        <w:pStyle w:val="Body2"/>
        <w:rPr>
          <w:sz w:val="20"/>
          <w:szCs w:val="20"/>
        </w:rPr>
      </w:pPr>
      <w:bookmarkStart w:id="6" w:name="a418233"/>
      <w:r w:rsidRPr="00C7122C">
        <w:rPr>
          <w:b/>
          <w:bCs/>
          <w:sz w:val="20"/>
          <w:szCs w:val="20"/>
        </w:rPr>
        <w:t>Adoption Date</w:t>
      </w:r>
      <w:r w:rsidRPr="00C7122C">
        <w:rPr>
          <w:sz w:val="20"/>
          <w:szCs w:val="20"/>
        </w:rPr>
        <w:t>: the date of adoption of these Articles.</w:t>
      </w:r>
      <w:bookmarkEnd w:id="6"/>
    </w:p>
    <w:p w14:paraId="699992A2" w14:textId="77777777" w:rsidR="00000000" w:rsidRPr="00C7122C" w:rsidRDefault="00A35BEC" w:rsidP="00E24DAB">
      <w:pPr>
        <w:pStyle w:val="Body2"/>
        <w:rPr>
          <w:sz w:val="20"/>
          <w:szCs w:val="20"/>
        </w:rPr>
      </w:pPr>
      <w:bookmarkStart w:id="7" w:name="a258945"/>
      <w:r w:rsidRPr="00C7122C">
        <w:rPr>
          <w:b/>
          <w:bCs/>
          <w:sz w:val="20"/>
          <w:szCs w:val="20"/>
        </w:rPr>
        <w:t>Articles</w:t>
      </w:r>
      <w:r w:rsidRPr="00C7122C">
        <w:rPr>
          <w:sz w:val="20"/>
          <w:szCs w:val="20"/>
        </w:rPr>
        <w:t>: the Company's articles of association for the time being in force.</w:t>
      </w:r>
      <w:bookmarkEnd w:id="7"/>
    </w:p>
    <w:p w14:paraId="439B4358" w14:textId="77777777" w:rsidR="00000000" w:rsidRPr="00C7122C" w:rsidRDefault="00A35BEC" w:rsidP="00E24DAB">
      <w:pPr>
        <w:pStyle w:val="Body2"/>
        <w:rPr>
          <w:b/>
          <w:sz w:val="20"/>
          <w:szCs w:val="20"/>
        </w:rPr>
      </w:pPr>
      <w:bookmarkStart w:id="8" w:name="a598572"/>
      <w:r w:rsidRPr="00C7122C">
        <w:rPr>
          <w:b/>
          <w:bCs/>
          <w:sz w:val="20"/>
          <w:szCs w:val="20"/>
        </w:rPr>
        <w:t>Available Profits</w:t>
      </w:r>
      <w:r w:rsidRPr="00C7122C">
        <w:rPr>
          <w:sz w:val="20"/>
          <w:szCs w:val="20"/>
        </w:rPr>
        <w:t>: profits available for distribution within the meaning of part 23 of the Act.</w:t>
      </w:r>
      <w:bookmarkEnd w:id="8"/>
    </w:p>
    <w:p w14:paraId="00BAD4E1" w14:textId="77777777" w:rsidR="00000000" w:rsidRPr="00C7122C" w:rsidRDefault="00A35BEC" w:rsidP="00E24DAB">
      <w:pPr>
        <w:pStyle w:val="Body2"/>
        <w:rPr>
          <w:sz w:val="20"/>
          <w:szCs w:val="20"/>
        </w:rPr>
      </w:pPr>
      <w:bookmarkStart w:id="9" w:name="a699435"/>
      <w:r w:rsidRPr="00C7122C">
        <w:rPr>
          <w:b/>
          <w:bCs/>
          <w:sz w:val="20"/>
          <w:szCs w:val="20"/>
        </w:rPr>
        <w:t>Business Day</w:t>
      </w:r>
      <w:r w:rsidRPr="00C7122C">
        <w:rPr>
          <w:sz w:val="20"/>
          <w:szCs w:val="20"/>
        </w:rPr>
        <w:t xml:space="preserve">: a day other than a Saturday, </w:t>
      </w:r>
      <w:proofErr w:type="gramStart"/>
      <w:r w:rsidRPr="00C7122C">
        <w:rPr>
          <w:sz w:val="20"/>
          <w:szCs w:val="20"/>
        </w:rPr>
        <w:t>Sunday</w:t>
      </w:r>
      <w:proofErr w:type="gramEnd"/>
      <w:r w:rsidRPr="00C7122C">
        <w:rPr>
          <w:sz w:val="20"/>
          <w:szCs w:val="20"/>
        </w:rPr>
        <w:t xml:space="preserve"> or public holiday in England when banks in London are open for business.</w:t>
      </w:r>
      <w:bookmarkEnd w:id="9"/>
    </w:p>
    <w:p w14:paraId="1A856BC5" w14:textId="77777777" w:rsidR="00000000" w:rsidRPr="00C7122C" w:rsidRDefault="00A35BEC" w:rsidP="00E24DAB">
      <w:pPr>
        <w:pStyle w:val="Body2"/>
        <w:rPr>
          <w:sz w:val="20"/>
          <w:szCs w:val="20"/>
        </w:rPr>
      </w:pPr>
      <w:bookmarkStart w:id="10" w:name="a401072"/>
      <w:r w:rsidRPr="00C7122C">
        <w:rPr>
          <w:b/>
          <w:bCs/>
          <w:sz w:val="20"/>
          <w:szCs w:val="20"/>
        </w:rPr>
        <w:t>Company</w:t>
      </w:r>
      <w:r w:rsidRPr="00C7122C">
        <w:rPr>
          <w:sz w:val="20"/>
          <w:szCs w:val="20"/>
        </w:rPr>
        <w:t xml:space="preserve">: means </w:t>
      </w:r>
      <w:r w:rsidR="00F65676" w:rsidRPr="00C7122C">
        <w:rPr>
          <w:sz w:val="20"/>
          <w:szCs w:val="20"/>
        </w:rPr>
        <w:t xml:space="preserve">In Home Media </w:t>
      </w:r>
      <w:r w:rsidRPr="00C7122C">
        <w:rPr>
          <w:sz w:val="20"/>
          <w:szCs w:val="20"/>
        </w:rPr>
        <w:t xml:space="preserve">Ltd (Company number </w:t>
      </w:r>
      <w:r w:rsidR="00F65676" w:rsidRPr="00C7122C">
        <w:rPr>
          <w:sz w:val="20"/>
          <w:szCs w:val="20"/>
        </w:rPr>
        <w:t>14606919</w:t>
      </w:r>
      <w:r w:rsidRPr="00C7122C">
        <w:rPr>
          <w:sz w:val="20"/>
          <w:szCs w:val="20"/>
        </w:rPr>
        <w:t>).</w:t>
      </w:r>
      <w:bookmarkEnd w:id="10"/>
    </w:p>
    <w:p w14:paraId="0B84289B" w14:textId="77777777" w:rsidR="00000000" w:rsidRPr="00C7122C" w:rsidRDefault="00A35BEC" w:rsidP="00E24DAB">
      <w:pPr>
        <w:pStyle w:val="Body2"/>
        <w:rPr>
          <w:sz w:val="20"/>
          <w:szCs w:val="20"/>
        </w:rPr>
      </w:pPr>
      <w:bookmarkStart w:id="11" w:name="a291867"/>
      <w:r w:rsidRPr="00C7122C">
        <w:rPr>
          <w:b/>
          <w:bCs/>
          <w:sz w:val="20"/>
          <w:szCs w:val="20"/>
        </w:rPr>
        <w:t>Company's Lien</w:t>
      </w:r>
      <w:r w:rsidRPr="00C7122C">
        <w:rPr>
          <w:sz w:val="20"/>
          <w:szCs w:val="20"/>
        </w:rPr>
        <w:t xml:space="preserve">: has the meaning given to it in </w:t>
      </w:r>
      <w:r w:rsidRPr="00C7122C">
        <w:rPr>
          <w:sz w:val="20"/>
          <w:szCs w:val="20"/>
        </w:rPr>
        <w:fldChar w:fldCharType="begin"/>
      </w:r>
      <w:r w:rsidRPr="00C7122C">
        <w:rPr>
          <w:sz w:val="20"/>
          <w:szCs w:val="20"/>
        </w:rPr>
        <w:instrText>PAGEREF a342989\#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a342989 \h \w</w:instrText>
      </w:r>
      <w:r w:rsidR="00E24DAB"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24.1</w:t>
      </w:r>
      <w:r w:rsidRPr="00C7122C">
        <w:rPr>
          <w:sz w:val="20"/>
          <w:szCs w:val="20"/>
        </w:rPr>
        <w:fldChar w:fldCharType="end"/>
      </w:r>
      <w:r w:rsidRPr="00C7122C">
        <w:rPr>
          <w:sz w:val="20"/>
          <w:szCs w:val="20"/>
        </w:rPr>
        <w:t>.</w:t>
      </w:r>
      <w:bookmarkEnd w:id="11"/>
    </w:p>
    <w:p w14:paraId="68167E96" w14:textId="77777777" w:rsidR="00000000" w:rsidRPr="00C7122C" w:rsidRDefault="00A35BEC" w:rsidP="00E24DAB">
      <w:pPr>
        <w:pStyle w:val="Body2"/>
        <w:rPr>
          <w:sz w:val="20"/>
          <w:szCs w:val="20"/>
        </w:rPr>
      </w:pPr>
      <w:bookmarkStart w:id="12" w:name="a333182"/>
      <w:r w:rsidRPr="00C7122C">
        <w:rPr>
          <w:b/>
          <w:bCs/>
          <w:sz w:val="20"/>
          <w:szCs w:val="20"/>
        </w:rPr>
        <w:t>connected</w:t>
      </w:r>
      <w:r w:rsidRPr="00C7122C">
        <w:rPr>
          <w:sz w:val="20"/>
          <w:szCs w:val="20"/>
        </w:rPr>
        <w:t>: has the meaning given in section 252 of the Act.</w:t>
      </w:r>
      <w:bookmarkEnd w:id="12"/>
    </w:p>
    <w:p w14:paraId="4203327F" w14:textId="77777777" w:rsidR="00000000" w:rsidRPr="00C7122C" w:rsidRDefault="00A35BEC" w:rsidP="00E24DAB">
      <w:pPr>
        <w:pStyle w:val="Body2"/>
        <w:rPr>
          <w:sz w:val="20"/>
          <w:szCs w:val="20"/>
        </w:rPr>
      </w:pPr>
      <w:bookmarkStart w:id="13" w:name="a563655"/>
      <w:r w:rsidRPr="00C7122C">
        <w:rPr>
          <w:b/>
          <w:bCs/>
          <w:sz w:val="20"/>
          <w:szCs w:val="20"/>
        </w:rPr>
        <w:t>Controlling Interest</w:t>
      </w:r>
      <w:r w:rsidRPr="00C7122C">
        <w:rPr>
          <w:sz w:val="20"/>
          <w:szCs w:val="20"/>
        </w:rPr>
        <w:t>: an interest in Shares conferring on the holder or holders control of the Company within the meaning of section 1124 of the Corporation Tax Act 2010.</w:t>
      </w:r>
      <w:bookmarkEnd w:id="13"/>
    </w:p>
    <w:p w14:paraId="0FB506E2" w14:textId="77777777" w:rsidR="00000000" w:rsidRPr="00C7122C" w:rsidRDefault="00A35BEC" w:rsidP="00E24DAB">
      <w:pPr>
        <w:pStyle w:val="Body2"/>
        <w:rPr>
          <w:sz w:val="20"/>
          <w:szCs w:val="20"/>
        </w:rPr>
      </w:pPr>
      <w:bookmarkStart w:id="14" w:name="a836081"/>
      <w:r w:rsidRPr="00C7122C">
        <w:rPr>
          <w:b/>
          <w:bCs/>
          <w:sz w:val="20"/>
          <w:szCs w:val="20"/>
        </w:rPr>
        <w:t xml:space="preserve">Deemed </w:t>
      </w:r>
      <w:r w:rsidR="003032D3" w:rsidRPr="00C7122C">
        <w:rPr>
          <w:b/>
          <w:bCs/>
          <w:sz w:val="20"/>
          <w:szCs w:val="20"/>
        </w:rPr>
        <w:t>Sale</w:t>
      </w:r>
      <w:r w:rsidRPr="00C7122C">
        <w:rPr>
          <w:b/>
          <w:bCs/>
          <w:sz w:val="20"/>
          <w:szCs w:val="20"/>
        </w:rPr>
        <w:t xml:space="preserve"> Notice</w:t>
      </w:r>
      <w:r w:rsidRPr="00C7122C">
        <w:rPr>
          <w:sz w:val="20"/>
          <w:szCs w:val="20"/>
        </w:rPr>
        <w:t xml:space="preserve">: a </w:t>
      </w:r>
      <w:r w:rsidR="003032D3" w:rsidRPr="00C7122C">
        <w:rPr>
          <w:sz w:val="20"/>
          <w:szCs w:val="20"/>
        </w:rPr>
        <w:t xml:space="preserve">Sale </w:t>
      </w:r>
      <w:r w:rsidRPr="00C7122C">
        <w:rPr>
          <w:sz w:val="20"/>
          <w:szCs w:val="20"/>
        </w:rPr>
        <w:t>Notice which is deemed to have been served by any of the provisions of these Articles.</w:t>
      </w:r>
      <w:bookmarkEnd w:id="14"/>
    </w:p>
    <w:p w14:paraId="2ED5D04A" w14:textId="77777777" w:rsidR="00000000" w:rsidRPr="00C7122C" w:rsidRDefault="00A35BEC" w:rsidP="00E24DAB">
      <w:pPr>
        <w:pStyle w:val="Body2"/>
        <w:rPr>
          <w:sz w:val="20"/>
          <w:szCs w:val="20"/>
        </w:rPr>
      </w:pPr>
      <w:bookmarkStart w:id="15" w:name="a451990"/>
      <w:r w:rsidRPr="00C7122C">
        <w:rPr>
          <w:b/>
          <w:bCs/>
          <w:sz w:val="20"/>
          <w:szCs w:val="20"/>
        </w:rPr>
        <w:t>Directors</w:t>
      </w:r>
      <w:r w:rsidRPr="00C7122C">
        <w:rPr>
          <w:sz w:val="20"/>
          <w:szCs w:val="20"/>
        </w:rPr>
        <w:t>: the directors of the Company from time to time.</w:t>
      </w:r>
      <w:bookmarkEnd w:id="15"/>
    </w:p>
    <w:p w14:paraId="5BA46599" w14:textId="77777777" w:rsidR="00000000" w:rsidRPr="00C7122C" w:rsidRDefault="00A35BEC" w:rsidP="00E24DAB">
      <w:pPr>
        <w:pStyle w:val="Body2"/>
        <w:rPr>
          <w:sz w:val="20"/>
          <w:szCs w:val="20"/>
        </w:rPr>
      </w:pPr>
      <w:bookmarkStart w:id="16" w:name="a517407"/>
      <w:r w:rsidRPr="00C7122C">
        <w:rPr>
          <w:b/>
          <w:bCs/>
          <w:sz w:val="20"/>
          <w:szCs w:val="20"/>
        </w:rPr>
        <w:t>Eligible Director</w:t>
      </w:r>
      <w:r w:rsidRPr="00C7122C">
        <w:rPr>
          <w:sz w:val="20"/>
          <w:szCs w:val="20"/>
        </w:rPr>
        <w:t>: means a Director who would be entitled to vote on the matter at a meeting of Directors (but excluding any Director whose vote is not to be counted in respect of the particular matter).</w:t>
      </w:r>
      <w:bookmarkEnd w:id="16"/>
    </w:p>
    <w:p w14:paraId="4CDA79B2" w14:textId="77777777" w:rsidR="00000000" w:rsidRPr="00C7122C" w:rsidRDefault="00A35BEC" w:rsidP="00092D22">
      <w:pPr>
        <w:pStyle w:val="Body2"/>
        <w:rPr>
          <w:sz w:val="20"/>
          <w:szCs w:val="20"/>
        </w:rPr>
      </w:pPr>
      <w:bookmarkStart w:id="17" w:name="a767500"/>
      <w:r w:rsidRPr="00C7122C">
        <w:rPr>
          <w:b/>
          <w:bCs/>
          <w:sz w:val="20"/>
          <w:szCs w:val="20"/>
        </w:rPr>
        <w:t>Employee</w:t>
      </w:r>
      <w:r w:rsidRPr="00C7122C">
        <w:rPr>
          <w:sz w:val="20"/>
          <w:szCs w:val="20"/>
        </w:rPr>
        <w:t>: an individual who is, or has been, a director and/or an employee of, or who does provide or has provided consultancy services to, any Group Company.</w:t>
      </w:r>
      <w:bookmarkEnd w:id="17"/>
    </w:p>
    <w:p w14:paraId="3F85DDD0" w14:textId="77777777" w:rsidR="00000000" w:rsidRPr="00C7122C" w:rsidRDefault="00A35BEC" w:rsidP="00E24DAB">
      <w:pPr>
        <w:pStyle w:val="Body2"/>
        <w:rPr>
          <w:sz w:val="20"/>
          <w:szCs w:val="20"/>
        </w:rPr>
      </w:pPr>
      <w:bookmarkStart w:id="18" w:name="a274761"/>
      <w:r w:rsidRPr="00C7122C">
        <w:rPr>
          <w:b/>
          <w:bCs/>
          <w:sz w:val="20"/>
          <w:szCs w:val="20"/>
        </w:rPr>
        <w:t>Fair Value</w:t>
      </w:r>
      <w:r w:rsidRPr="00C7122C">
        <w:rPr>
          <w:sz w:val="20"/>
          <w:szCs w:val="20"/>
        </w:rPr>
        <w:t xml:space="preserve">: has the meaning given in </w:t>
      </w:r>
      <w:r w:rsidRPr="00C7122C">
        <w:rPr>
          <w:sz w:val="20"/>
          <w:szCs w:val="20"/>
        </w:rPr>
        <w:fldChar w:fldCharType="begin"/>
      </w:r>
      <w:r w:rsidRPr="00C7122C">
        <w:rPr>
          <w:sz w:val="20"/>
          <w:szCs w:val="20"/>
        </w:rPr>
        <w:instrText>PAGEREF a472853\#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a472853 \h \w</w:instrText>
      </w:r>
      <w:r w:rsidR="00E24DAB"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17.4</w:t>
      </w:r>
      <w:r w:rsidRPr="00C7122C">
        <w:rPr>
          <w:sz w:val="20"/>
          <w:szCs w:val="20"/>
        </w:rPr>
        <w:fldChar w:fldCharType="end"/>
      </w:r>
      <w:r w:rsidRPr="00C7122C">
        <w:rPr>
          <w:sz w:val="20"/>
          <w:szCs w:val="20"/>
        </w:rPr>
        <w:t>.</w:t>
      </w:r>
      <w:bookmarkEnd w:id="18"/>
    </w:p>
    <w:p w14:paraId="0D9B4929" w14:textId="77777777" w:rsidR="00000000" w:rsidRPr="00C7122C" w:rsidRDefault="00A35BEC" w:rsidP="00E24DAB">
      <w:pPr>
        <w:pStyle w:val="Body2"/>
        <w:rPr>
          <w:sz w:val="20"/>
          <w:szCs w:val="20"/>
        </w:rPr>
      </w:pPr>
      <w:bookmarkStart w:id="19" w:name="a115216"/>
      <w:r w:rsidRPr="00C7122C">
        <w:rPr>
          <w:b/>
          <w:bCs/>
          <w:sz w:val="20"/>
          <w:szCs w:val="20"/>
        </w:rPr>
        <w:t>Family Trust</w:t>
      </w:r>
      <w:r w:rsidRPr="00C7122C">
        <w:rPr>
          <w:sz w:val="20"/>
          <w:szCs w:val="20"/>
        </w:rPr>
        <w:t xml:space="preserve">: as regards any particular Shareholder who is an individual (or deceased or former Shareholder who is an individual) any trust (whether arising under a settlement, declaration of trust </w:t>
      </w:r>
      <w:r w:rsidRPr="00C7122C">
        <w:rPr>
          <w:sz w:val="20"/>
          <w:szCs w:val="20"/>
        </w:rPr>
        <w:lastRenderedPageBreak/>
        <w:t>or other instrument by whomsoever or wheresoever made, or under a testamentary disposition or on an intestacy) under which no immediate beneficial interest in any of the Shares in question is for the time being vested in any person other than the particular Shareholder and/or any of the Privileged Relations of that Shareholder (and so that for this purpose a person shall be considered to be beneficially interested in a Share if such Share or the income thereof is liable to be transferred or paid or applied or appointed to or for the benefit of any such person or any voting or other rights attaching thereto are exercisable by or as directed by any such person pursuant to the terms of the relevant trusts or in consequence of an exercise of a power or discretion conferred thereby on any person or persons).</w:t>
      </w:r>
      <w:bookmarkEnd w:id="19"/>
    </w:p>
    <w:p w14:paraId="19526025" w14:textId="77777777" w:rsidR="00000000" w:rsidRPr="00C7122C" w:rsidRDefault="00A35BEC" w:rsidP="00E24DAB">
      <w:pPr>
        <w:pStyle w:val="Body2"/>
        <w:rPr>
          <w:sz w:val="20"/>
          <w:szCs w:val="20"/>
        </w:rPr>
      </w:pPr>
      <w:bookmarkStart w:id="20" w:name="a292686"/>
      <w:r w:rsidRPr="00C7122C">
        <w:rPr>
          <w:b/>
          <w:bCs/>
          <w:sz w:val="20"/>
          <w:szCs w:val="20"/>
        </w:rPr>
        <w:t>Financial Year</w:t>
      </w:r>
      <w:r w:rsidRPr="00C7122C">
        <w:rPr>
          <w:sz w:val="20"/>
          <w:szCs w:val="20"/>
        </w:rPr>
        <w:t>: an accounting reference period (as defined in section 391 of the Act) of the Company.</w:t>
      </w:r>
      <w:bookmarkEnd w:id="20"/>
    </w:p>
    <w:p w14:paraId="083F3267" w14:textId="77777777" w:rsidR="00000000" w:rsidRPr="00C7122C" w:rsidRDefault="00A35BEC" w:rsidP="00E24DAB">
      <w:pPr>
        <w:pStyle w:val="Body2"/>
        <w:rPr>
          <w:b/>
          <w:sz w:val="20"/>
          <w:szCs w:val="20"/>
        </w:rPr>
      </w:pPr>
      <w:bookmarkStart w:id="21" w:name="a196900"/>
      <w:r w:rsidRPr="00C7122C">
        <w:rPr>
          <w:b/>
          <w:bCs/>
          <w:sz w:val="20"/>
          <w:szCs w:val="20"/>
        </w:rPr>
        <w:t>Independent Expert</w:t>
      </w:r>
      <w:r w:rsidRPr="00C7122C">
        <w:rPr>
          <w:sz w:val="20"/>
          <w:szCs w:val="20"/>
        </w:rPr>
        <w:t xml:space="preserve">: the auditors for the time being of the Company or, if they decline the instruction, an independent firm of chartered accountants of repute appointed by the Company and the Seller in accordance with </w:t>
      </w:r>
      <w:r w:rsidRPr="00C7122C">
        <w:rPr>
          <w:sz w:val="20"/>
          <w:szCs w:val="20"/>
        </w:rPr>
        <w:fldChar w:fldCharType="begin"/>
      </w:r>
      <w:r w:rsidRPr="00C7122C">
        <w:rPr>
          <w:sz w:val="20"/>
          <w:szCs w:val="20"/>
        </w:rPr>
        <w:instrText>PAGEREF a1026593\#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a1026593 \h \w</w:instrText>
      </w:r>
      <w:r w:rsidR="00E24DAB"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17</w:t>
      </w:r>
      <w:r w:rsidRPr="00C7122C">
        <w:rPr>
          <w:sz w:val="20"/>
          <w:szCs w:val="20"/>
        </w:rPr>
        <w:fldChar w:fldCharType="end"/>
      </w:r>
      <w:r w:rsidRPr="00C7122C">
        <w:rPr>
          <w:sz w:val="20"/>
          <w:szCs w:val="20"/>
        </w:rPr>
        <w:t>.</w:t>
      </w:r>
      <w:bookmarkEnd w:id="21"/>
    </w:p>
    <w:p w14:paraId="7B7D4D6A" w14:textId="77777777" w:rsidR="00000000" w:rsidRPr="00C7122C" w:rsidRDefault="00A35BEC" w:rsidP="00E24DAB">
      <w:pPr>
        <w:pStyle w:val="Body2"/>
        <w:rPr>
          <w:sz w:val="20"/>
          <w:szCs w:val="20"/>
        </w:rPr>
      </w:pPr>
      <w:bookmarkStart w:id="22" w:name="a976444"/>
      <w:r w:rsidRPr="00C7122C">
        <w:rPr>
          <w:b/>
          <w:bCs/>
          <w:sz w:val="20"/>
          <w:szCs w:val="20"/>
        </w:rPr>
        <w:t>Lien Enforcement Notice</w:t>
      </w:r>
      <w:r w:rsidRPr="00C7122C">
        <w:rPr>
          <w:sz w:val="20"/>
          <w:szCs w:val="20"/>
        </w:rPr>
        <w:t xml:space="preserve">: means a notice in writing which complies with the requirements of </w:t>
      </w:r>
      <w:r w:rsidRPr="00C7122C">
        <w:rPr>
          <w:sz w:val="20"/>
          <w:szCs w:val="20"/>
        </w:rPr>
        <w:fldChar w:fldCharType="begin"/>
      </w:r>
      <w:r w:rsidRPr="00C7122C">
        <w:rPr>
          <w:sz w:val="20"/>
          <w:szCs w:val="20"/>
        </w:rPr>
        <w:instrText>PAGEREF a850814\#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a850814 \h \w</w:instrText>
      </w:r>
      <w:r w:rsidR="00E24DAB"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25.2</w:t>
      </w:r>
      <w:r w:rsidRPr="00C7122C">
        <w:rPr>
          <w:sz w:val="20"/>
          <w:szCs w:val="20"/>
        </w:rPr>
        <w:fldChar w:fldCharType="end"/>
      </w:r>
      <w:r w:rsidRPr="00C7122C">
        <w:rPr>
          <w:sz w:val="20"/>
          <w:szCs w:val="20"/>
        </w:rPr>
        <w:t>.</w:t>
      </w:r>
      <w:bookmarkEnd w:id="22"/>
    </w:p>
    <w:p w14:paraId="110FDDF6" w14:textId="77777777" w:rsidR="00000000" w:rsidRPr="00C7122C" w:rsidRDefault="00A35BEC" w:rsidP="00DC75D2">
      <w:pPr>
        <w:pStyle w:val="Body2"/>
        <w:rPr>
          <w:sz w:val="20"/>
          <w:szCs w:val="20"/>
        </w:rPr>
      </w:pPr>
      <w:bookmarkStart w:id="23" w:name="a476391"/>
      <w:r w:rsidRPr="00C7122C">
        <w:rPr>
          <w:b/>
          <w:bCs/>
          <w:sz w:val="20"/>
          <w:szCs w:val="20"/>
        </w:rPr>
        <w:t>Model Articles</w:t>
      </w:r>
      <w:r w:rsidRPr="00C7122C">
        <w:rPr>
          <w:sz w:val="20"/>
          <w:szCs w:val="20"/>
        </w:rPr>
        <w:t>: the model articles for private companies limited by shares contained in Schedule 1 to The Companies (Model Articles) Regulations 2008 (</w:t>
      </w:r>
      <w:r w:rsidRPr="00C7122C">
        <w:rPr>
          <w:i/>
          <w:sz w:val="20"/>
          <w:szCs w:val="20"/>
        </w:rPr>
        <w:t>SI 2008/3229</w:t>
      </w:r>
      <w:r w:rsidRPr="00C7122C">
        <w:rPr>
          <w:sz w:val="20"/>
          <w:szCs w:val="20"/>
        </w:rPr>
        <w:t>), as amended prior to the Adoption Date.</w:t>
      </w:r>
      <w:bookmarkEnd w:id="23"/>
    </w:p>
    <w:p w14:paraId="28C2E2FC" w14:textId="77777777" w:rsidR="00912FC9" w:rsidRPr="00C7122C" w:rsidRDefault="00912FC9" w:rsidP="00912FC9">
      <w:pPr>
        <w:pStyle w:val="Body2"/>
        <w:rPr>
          <w:sz w:val="20"/>
          <w:szCs w:val="20"/>
        </w:rPr>
      </w:pPr>
      <w:bookmarkStart w:id="24" w:name="a282169"/>
      <w:r w:rsidRPr="00C7122C">
        <w:rPr>
          <w:b/>
          <w:bCs/>
          <w:sz w:val="20"/>
          <w:szCs w:val="20"/>
        </w:rPr>
        <w:t>Ordinary Shares</w:t>
      </w:r>
      <w:r w:rsidRPr="00C7122C">
        <w:rPr>
          <w:sz w:val="20"/>
          <w:szCs w:val="20"/>
        </w:rPr>
        <w:t xml:space="preserve">: the </w:t>
      </w:r>
      <w:r w:rsidRPr="00C7122C">
        <w:rPr>
          <w:sz w:val="20"/>
          <w:szCs w:val="20"/>
        </w:rPr>
        <w:t>Ordinary Shares of £1.00 each in the capital of the Company.</w:t>
      </w:r>
    </w:p>
    <w:p w14:paraId="578AB55D" w14:textId="77777777" w:rsidR="00000000" w:rsidRPr="00C7122C" w:rsidRDefault="00A35BEC" w:rsidP="00DC75D2">
      <w:pPr>
        <w:pStyle w:val="Body2"/>
        <w:rPr>
          <w:sz w:val="20"/>
          <w:szCs w:val="20"/>
        </w:rPr>
      </w:pPr>
      <w:r w:rsidRPr="00C7122C">
        <w:rPr>
          <w:b/>
          <w:bCs/>
          <w:sz w:val="20"/>
          <w:szCs w:val="20"/>
        </w:rPr>
        <w:t>Original Shareholder</w:t>
      </w:r>
      <w:r w:rsidRPr="00C7122C">
        <w:rPr>
          <w:sz w:val="20"/>
          <w:szCs w:val="20"/>
        </w:rPr>
        <w:t xml:space="preserve">: has the meaning given in </w:t>
      </w:r>
      <w:r w:rsidRPr="00C7122C">
        <w:rPr>
          <w:sz w:val="20"/>
          <w:szCs w:val="20"/>
        </w:rPr>
        <w:fldChar w:fldCharType="begin"/>
      </w:r>
      <w:r w:rsidRPr="00C7122C">
        <w:rPr>
          <w:sz w:val="20"/>
          <w:szCs w:val="20"/>
        </w:rPr>
        <w:instrText>PAGEREF a879121\#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a879121 \h \w</w:instrText>
      </w:r>
      <w:r w:rsidR="00DC75D2"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15.1</w:t>
      </w:r>
      <w:r w:rsidRPr="00C7122C">
        <w:rPr>
          <w:sz w:val="20"/>
          <w:szCs w:val="20"/>
        </w:rPr>
        <w:fldChar w:fldCharType="end"/>
      </w:r>
      <w:r w:rsidRPr="00C7122C">
        <w:rPr>
          <w:sz w:val="20"/>
          <w:szCs w:val="20"/>
        </w:rPr>
        <w:t>.</w:t>
      </w:r>
      <w:bookmarkEnd w:id="24"/>
    </w:p>
    <w:p w14:paraId="7F5C8620" w14:textId="77777777" w:rsidR="00000000" w:rsidRPr="00C7122C" w:rsidRDefault="00A35BEC" w:rsidP="00DC75D2">
      <w:pPr>
        <w:pStyle w:val="Body2"/>
        <w:rPr>
          <w:sz w:val="20"/>
          <w:szCs w:val="20"/>
        </w:rPr>
      </w:pPr>
      <w:bookmarkStart w:id="25" w:name="a712959"/>
      <w:r w:rsidRPr="00C7122C">
        <w:rPr>
          <w:b/>
          <w:bCs/>
          <w:sz w:val="20"/>
          <w:szCs w:val="20"/>
        </w:rPr>
        <w:t>Permitted Transfer</w:t>
      </w:r>
      <w:r w:rsidRPr="00C7122C">
        <w:rPr>
          <w:sz w:val="20"/>
          <w:szCs w:val="20"/>
        </w:rPr>
        <w:t xml:space="preserve">: a transfer of Shares made in accordance with </w:t>
      </w:r>
      <w:r w:rsidRPr="00C7122C">
        <w:rPr>
          <w:sz w:val="20"/>
          <w:szCs w:val="20"/>
        </w:rPr>
        <w:fldChar w:fldCharType="begin"/>
      </w:r>
      <w:r w:rsidRPr="00C7122C">
        <w:rPr>
          <w:sz w:val="20"/>
          <w:szCs w:val="20"/>
        </w:rPr>
        <w:instrText>PAGEREF a817012\#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a817012 \h \w</w:instrText>
      </w:r>
      <w:r w:rsidR="00DC75D2"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15</w:t>
      </w:r>
      <w:r w:rsidRPr="00C7122C">
        <w:rPr>
          <w:sz w:val="20"/>
          <w:szCs w:val="20"/>
        </w:rPr>
        <w:fldChar w:fldCharType="end"/>
      </w:r>
      <w:r w:rsidRPr="00C7122C">
        <w:rPr>
          <w:sz w:val="20"/>
          <w:szCs w:val="20"/>
        </w:rPr>
        <w:t>.</w:t>
      </w:r>
      <w:bookmarkEnd w:id="25"/>
    </w:p>
    <w:p w14:paraId="1B92758F" w14:textId="77777777" w:rsidR="00000000" w:rsidRPr="00C7122C" w:rsidRDefault="00A35BEC" w:rsidP="004D2180">
      <w:pPr>
        <w:pStyle w:val="Body2"/>
        <w:rPr>
          <w:sz w:val="20"/>
          <w:szCs w:val="20"/>
        </w:rPr>
      </w:pPr>
      <w:bookmarkStart w:id="26" w:name="a344695"/>
      <w:r w:rsidRPr="00C7122C">
        <w:rPr>
          <w:b/>
          <w:bCs/>
          <w:sz w:val="20"/>
          <w:szCs w:val="20"/>
        </w:rPr>
        <w:t>Permitted Transferee</w:t>
      </w:r>
      <w:r w:rsidRPr="00C7122C">
        <w:rPr>
          <w:sz w:val="20"/>
          <w:szCs w:val="20"/>
        </w:rPr>
        <w:t>: in relation to</w:t>
      </w:r>
      <w:bookmarkEnd w:id="26"/>
      <w:r w:rsidR="004D2180" w:rsidRPr="00C7122C">
        <w:rPr>
          <w:sz w:val="20"/>
          <w:szCs w:val="20"/>
        </w:rPr>
        <w:t xml:space="preserve"> </w:t>
      </w:r>
      <w:r w:rsidRPr="00C7122C">
        <w:rPr>
          <w:sz w:val="20"/>
          <w:szCs w:val="20"/>
        </w:rPr>
        <w:t>a Shareholder who is an individual, any of their Privileged Relations or the trustee(s) of a Family Trust;</w:t>
      </w:r>
    </w:p>
    <w:p w14:paraId="5CB4B30F" w14:textId="77777777" w:rsidR="00000000" w:rsidRPr="00C7122C" w:rsidRDefault="00A35BEC" w:rsidP="00DC75D2">
      <w:pPr>
        <w:pStyle w:val="Body2"/>
        <w:rPr>
          <w:sz w:val="20"/>
          <w:szCs w:val="20"/>
        </w:rPr>
      </w:pPr>
      <w:bookmarkStart w:id="27" w:name="a405885"/>
      <w:r w:rsidRPr="00C7122C">
        <w:rPr>
          <w:b/>
          <w:bCs/>
          <w:sz w:val="20"/>
          <w:szCs w:val="20"/>
        </w:rPr>
        <w:t>Privileged Relation</w:t>
      </w:r>
      <w:r w:rsidRPr="00C7122C">
        <w:rPr>
          <w:sz w:val="20"/>
          <w:szCs w:val="20"/>
        </w:rPr>
        <w:t>: in relation to a Shareholder who is an individual (or a deceased or former Shareholder who is an individual), a spouse, civil partner (as defined in the Civil Partnerships Act 2004), child or grandchild (including step or adopted or illegitimate child and their issue).</w:t>
      </w:r>
      <w:bookmarkEnd w:id="27"/>
    </w:p>
    <w:p w14:paraId="1B462490" w14:textId="77777777" w:rsidR="00000000" w:rsidRPr="00C7122C" w:rsidRDefault="00A35BEC" w:rsidP="008042C0">
      <w:pPr>
        <w:pStyle w:val="Body2"/>
        <w:rPr>
          <w:sz w:val="20"/>
          <w:szCs w:val="20"/>
        </w:rPr>
      </w:pPr>
      <w:bookmarkStart w:id="28" w:name="a663176"/>
      <w:r w:rsidRPr="00C7122C">
        <w:rPr>
          <w:b/>
          <w:bCs/>
          <w:sz w:val="20"/>
          <w:szCs w:val="20"/>
        </w:rPr>
        <w:t>Relevant Securities</w:t>
      </w:r>
      <w:r w:rsidRPr="00C7122C">
        <w:rPr>
          <w:sz w:val="20"/>
          <w:szCs w:val="20"/>
        </w:rPr>
        <w:t>: any Shares or other securities convertible into, or carrying the right to subscribe for Shares, issued by the Company after the Adoption Date</w:t>
      </w:r>
      <w:bookmarkEnd w:id="28"/>
      <w:r w:rsidR="008042C0" w:rsidRPr="00C7122C">
        <w:rPr>
          <w:sz w:val="20"/>
          <w:szCs w:val="20"/>
        </w:rPr>
        <w:t>.</w:t>
      </w:r>
    </w:p>
    <w:p w14:paraId="6CF5612E" w14:textId="6588FD6D" w:rsidR="00000000" w:rsidRPr="00C7122C" w:rsidRDefault="00A35BEC" w:rsidP="00DC75D2">
      <w:pPr>
        <w:pStyle w:val="Body2"/>
        <w:rPr>
          <w:sz w:val="20"/>
          <w:szCs w:val="20"/>
        </w:rPr>
      </w:pPr>
      <w:bookmarkStart w:id="29" w:name="a662171"/>
      <w:r w:rsidRPr="00C7122C">
        <w:rPr>
          <w:b/>
          <w:bCs/>
          <w:sz w:val="20"/>
          <w:szCs w:val="20"/>
        </w:rPr>
        <w:t>Restricted Shares</w:t>
      </w:r>
      <w:r w:rsidRPr="00C7122C">
        <w:rPr>
          <w:sz w:val="20"/>
          <w:szCs w:val="20"/>
        </w:rPr>
        <w:t xml:space="preserve">: has the meaning given in </w:t>
      </w:r>
      <w:r w:rsidRPr="00C7122C">
        <w:rPr>
          <w:sz w:val="20"/>
          <w:szCs w:val="20"/>
        </w:rPr>
        <w:fldChar w:fldCharType="begin"/>
      </w:r>
      <w:r w:rsidRPr="00C7122C">
        <w:rPr>
          <w:sz w:val="20"/>
          <w:szCs w:val="20"/>
        </w:rPr>
        <w:instrText>PAGEREF a890822\#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a890822 \h \w</w:instrText>
      </w:r>
      <w:r w:rsidR="00DC75D2"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18.2</w:t>
      </w:r>
      <w:r w:rsidRPr="00C7122C">
        <w:rPr>
          <w:sz w:val="20"/>
          <w:szCs w:val="20"/>
        </w:rPr>
        <w:fldChar w:fldCharType="end"/>
      </w:r>
      <w:r w:rsidRPr="00C7122C">
        <w:rPr>
          <w:sz w:val="20"/>
          <w:szCs w:val="20"/>
        </w:rPr>
        <w:t>.</w:t>
      </w:r>
      <w:bookmarkEnd w:id="29"/>
    </w:p>
    <w:p w14:paraId="1C9E1CBF" w14:textId="77777777" w:rsidR="009543AD" w:rsidRPr="00C7122C" w:rsidRDefault="009543AD" w:rsidP="009543AD">
      <w:pPr>
        <w:pStyle w:val="Body2"/>
        <w:rPr>
          <w:sz w:val="20"/>
          <w:szCs w:val="20"/>
        </w:rPr>
      </w:pPr>
      <w:bookmarkStart w:id="30" w:name="a669351"/>
      <w:bookmarkStart w:id="31" w:name="a298262"/>
      <w:r w:rsidRPr="00C7122C">
        <w:rPr>
          <w:b/>
          <w:bCs/>
          <w:sz w:val="20"/>
          <w:szCs w:val="20"/>
        </w:rPr>
        <w:t>Sale Notice</w:t>
      </w:r>
      <w:r w:rsidRPr="00C7122C">
        <w:rPr>
          <w:sz w:val="20"/>
          <w:szCs w:val="20"/>
        </w:rPr>
        <w:t xml:space="preserve">: has the meaning given in </w:t>
      </w:r>
      <w:bookmarkEnd w:id="30"/>
      <w:r w:rsidRPr="00C7122C">
        <w:rPr>
          <w:sz w:val="20"/>
          <w:szCs w:val="20"/>
        </w:rPr>
        <w:t xml:space="preserve">article </w:t>
      </w:r>
      <w:r w:rsidRPr="00C7122C">
        <w:rPr>
          <w:sz w:val="20"/>
          <w:szCs w:val="20"/>
        </w:rPr>
        <w:fldChar w:fldCharType="begin"/>
      </w:r>
      <w:r w:rsidRPr="00C7122C">
        <w:rPr>
          <w:sz w:val="20"/>
          <w:szCs w:val="20"/>
        </w:rPr>
        <w:instrText xml:space="preserve"> REF _Ref113876429 \r \h </w:instrText>
      </w:r>
      <w:r w:rsidR="00D90415"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rPr>
        <w:t>16.2</w:t>
      </w:r>
      <w:r w:rsidRPr="00C7122C">
        <w:rPr>
          <w:sz w:val="20"/>
          <w:szCs w:val="20"/>
        </w:rPr>
        <w:fldChar w:fldCharType="end"/>
      </w:r>
      <w:r w:rsidRPr="00C7122C">
        <w:rPr>
          <w:sz w:val="20"/>
          <w:szCs w:val="20"/>
        </w:rPr>
        <w:t>.</w:t>
      </w:r>
    </w:p>
    <w:p w14:paraId="78C1889A" w14:textId="77777777" w:rsidR="00000000" w:rsidRPr="00C7122C" w:rsidRDefault="00A35BEC" w:rsidP="00DC75D2">
      <w:pPr>
        <w:pStyle w:val="Body2"/>
        <w:rPr>
          <w:sz w:val="20"/>
          <w:szCs w:val="20"/>
        </w:rPr>
      </w:pPr>
      <w:r w:rsidRPr="00C7122C">
        <w:rPr>
          <w:b/>
          <w:bCs/>
          <w:sz w:val="20"/>
          <w:szCs w:val="20"/>
        </w:rPr>
        <w:t>Sale Proceeds</w:t>
      </w:r>
      <w:r w:rsidRPr="00C7122C">
        <w:rPr>
          <w:sz w:val="20"/>
          <w:szCs w:val="20"/>
        </w:rPr>
        <w:t>: means the consideration payable (including any deferred and/or contingent consideration) whether in cash or otherwise to those Shareholders selling Shares under a Share Sale (less any fees and expenses payable by the selling Shareholders under that Share Sale).</w:t>
      </w:r>
      <w:bookmarkEnd w:id="31"/>
    </w:p>
    <w:p w14:paraId="33A26525" w14:textId="77777777" w:rsidR="00000000" w:rsidRPr="00C7122C" w:rsidRDefault="00A35BEC" w:rsidP="00DC75D2">
      <w:pPr>
        <w:pStyle w:val="Body2"/>
        <w:rPr>
          <w:sz w:val="20"/>
          <w:szCs w:val="20"/>
        </w:rPr>
      </w:pPr>
      <w:bookmarkStart w:id="32" w:name="a743036"/>
      <w:r w:rsidRPr="00C7122C">
        <w:rPr>
          <w:b/>
          <w:bCs/>
          <w:sz w:val="20"/>
          <w:szCs w:val="20"/>
        </w:rPr>
        <w:t>Sale Shares</w:t>
      </w:r>
      <w:r w:rsidRPr="00C7122C">
        <w:rPr>
          <w:sz w:val="20"/>
          <w:szCs w:val="20"/>
        </w:rPr>
        <w:t xml:space="preserve">: has the meaning given in </w:t>
      </w:r>
      <w:bookmarkEnd w:id="32"/>
      <w:r w:rsidR="004D2180" w:rsidRPr="00C7122C">
        <w:rPr>
          <w:sz w:val="20"/>
          <w:szCs w:val="20"/>
        </w:rPr>
        <w:t xml:space="preserve">article </w:t>
      </w:r>
      <w:r w:rsidR="004D2180" w:rsidRPr="00C7122C">
        <w:rPr>
          <w:sz w:val="20"/>
          <w:szCs w:val="20"/>
        </w:rPr>
        <w:fldChar w:fldCharType="begin"/>
      </w:r>
      <w:r w:rsidR="004D2180" w:rsidRPr="00C7122C">
        <w:rPr>
          <w:sz w:val="20"/>
          <w:szCs w:val="20"/>
        </w:rPr>
        <w:instrText xml:space="preserve"> REF _Ref113876429 \r \h </w:instrText>
      </w:r>
      <w:r w:rsidR="00D90415" w:rsidRPr="00C7122C">
        <w:rPr>
          <w:sz w:val="20"/>
          <w:szCs w:val="20"/>
        </w:rPr>
        <w:instrText xml:space="preserve"> \* MERGEFORMAT </w:instrText>
      </w:r>
      <w:r w:rsidR="004D2180" w:rsidRPr="00C7122C">
        <w:rPr>
          <w:sz w:val="20"/>
          <w:szCs w:val="20"/>
        </w:rPr>
      </w:r>
      <w:r w:rsidR="004D2180" w:rsidRPr="00C7122C">
        <w:rPr>
          <w:sz w:val="20"/>
          <w:szCs w:val="20"/>
        </w:rPr>
        <w:fldChar w:fldCharType="separate"/>
      </w:r>
      <w:r w:rsidR="0017407B">
        <w:rPr>
          <w:sz w:val="20"/>
          <w:szCs w:val="20"/>
        </w:rPr>
        <w:t>16.2</w:t>
      </w:r>
      <w:r w:rsidR="004D2180" w:rsidRPr="00C7122C">
        <w:rPr>
          <w:sz w:val="20"/>
          <w:szCs w:val="20"/>
        </w:rPr>
        <w:fldChar w:fldCharType="end"/>
      </w:r>
      <w:r w:rsidR="004D2180" w:rsidRPr="00C7122C">
        <w:rPr>
          <w:sz w:val="20"/>
          <w:szCs w:val="20"/>
        </w:rPr>
        <w:t>.</w:t>
      </w:r>
    </w:p>
    <w:p w14:paraId="780F172D" w14:textId="77777777" w:rsidR="00000000" w:rsidRPr="00C7122C" w:rsidRDefault="00A35BEC" w:rsidP="00DC75D2">
      <w:pPr>
        <w:pStyle w:val="Body2"/>
        <w:rPr>
          <w:sz w:val="20"/>
          <w:szCs w:val="20"/>
        </w:rPr>
      </w:pPr>
      <w:bookmarkStart w:id="33" w:name="a540406"/>
      <w:r w:rsidRPr="00C7122C">
        <w:rPr>
          <w:b/>
          <w:bCs/>
          <w:sz w:val="20"/>
          <w:szCs w:val="20"/>
        </w:rPr>
        <w:t>Seller</w:t>
      </w:r>
      <w:r w:rsidRPr="00C7122C">
        <w:rPr>
          <w:sz w:val="20"/>
          <w:szCs w:val="20"/>
        </w:rPr>
        <w:t xml:space="preserve">: has the meaning given in </w:t>
      </w:r>
      <w:bookmarkEnd w:id="33"/>
      <w:r w:rsidR="004D2180" w:rsidRPr="00C7122C">
        <w:rPr>
          <w:sz w:val="20"/>
          <w:szCs w:val="20"/>
        </w:rPr>
        <w:t xml:space="preserve">article </w:t>
      </w:r>
      <w:r w:rsidR="004D2180" w:rsidRPr="00C7122C">
        <w:rPr>
          <w:sz w:val="20"/>
          <w:szCs w:val="20"/>
        </w:rPr>
        <w:fldChar w:fldCharType="begin"/>
      </w:r>
      <w:r w:rsidR="004D2180" w:rsidRPr="00C7122C">
        <w:rPr>
          <w:sz w:val="20"/>
          <w:szCs w:val="20"/>
        </w:rPr>
        <w:instrText xml:space="preserve"> REF _Ref113876429 \r \h </w:instrText>
      </w:r>
      <w:r w:rsidR="00D90415" w:rsidRPr="00C7122C">
        <w:rPr>
          <w:sz w:val="20"/>
          <w:szCs w:val="20"/>
        </w:rPr>
        <w:instrText xml:space="preserve"> \* MERGEFORMAT </w:instrText>
      </w:r>
      <w:r w:rsidR="004D2180" w:rsidRPr="00C7122C">
        <w:rPr>
          <w:sz w:val="20"/>
          <w:szCs w:val="20"/>
        </w:rPr>
      </w:r>
      <w:r w:rsidR="004D2180" w:rsidRPr="00C7122C">
        <w:rPr>
          <w:sz w:val="20"/>
          <w:szCs w:val="20"/>
        </w:rPr>
        <w:fldChar w:fldCharType="separate"/>
      </w:r>
      <w:r w:rsidR="0017407B">
        <w:rPr>
          <w:sz w:val="20"/>
          <w:szCs w:val="20"/>
        </w:rPr>
        <w:t>16.2</w:t>
      </w:r>
      <w:r w:rsidR="004D2180" w:rsidRPr="00C7122C">
        <w:rPr>
          <w:sz w:val="20"/>
          <w:szCs w:val="20"/>
        </w:rPr>
        <w:fldChar w:fldCharType="end"/>
      </w:r>
      <w:r w:rsidR="004D2180" w:rsidRPr="00C7122C">
        <w:rPr>
          <w:sz w:val="20"/>
          <w:szCs w:val="20"/>
        </w:rPr>
        <w:t>.</w:t>
      </w:r>
    </w:p>
    <w:p w14:paraId="75F91846" w14:textId="77777777" w:rsidR="00000000" w:rsidRPr="00C7122C" w:rsidRDefault="00A35BEC" w:rsidP="00DC75D2">
      <w:pPr>
        <w:pStyle w:val="Body2"/>
        <w:rPr>
          <w:sz w:val="20"/>
          <w:szCs w:val="20"/>
        </w:rPr>
      </w:pPr>
      <w:bookmarkStart w:id="34" w:name="a264517"/>
      <w:r w:rsidRPr="00C7122C">
        <w:rPr>
          <w:b/>
          <w:bCs/>
          <w:sz w:val="20"/>
          <w:szCs w:val="20"/>
        </w:rPr>
        <w:t>Shareholder</w:t>
      </w:r>
      <w:r w:rsidRPr="00C7122C">
        <w:rPr>
          <w:sz w:val="20"/>
          <w:szCs w:val="20"/>
        </w:rPr>
        <w:t>: a holder for the time being of any Share or Shares, but excluding any member holding Shares in treasury.</w:t>
      </w:r>
      <w:bookmarkEnd w:id="34"/>
    </w:p>
    <w:p w14:paraId="70252A17" w14:textId="77777777" w:rsidR="00000000" w:rsidRPr="00C7122C" w:rsidRDefault="00A35BEC" w:rsidP="00DC75D2">
      <w:pPr>
        <w:pStyle w:val="Body2"/>
        <w:rPr>
          <w:sz w:val="20"/>
          <w:szCs w:val="20"/>
        </w:rPr>
      </w:pPr>
      <w:bookmarkStart w:id="35" w:name="a729986"/>
      <w:r w:rsidRPr="00C7122C">
        <w:rPr>
          <w:b/>
          <w:bCs/>
          <w:sz w:val="20"/>
          <w:szCs w:val="20"/>
        </w:rPr>
        <w:lastRenderedPageBreak/>
        <w:t>Shares</w:t>
      </w:r>
      <w:r w:rsidRPr="00C7122C">
        <w:rPr>
          <w:sz w:val="20"/>
          <w:szCs w:val="20"/>
        </w:rPr>
        <w:t>: shares (of any class) in the capital of the Company and Share: shall be construed accordingly.</w:t>
      </w:r>
      <w:bookmarkEnd w:id="35"/>
    </w:p>
    <w:p w14:paraId="5CCCAD83" w14:textId="77777777" w:rsidR="00000000" w:rsidRPr="00C7122C" w:rsidRDefault="00A35BEC" w:rsidP="00DC75D2">
      <w:pPr>
        <w:pStyle w:val="Body2"/>
        <w:rPr>
          <w:sz w:val="20"/>
          <w:szCs w:val="20"/>
        </w:rPr>
      </w:pPr>
      <w:bookmarkStart w:id="36" w:name="a691300"/>
      <w:r w:rsidRPr="00C7122C">
        <w:rPr>
          <w:b/>
          <w:bCs/>
          <w:sz w:val="20"/>
          <w:szCs w:val="20"/>
        </w:rPr>
        <w:t>Share Sale</w:t>
      </w:r>
      <w:r w:rsidRPr="00C7122C">
        <w:rPr>
          <w:sz w:val="20"/>
          <w:szCs w:val="20"/>
        </w:rPr>
        <w:t>: the sale of (or the grant of a right to acquire or to dispose of) any Shares (in one transaction or as a series of transactions) which would, if completed, result in the buyer of those Shares (or grantee of that right) and persons acting in concert with the buyer of those Shares together acquiring a Controlling Interest, except where the identities of the shareholders in the buyer and the proportion of shares of the buyer held by each of them following completion of the sale are the same as the identities of the Shareholders and their respective shareholdings in the Company immediately before the sale.</w:t>
      </w:r>
      <w:bookmarkEnd w:id="36"/>
    </w:p>
    <w:p w14:paraId="33296FDB" w14:textId="77777777" w:rsidR="00000000" w:rsidRPr="001E2D38" w:rsidRDefault="00A35BEC" w:rsidP="00DC75D2">
      <w:pPr>
        <w:pStyle w:val="Body2"/>
        <w:rPr>
          <w:sz w:val="20"/>
          <w:szCs w:val="20"/>
        </w:rPr>
      </w:pPr>
      <w:bookmarkStart w:id="37" w:name="a879711"/>
      <w:r w:rsidRPr="001E2D38">
        <w:rPr>
          <w:b/>
          <w:bCs/>
          <w:sz w:val="20"/>
          <w:szCs w:val="20"/>
        </w:rPr>
        <w:t>Price</w:t>
      </w:r>
      <w:r w:rsidRPr="001E2D38">
        <w:rPr>
          <w:sz w:val="20"/>
          <w:szCs w:val="20"/>
        </w:rPr>
        <w:t xml:space="preserve">: has the meaning given in </w:t>
      </w:r>
      <w:r w:rsidRPr="001E2D38">
        <w:rPr>
          <w:sz w:val="20"/>
          <w:szCs w:val="20"/>
        </w:rPr>
        <w:fldChar w:fldCharType="begin"/>
      </w:r>
      <w:r w:rsidRPr="001E2D38">
        <w:rPr>
          <w:sz w:val="20"/>
          <w:szCs w:val="20"/>
        </w:rPr>
        <w:instrText>PAGEREF a1026593\# "'article '"  \h</w:instrText>
      </w:r>
      <w:r w:rsidRPr="001E2D38">
        <w:rPr>
          <w:sz w:val="20"/>
          <w:szCs w:val="20"/>
        </w:rPr>
      </w:r>
      <w:r w:rsidRPr="001E2D38">
        <w:rPr>
          <w:sz w:val="20"/>
          <w:szCs w:val="20"/>
        </w:rPr>
        <w:fldChar w:fldCharType="separate"/>
      </w:r>
      <w:r w:rsidR="0017407B" w:rsidRPr="001E2D38">
        <w:rPr>
          <w:noProof/>
          <w:sz w:val="20"/>
          <w:szCs w:val="20"/>
        </w:rPr>
        <w:t xml:space="preserve">article </w:t>
      </w:r>
      <w:r w:rsidRPr="001E2D38">
        <w:rPr>
          <w:sz w:val="20"/>
          <w:szCs w:val="20"/>
        </w:rPr>
        <w:fldChar w:fldCharType="end"/>
      </w:r>
      <w:r w:rsidRPr="001E2D38">
        <w:rPr>
          <w:sz w:val="20"/>
          <w:szCs w:val="20"/>
        </w:rPr>
        <w:fldChar w:fldCharType="begin"/>
      </w:r>
      <w:r w:rsidRPr="001E2D38">
        <w:rPr>
          <w:sz w:val="20"/>
          <w:szCs w:val="20"/>
        </w:rPr>
        <w:instrText>REF a1026593 \h \w</w:instrText>
      </w:r>
      <w:r w:rsidR="00DC75D2" w:rsidRPr="001E2D38">
        <w:rPr>
          <w:sz w:val="20"/>
          <w:szCs w:val="20"/>
        </w:rPr>
        <w:instrText xml:space="preserve"> \* MERGEFORMAT </w:instrText>
      </w:r>
      <w:r w:rsidRPr="001E2D38">
        <w:rPr>
          <w:sz w:val="20"/>
          <w:szCs w:val="20"/>
        </w:rPr>
      </w:r>
      <w:r w:rsidRPr="001E2D38">
        <w:rPr>
          <w:sz w:val="20"/>
          <w:szCs w:val="20"/>
        </w:rPr>
        <w:fldChar w:fldCharType="separate"/>
      </w:r>
      <w:r w:rsidR="0017407B">
        <w:rPr>
          <w:sz w:val="20"/>
          <w:szCs w:val="20"/>
        </w:rPr>
        <w:t>17</w:t>
      </w:r>
      <w:r w:rsidRPr="001E2D38">
        <w:rPr>
          <w:sz w:val="20"/>
          <w:szCs w:val="20"/>
        </w:rPr>
        <w:fldChar w:fldCharType="end"/>
      </w:r>
      <w:r w:rsidRPr="001E2D38">
        <w:rPr>
          <w:sz w:val="20"/>
          <w:szCs w:val="20"/>
        </w:rPr>
        <w:t>.</w:t>
      </w:r>
      <w:bookmarkEnd w:id="37"/>
    </w:p>
    <w:p w14:paraId="57B4E24C" w14:textId="77777777" w:rsidR="00000000" w:rsidRPr="00C7122C" w:rsidRDefault="00A35BEC" w:rsidP="00DC75D2">
      <w:pPr>
        <w:pStyle w:val="Body2"/>
        <w:rPr>
          <w:sz w:val="20"/>
          <w:szCs w:val="20"/>
        </w:rPr>
      </w:pPr>
      <w:bookmarkStart w:id="38" w:name="a825560"/>
      <w:r w:rsidRPr="001E2D38">
        <w:rPr>
          <w:b/>
          <w:bCs/>
          <w:sz w:val="20"/>
          <w:szCs w:val="20"/>
        </w:rPr>
        <w:t>Writing or written</w:t>
      </w:r>
      <w:r w:rsidRPr="001E2D38">
        <w:rPr>
          <w:sz w:val="20"/>
          <w:szCs w:val="20"/>
        </w:rPr>
        <w:t>: the representation</w:t>
      </w:r>
      <w:r w:rsidRPr="00C7122C">
        <w:rPr>
          <w:sz w:val="20"/>
          <w:szCs w:val="20"/>
        </w:rPr>
        <w:t xml:space="preserve"> or reproduction of words, </w:t>
      </w:r>
      <w:proofErr w:type="gramStart"/>
      <w:r w:rsidRPr="00C7122C">
        <w:rPr>
          <w:sz w:val="20"/>
          <w:szCs w:val="20"/>
        </w:rPr>
        <w:t>symbols</w:t>
      </w:r>
      <w:proofErr w:type="gramEnd"/>
      <w:r w:rsidRPr="00C7122C">
        <w:rPr>
          <w:sz w:val="20"/>
          <w:szCs w:val="20"/>
        </w:rPr>
        <w:t xml:space="preserve"> or other information in a visible form by any method or combination of methods, whether sent or supplied in electronic form or otherwise, save that, in relation to a</w:t>
      </w:r>
      <w:r w:rsidR="009543AD" w:rsidRPr="00C7122C">
        <w:rPr>
          <w:sz w:val="20"/>
          <w:szCs w:val="20"/>
        </w:rPr>
        <w:t xml:space="preserve"> Sale</w:t>
      </w:r>
      <w:r w:rsidRPr="00C7122C">
        <w:rPr>
          <w:sz w:val="20"/>
          <w:szCs w:val="20"/>
        </w:rPr>
        <w:t xml:space="preserve"> Notice (or Deemed </w:t>
      </w:r>
      <w:r w:rsidR="009543AD" w:rsidRPr="00C7122C">
        <w:rPr>
          <w:sz w:val="20"/>
          <w:szCs w:val="20"/>
        </w:rPr>
        <w:t xml:space="preserve">Sale </w:t>
      </w:r>
      <w:r w:rsidRPr="00C7122C">
        <w:rPr>
          <w:sz w:val="20"/>
          <w:szCs w:val="20"/>
        </w:rPr>
        <w:t>Notice), "writing" or "written" shall not include the sending or supply of notices, documents or information in electronic form (other than by fax).</w:t>
      </w:r>
      <w:r w:rsidRPr="00C7122C">
        <w:rPr>
          <w:sz w:val="20"/>
          <w:szCs w:val="20"/>
        </w:rPr>
        <w:fldChar w:fldCharType="begin"/>
      </w:r>
      <w:r w:rsidRPr="00C7122C">
        <w:rPr>
          <w:sz w:val="20"/>
          <w:szCs w:val="20"/>
        </w:rPr>
        <w:fldChar w:fldCharType="end"/>
      </w:r>
      <w:bookmarkEnd w:id="38"/>
    </w:p>
    <w:p w14:paraId="515A7139" w14:textId="77777777" w:rsidR="00000000" w:rsidRPr="00C7122C" w:rsidRDefault="00A35BEC" w:rsidP="00E12420">
      <w:pPr>
        <w:pStyle w:val="Level2"/>
        <w:rPr>
          <w:sz w:val="20"/>
          <w:szCs w:val="20"/>
        </w:rPr>
      </w:pPr>
      <w:bookmarkStart w:id="39" w:name="a67735"/>
      <w:r w:rsidRPr="00C7122C">
        <w:rPr>
          <w:sz w:val="20"/>
          <w:szCs w:val="20"/>
        </w:rPr>
        <w:t>Headings in these Articles shall not affect the interpretation of these Articles.</w:t>
      </w:r>
      <w:bookmarkEnd w:id="39"/>
    </w:p>
    <w:p w14:paraId="15B67BF7" w14:textId="77777777" w:rsidR="00000000" w:rsidRPr="00C7122C" w:rsidRDefault="00A35BEC" w:rsidP="00E12420">
      <w:pPr>
        <w:pStyle w:val="Level2"/>
        <w:rPr>
          <w:sz w:val="20"/>
          <w:szCs w:val="20"/>
        </w:rPr>
      </w:pPr>
      <w:bookmarkStart w:id="40" w:name="a847471"/>
      <w:r w:rsidRPr="00C7122C">
        <w:rPr>
          <w:sz w:val="20"/>
          <w:szCs w:val="20"/>
        </w:rPr>
        <w:t xml:space="preserve">Unless the context otherwise requires, words in the singular shall include the plural and the plural shall include the singular. </w:t>
      </w:r>
      <w:bookmarkEnd w:id="40"/>
    </w:p>
    <w:p w14:paraId="14BE678F" w14:textId="77777777" w:rsidR="00000000" w:rsidRPr="00C7122C" w:rsidRDefault="00A35BEC" w:rsidP="00E12420">
      <w:pPr>
        <w:pStyle w:val="Level2"/>
        <w:rPr>
          <w:sz w:val="20"/>
          <w:szCs w:val="20"/>
        </w:rPr>
      </w:pPr>
      <w:bookmarkStart w:id="41" w:name="a242681"/>
      <w:r w:rsidRPr="00C7122C">
        <w:rPr>
          <w:sz w:val="20"/>
          <w:szCs w:val="20"/>
        </w:rPr>
        <w:t>Unless the context otherwise requires, a reference to one gender shall include a reference to the other genders.</w:t>
      </w:r>
      <w:bookmarkEnd w:id="41"/>
    </w:p>
    <w:p w14:paraId="67978E99" w14:textId="77777777" w:rsidR="00000000" w:rsidRPr="00C7122C" w:rsidRDefault="00A35BEC" w:rsidP="00E12420">
      <w:pPr>
        <w:pStyle w:val="Level2"/>
        <w:rPr>
          <w:sz w:val="20"/>
          <w:szCs w:val="20"/>
        </w:rPr>
      </w:pPr>
      <w:bookmarkStart w:id="42" w:name="a1057052"/>
      <w:r w:rsidRPr="00C7122C">
        <w:rPr>
          <w:sz w:val="20"/>
          <w:szCs w:val="20"/>
        </w:rPr>
        <w:t>Save as otherwise specifically provided in these Articles, words and expressions which have particular meanings in the Model Articles shall have the same meanings in these Articles, subject to which and unless the context otherwise requires, words and expressions which have particular meanings in the Act shall have the same meanings in these Articles (but excluding any statutory modification of them not in force on the Adoption Date).</w:t>
      </w:r>
      <w:bookmarkEnd w:id="42"/>
    </w:p>
    <w:p w14:paraId="3C465F85" w14:textId="77777777" w:rsidR="00000000" w:rsidRPr="00C7122C" w:rsidRDefault="00A35BEC" w:rsidP="00E12420">
      <w:pPr>
        <w:pStyle w:val="Level2"/>
        <w:rPr>
          <w:sz w:val="20"/>
          <w:szCs w:val="20"/>
        </w:rPr>
      </w:pPr>
      <w:bookmarkStart w:id="43" w:name="a400488"/>
      <w:r w:rsidRPr="00C7122C">
        <w:rPr>
          <w:sz w:val="20"/>
          <w:szCs w:val="20"/>
        </w:rPr>
        <w:t>A reference in these Articles to:</w:t>
      </w:r>
      <w:bookmarkEnd w:id="43"/>
    </w:p>
    <w:p w14:paraId="72CB4648" w14:textId="77777777" w:rsidR="00000000" w:rsidRPr="00C7122C" w:rsidRDefault="00A35BEC" w:rsidP="00E12420">
      <w:pPr>
        <w:pStyle w:val="Level3"/>
        <w:rPr>
          <w:sz w:val="20"/>
          <w:szCs w:val="20"/>
        </w:rPr>
      </w:pPr>
      <w:bookmarkStart w:id="44" w:name="a214860"/>
      <w:r w:rsidRPr="00C7122C">
        <w:rPr>
          <w:sz w:val="20"/>
          <w:szCs w:val="20"/>
        </w:rPr>
        <w:t xml:space="preserve">an </w:t>
      </w:r>
      <w:r w:rsidRPr="00C7122C">
        <w:rPr>
          <w:b/>
          <w:sz w:val="20"/>
          <w:szCs w:val="20"/>
        </w:rPr>
        <w:t>Article</w:t>
      </w:r>
      <w:r w:rsidRPr="00C7122C">
        <w:rPr>
          <w:sz w:val="20"/>
          <w:szCs w:val="20"/>
        </w:rPr>
        <w:t xml:space="preserve"> is a reference to the relevant numbered article of these Articles; and</w:t>
      </w:r>
      <w:bookmarkEnd w:id="44"/>
    </w:p>
    <w:p w14:paraId="7B54379B" w14:textId="77777777" w:rsidR="00000000" w:rsidRPr="00C7122C" w:rsidRDefault="00A35BEC" w:rsidP="00E12420">
      <w:pPr>
        <w:pStyle w:val="Level3"/>
        <w:rPr>
          <w:sz w:val="20"/>
          <w:szCs w:val="20"/>
        </w:rPr>
      </w:pPr>
      <w:bookmarkStart w:id="45" w:name="a37323"/>
      <w:r w:rsidRPr="00C7122C">
        <w:rPr>
          <w:sz w:val="20"/>
          <w:szCs w:val="20"/>
        </w:rPr>
        <w:t xml:space="preserve">a </w:t>
      </w:r>
      <w:r w:rsidRPr="00C7122C">
        <w:rPr>
          <w:b/>
          <w:sz w:val="20"/>
          <w:szCs w:val="20"/>
        </w:rPr>
        <w:t>model article</w:t>
      </w:r>
      <w:r w:rsidRPr="00C7122C">
        <w:rPr>
          <w:sz w:val="20"/>
          <w:szCs w:val="20"/>
        </w:rPr>
        <w:t xml:space="preserve"> is a reference to the relevant article,</w:t>
      </w:r>
      <w:bookmarkEnd w:id="45"/>
    </w:p>
    <w:p w14:paraId="68E63476" w14:textId="77777777" w:rsidR="00000000" w:rsidRPr="00C7122C" w:rsidRDefault="00A35BEC" w:rsidP="00DC75D2">
      <w:pPr>
        <w:pStyle w:val="Body2"/>
        <w:rPr>
          <w:sz w:val="20"/>
          <w:szCs w:val="20"/>
        </w:rPr>
      </w:pPr>
      <w:r w:rsidRPr="00C7122C">
        <w:rPr>
          <w:sz w:val="20"/>
          <w:szCs w:val="20"/>
        </w:rPr>
        <w:t>unless expressly provided otherwise.</w:t>
      </w:r>
    </w:p>
    <w:p w14:paraId="62777625" w14:textId="77777777" w:rsidR="00000000" w:rsidRPr="00C7122C" w:rsidRDefault="00A35BEC" w:rsidP="00E12420">
      <w:pPr>
        <w:pStyle w:val="Level2"/>
        <w:rPr>
          <w:sz w:val="20"/>
          <w:szCs w:val="20"/>
        </w:rPr>
      </w:pPr>
      <w:bookmarkStart w:id="46" w:name="a879515"/>
      <w:r w:rsidRPr="00C7122C">
        <w:rPr>
          <w:sz w:val="20"/>
          <w:szCs w:val="20"/>
        </w:rPr>
        <w:t>A reference to legislation or a legislative provision is a reference to it as amended, extended or re-enacted from time to time. A reference to legislation or a legislative provision shall include all subordinate legislation made from time to time under that legislation or legislative provision.</w:t>
      </w:r>
      <w:bookmarkEnd w:id="46"/>
    </w:p>
    <w:p w14:paraId="1BFC5D22" w14:textId="77777777" w:rsidR="00000000" w:rsidRPr="00C7122C" w:rsidRDefault="00A35BEC" w:rsidP="00E12420">
      <w:pPr>
        <w:pStyle w:val="Level2"/>
        <w:rPr>
          <w:sz w:val="20"/>
          <w:szCs w:val="20"/>
        </w:rPr>
      </w:pPr>
      <w:bookmarkStart w:id="47" w:name="a146549"/>
      <w:r w:rsidRPr="00C7122C">
        <w:rPr>
          <w:sz w:val="20"/>
          <w:szCs w:val="20"/>
        </w:rPr>
        <w:t xml:space="preserve">Any words following the terms </w:t>
      </w:r>
      <w:r w:rsidRPr="00C7122C">
        <w:rPr>
          <w:b/>
          <w:sz w:val="20"/>
          <w:szCs w:val="20"/>
        </w:rPr>
        <w:t>including</w:t>
      </w:r>
      <w:r w:rsidRPr="00C7122C">
        <w:rPr>
          <w:sz w:val="20"/>
          <w:szCs w:val="20"/>
        </w:rPr>
        <w:t xml:space="preserve">, </w:t>
      </w:r>
      <w:r w:rsidRPr="00C7122C">
        <w:rPr>
          <w:b/>
          <w:sz w:val="20"/>
          <w:szCs w:val="20"/>
        </w:rPr>
        <w:t>include</w:t>
      </w:r>
      <w:r w:rsidRPr="00C7122C">
        <w:rPr>
          <w:sz w:val="20"/>
          <w:szCs w:val="20"/>
        </w:rPr>
        <w:t xml:space="preserve">, </w:t>
      </w:r>
      <w:r w:rsidRPr="00C7122C">
        <w:rPr>
          <w:b/>
          <w:sz w:val="20"/>
          <w:szCs w:val="20"/>
        </w:rPr>
        <w:t>in particular</w:t>
      </w:r>
      <w:r w:rsidRPr="00C7122C">
        <w:rPr>
          <w:sz w:val="20"/>
          <w:szCs w:val="20"/>
        </w:rPr>
        <w:t xml:space="preserve">, </w:t>
      </w:r>
      <w:r w:rsidRPr="00C7122C">
        <w:rPr>
          <w:b/>
          <w:sz w:val="20"/>
          <w:szCs w:val="20"/>
        </w:rPr>
        <w:t>for example</w:t>
      </w:r>
      <w:r w:rsidRPr="00C7122C">
        <w:rPr>
          <w:sz w:val="20"/>
          <w:szCs w:val="20"/>
        </w:rPr>
        <w:t xml:space="preserve"> or any similar expression shall be construed as illustrative and shall not limit the sense of the words, description, definition, phrase or term preceding those terms.</w:t>
      </w:r>
      <w:bookmarkEnd w:id="47"/>
    </w:p>
    <w:p w14:paraId="3B8DA636" w14:textId="77777777" w:rsidR="00000000" w:rsidRPr="00C7122C" w:rsidRDefault="00A35BEC" w:rsidP="00E12420">
      <w:pPr>
        <w:pStyle w:val="Level2"/>
        <w:rPr>
          <w:sz w:val="20"/>
          <w:szCs w:val="20"/>
        </w:rPr>
      </w:pPr>
      <w:bookmarkStart w:id="48" w:name="a823285"/>
      <w:r w:rsidRPr="00C7122C">
        <w:rPr>
          <w:sz w:val="20"/>
          <w:szCs w:val="20"/>
        </w:rPr>
        <w:t xml:space="preserve">Where the context permits, </w:t>
      </w:r>
      <w:r w:rsidRPr="00C7122C">
        <w:rPr>
          <w:b/>
          <w:sz w:val="20"/>
          <w:szCs w:val="20"/>
        </w:rPr>
        <w:t>other</w:t>
      </w:r>
      <w:r w:rsidRPr="00C7122C">
        <w:rPr>
          <w:sz w:val="20"/>
          <w:szCs w:val="20"/>
        </w:rPr>
        <w:t xml:space="preserve"> and </w:t>
      </w:r>
      <w:r w:rsidRPr="00C7122C">
        <w:rPr>
          <w:b/>
          <w:sz w:val="20"/>
          <w:szCs w:val="20"/>
        </w:rPr>
        <w:t>otherwise</w:t>
      </w:r>
      <w:r w:rsidRPr="00C7122C">
        <w:rPr>
          <w:sz w:val="20"/>
          <w:szCs w:val="20"/>
        </w:rPr>
        <w:t xml:space="preserve"> are illustrative and shall not limit the sense of the words preceding them.</w:t>
      </w:r>
      <w:bookmarkEnd w:id="48"/>
    </w:p>
    <w:p w14:paraId="442E3CAF" w14:textId="77777777" w:rsidR="00000000" w:rsidRPr="00C7122C" w:rsidRDefault="00A35BEC" w:rsidP="00EA27A3">
      <w:pPr>
        <w:pStyle w:val="Level2"/>
        <w:rPr>
          <w:sz w:val="20"/>
          <w:szCs w:val="20"/>
        </w:rPr>
      </w:pPr>
      <w:bookmarkStart w:id="49" w:name="a407766"/>
      <w:r w:rsidRPr="00C7122C">
        <w:rPr>
          <w:sz w:val="20"/>
          <w:szCs w:val="20"/>
        </w:rPr>
        <w:t xml:space="preserve">A reference to a </w:t>
      </w:r>
      <w:r w:rsidRPr="00C7122C">
        <w:rPr>
          <w:b/>
          <w:sz w:val="20"/>
          <w:szCs w:val="20"/>
        </w:rPr>
        <w:t>holding company</w:t>
      </w:r>
      <w:r w:rsidRPr="00C7122C">
        <w:rPr>
          <w:sz w:val="20"/>
          <w:szCs w:val="20"/>
        </w:rPr>
        <w:t xml:space="preserve"> or a </w:t>
      </w:r>
      <w:r w:rsidRPr="00C7122C">
        <w:rPr>
          <w:b/>
          <w:sz w:val="20"/>
          <w:szCs w:val="20"/>
        </w:rPr>
        <w:t>subsidiary</w:t>
      </w:r>
      <w:r w:rsidRPr="00C7122C">
        <w:rPr>
          <w:sz w:val="20"/>
          <w:szCs w:val="20"/>
        </w:rPr>
        <w:t xml:space="preserve"> means a holding company or a subsidiary (as the case may be) as defined in section 1159 of the Act</w:t>
      </w:r>
      <w:bookmarkEnd w:id="49"/>
      <w:r w:rsidR="00EA27A3" w:rsidRPr="00C7122C">
        <w:rPr>
          <w:sz w:val="20"/>
          <w:szCs w:val="20"/>
        </w:rPr>
        <w:t>.</w:t>
      </w:r>
    </w:p>
    <w:p w14:paraId="3CDAE1F6" w14:textId="77777777" w:rsidR="00000000" w:rsidRPr="00C7122C" w:rsidRDefault="00A35BEC" w:rsidP="00E12420">
      <w:pPr>
        <w:pStyle w:val="Level1"/>
        <w:rPr>
          <w:sz w:val="20"/>
          <w:szCs w:val="20"/>
        </w:rPr>
      </w:pPr>
      <w:bookmarkStart w:id="50" w:name="_Toc256000001"/>
      <w:bookmarkStart w:id="51" w:name="a400367"/>
      <w:bookmarkStart w:id="52" w:name="_Toc144907410"/>
      <w:r w:rsidRPr="00C7122C">
        <w:rPr>
          <w:sz w:val="20"/>
          <w:szCs w:val="20"/>
        </w:rPr>
        <w:lastRenderedPageBreak/>
        <w:t>Adoption of the Model Articles</w:t>
      </w:r>
      <w:bookmarkEnd w:id="50"/>
      <w:bookmarkEnd w:id="51"/>
      <w:bookmarkEnd w:id="52"/>
    </w:p>
    <w:p w14:paraId="341B72C9" w14:textId="77777777" w:rsidR="00000000" w:rsidRPr="00C7122C" w:rsidRDefault="00A35BEC" w:rsidP="00E12420">
      <w:pPr>
        <w:pStyle w:val="Level2"/>
        <w:rPr>
          <w:sz w:val="20"/>
          <w:szCs w:val="20"/>
        </w:rPr>
      </w:pPr>
      <w:bookmarkStart w:id="53" w:name="a328943"/>
      <w:r w:rsidRPr="00C7122C">
        <w:rPr>
          <w:sz w:val="20"/>
          <w:szCs w:val="20"/>
        </w:rPr>
        <w:t xml:space="preserve">The Model Articles shall apply to the Company, except in so far as they are modified or excluded by these Articles or are inconsistent with these Articles, and, subject to any such modifications, exclusions or inconsistencies, shall together with these Articles constitute the </w:t>
      </w:r>
      <w:r w:rsidR="00691A23" w:rsidRPr="00C7122C">
        <w:rPr>
          <w:sz w:val="20"/>
          <w:szCs w:val="20"/>
        </w:rPr>
        <w:t>A</w:t>
      </w:r>
      <w:r w:rsidRPr="00C7122C">
        <w:rPr>
          <w:sz w:val="20"/>
          <w:szCs w:val="20"/>
        </w:rPr>
        <w:t xml:space="preserve">rticles of association of the Company to the exclusion of any other articles or regulations set out in any statute or in any statutory instrument or other subordinate legislation. </w:t>
      </w:r>
      <w:bookmarkEnd w:id="53"/>
    </w:p>
    <w:p w14:paraId="1C0F4963" w14:textId="77777777" w:rsidR="00000000" w:rsidRPr="00C7122C" w:rsidRDefault="00A35BEC" w:rsidP="00E12420">
      <w:pPr>
        <w:pStyle w:val="Level2"/>
        <w:rPr>
          <w:sz w:val="20"/>
          <w:szCs w:val="20"/>
        </w:rPr>
      </w:pPr>
      <w:bookmarkStart w:id="54" w:name="a852328"/>
      <w:r w:rsidRPr="00C7122C">
        <w:rPr>
          <w:sz w:val="20"/>
          <w:szCs w:val="20"/>
        </w:rPr>
        <w:t>Model articles 7, 8, 9(1) and (3), 11(2) and (3), 12, [13,] 14(1) to (4) (inclusive), 16, 18(e), 22, 26(5), 38, 39, 44(2), 49, 50 and 51 to 53 (inclusive) shall not apply to the Company.</w:t>
      </w:r>
      <w:bookmarkEnd w:id="54"/>
    </w:p>
    <w:p w14:paraId="117F0F91" w14:textId="77777777" w:rsidR="00000000" w:rsidRPr="00C7122C" w:rsidRDefault="00A35BEC" w:rsidP="00E12420">
      <w:pPr>
        <w:pStyle w:val="Level2"/>
        <w:rPr>
          <w:sz w:val="20"/>
          <w:szCs w:val="20"/>
        </w:rPr>
      </w:pPr>
      <w:r w:rsidRPr="00C7122C">
        <w:rPr>
          <w:sz w:val="20"/>
          <w:szCs w:val="20"/>
        </w:rPr>
        <w:fldChar w:fldCharType="begin"/>
      </w:r>
      <w:r w:rsidRPr="00C7122C">
        <w:rPr>
          <w:sz w:val="20"/>
          <w:szCs w:val="20"/>
        </w:rPr>
        <w:fldChar w:fldCharType="end"/>
      </w:r>
      <w:bookmarkStart w:id="55" w:name="a282173"/>
      <w:r w:rsidRPr="00C7122C">
        <w:rPr>
          <w:sz w:val="20"/>
          <w:szCs w:val="20"/>
        </w:rPr>
        <w:t>Model article 20 shall be amended by the insertion of the words "and the secretary" before the words "properly incur".</w:t>
      </w:r>
      <w:bookmarkEnd w:id="55"/>
    </w:p>
    <w:p w14:paraId="5284F4C8" w14:textId="77777777" w:rsidR="00000000" w:rsidRPr="00C7122C" w:rsidRDefault="00A35BEC" w:rsidP="00E12420">
      <w:pPr>
        <w:pStyle w:val="Level2"/>
        <w:rPr>
          <w:sz w:val="20"/>
          <w:szCs w:val="20"/>
        </w:rPr>
      </w:pPr>
      <w:r w:rsidRPr="00C7122C">
        <w:rPr>
          <w:sz w:val="20"/>
          <w:szCs w:val="20"/>
        </w:rPr>
        <w:fldChar w:fldCharType="begin"/>
      </w:r>
      <w:r w:rsidRPr="00C7122C">
        <w:rPr>
          <w:sz w:val="20"/>
          <w:szCs w:val="20"/>
        </w:rPr>
        <w:fldChar w:fldCharType="end"/>
      </w:r>
      <w:bookmarkStart w:id="56" w:name="a523798"/>
      <w:r w:rsidRPr="00C7122C">
        <w:rPr>
          <w:sz w:val="20"/>
          <w:szCs w:val="20"/>
        </w:rPr>
        <w:t>In model article 25(2)(c), the words "evidence, indemnity and the payment of a reasonable fee" shall be deleted and replaced with the words "evidence and indemnity".</w:t>
      </w:r>
      <w:bookmarkEnd w:id="56"/>
    </w:p>
    <w:p w14:paraId="51AF84F5" w14:textId="77777777" w:rsidR="00000000" w:rsidRPr="00C7122C" w:rsidRDefault="00A35BEC" w:rsidP="00E12420">
      <w:pPr>
        <w:pStyle w:val="Level2"/>
        <w:rPr>
          <w:sz w:val="20"/>
          <w:szCs w:val="20"/>
        </w:rPr>
      </w:pPr>
      <w:bookmarkStart w:id="57" w:name="a442393"/>
      <w:r w:rsidRPr="00C7122C">
        <w:rPr>
          <w:sz w:val="20"/>
          <w:szCs w:val="20"/>
        </w:rPr>
        <w:t>Model article 29 shall be amended by the insertion of the words ", or the name of any person(s) named as the transferee(s) in an instrument of transfer executed under article 28(2)," after the words "the transmittee's name".</w:t>
      </w:r>
      <w:bookmarkEnd w:id="57"/>
    </w:p>
    <w:p w14:paraId="558C7ED9" w14:textId="77777777" w:rsidR="00000000" w:rsidRPr="00C7122C" w:rsidRDefault="00A35BEC" w:rsidP="00C64328">
      <w:pPr>
        <w:pStyle w:val="Subtitle"/>
        <w:rPr>
          <w:sz w:val="20"/>
          <w:szCs w:val="20"/>
        </w:rPr>
      </w:pPr>
      <w:r w:rsidRPr="00C7122C">
        <w:rPr>
          <w:sz w:val="20"/>
          <w:szCs w:val="20"/>
        </w:rPr>
        <w:t>DIRECTORS</w:t>
      </w:r>
    </w:p>
    <w:p w14:paraId="09EB2E7E" w14:textId="77777777" w:rsidR="00000000" w:rsidRPr="00C7122C" w:rsidRDefault="00A35BEC" w:rsidP="00E12420">
      <w:pPr>
        <w:pStyle w:val="Level1"/>
        <w:rPr>
          <w:sz w:val="20"/>
          <w:szCs w:val="20"/>
        </w:rPr>
      </w:pPr>
      <w:bookmarkStart w:id="58" w:name="_Toc256000002"/>
      <w:bookmarkStart w:id="59" w:name="a918621"/>
      <w:bookmarkStart w:id="60" w:name="_Toc144907411"/>
      <w:r w:rsidRPr="00C7122C">
        <w:rPr>
          <w:sz w:val="20"/>
          <w:szCs w:val="20"/>
        </w:rPr>
        <w:t>Number of directors</w:t>
      </w:r>
      <w:bookmarkEnd w:id="58"/>
      <w:bookmarkEnd w:id="59"/>
      <w:bookmarkEnd w:id="60"/>
    </w:p>
    <w:p w14:paraId="1E633B38" w14:textId="77777777" w:rsidR="00000000" w:rsidRPr="00C7122C" w:rsidRDefault="00A35BEC" w:rsidP="00C64328">
      <w:pPr>
        <w:pStyle w:val="Body2"/>
        <w:rPr>
          <w:sz w:val="20"/>
          <w:szCs w:val="20"/>
        </w:rPr>
      </w:pPr>
      <w:bookmarkStart w:id="61" w:name="a698359"/>
      <w:r w:rsidRPr="00C7122C">
        <w:rPr>
          <w:sz w:val="20"/>
          <w:szCs w:val="20"/>
        </w:rPr>
        <w:t>Unless otherwise determined by ordinary resolution, the number of Directors shall not be less than two.</w:t>
      </w:r>
      <w:bookmarkEnd w:id="61"/>
    </w:p>
    <w:p w14:paraId="5FE38399" w14:textId="77777777" w:rsidR="00000000" w:rsidRPr="00C7122C" w:rsidRDefault="00A35BEC" w:rsidP="00E12420">
      <w:pPr>
        <w:pStyle w:val="Level1"/>
        <w:rPr>
          <w:sz w:val="20"/>
          <w:szCs w:val="20"/>
        </w:rPr>
      </w:pPr>
      <w:bookmarkStart w:id="62" w:name="_Toc256000003"/>
      <w:bookmarkStart w:id="63" w:name="a858579"/>
      <w:bookmarkStart w:id="64" w:name="_Toc144907412"/>
      <w:r w:rsidRPr="00C7122C">
        <w:rPr>
          <w:sz w:val="20"/>
          <w:szCs w:val="20"/>
        </w:rPr>
        <w:t>Proceedings of directors</w:t>
      </w:r>
      <w:bookmarkEnd w:id="62"/>
      <w:bookmarkEnd w:id="63"/>
      <w:bookmarkEnd w:id="64"/>
    </w:p>
    <w:p w14:paraId="363C5D86" w14:textId="77777777" w:rsidR="00000000" w:rsidRPr="00C7122C" w:rsidRDefault="00826A32" w:rsidP="00826A32">
      <w:pPr>
        <w:pStyle w:val="Level2"/>
        <w:rPr>
          <w:sz w:val="20"/>
          <w:szCs w:val="20"/>
        </w:rPr>
      </w:pPr>
      <w:bookmarkStart w:id="65" w:name="a574254"/>
      <w:r w:rsidRPr="00C7122C">
        <w:rPr>
          <w:sz w:val="20"/>
          <w:szCs w:val="20"/>
        </w:rPr>
        <w:t xml:space="preserve">Any decision of the Directors must be taken at a meeting of Directors in accordance with these Articles or must be a decision taken in accordance with </w:t>
      </w:r>
      <w:r w:rsidRPr="00C7122C">
        <w:rPr>
          <w:sz w:val="20"/>
          <w:szCs w:val="20"/>
        </w:rPr>
        <w:fldChar w:fldCharType="begin"/>
      </w:r>
      <w:r w:rsidRPr="00C7122C">
        <w:rPr>
          <w:sz w:val="20"/>
          <w:szCs w:val="20"/>
        </w:rPr>
        <w:instrText>PAGEREF a167806\#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a167806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4.2</w:t>
      </w:r>
      <w:r w:rsidRPr="00C7122C">
        <w:rPr>
          <w:sz w:val="20"/>
          <w:szCs w:val="20"/>
        </w:rPr>
        <w:fldChar w:fldCharType="end"/>
      </w:r>
      <w:r w:rsidRPr="00C7122C">
        <w:rPr>
          <w:sz w:val="20"/>
          <w:szCs w:val="20"/>
        </w:rPr>
        <w:t xml:space="preserve"> (subject to </w:t>
      </w:r>
      <w:r w:rsidRPr="00C7122C">
        <w:rPr>
          <w:sz w:val="20"/>
          <w:szCs w:val="20"/>
        </w:rPr>
        <w:fldChar w:fldCharType="begin"/>
      </w:r>
      <w:r w:rsidRPr="00C7122C">
        <w:rPr>
          <w:sz w:val="20"/>
          <w:szCs w:val="20"/>
        </w:rPr>
        <w:instrText>PAGEREF a573139\#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a573139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4.3</w:t>
      </w:r>
      <w:r w:rsidRPr="00C7122C">
        <w:rPr>
          <w:sz w:val="20"/>
          <w:szCs w:val="20"/>
        </w:rPr>
        <w:fldChar w:fldCharType="end"/>
      </w:r>
      <w:r w:rsidRPr="00C7122C">
        <w:rPr>
          <w:sz w:val="20"/>
          <w:szCs w:val="20"/>
        </w:rPr>
        <w:t xml:space="preserve"> and </w:t>
      </w:r>
      <w:r w:rsidRPr="00C7122C">
        <w:rPr>
          <w:sz w:val="20"/>
          <w:szCs w:val="20"/>
        </w:rPr>
        <w:fldChar w:fldCharType="begin"/>
      </w:r>
      <w:r w:rsidRPr="00C7122C">
        <w:rPr>
          <w:sz w:val="20"/>
          <w:szCs w:val="20"/>
        </w:rPr>
        <w:instrText>PAGEREF a947466\#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a947466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4.4</w:t>
      </w:r>
      <w:r w:rsidRPr="00C7122C">
        <w:rPr>
          <w:sz w:val="20"/>
          <w:szCs w:val="20"/>
        </w:rPr>
        <w:fldChar w:fldCharType="end"/>
      </w:r>
      <w:r w:rsidRPr="00C7122C">
        <w:rPr>
          <w:sz w:val="20"/>
          <w:szCs w:val="20"/>
        </w:rPr>
        <w:t>). All decisions made at any meeting of the Directors shall be decided by a majority of votes.</w:t>
      </w:r>
      <w:bookmarkEnd w:id="65"/>
    </w:p>
    <w:p w14:paraId="44DCA875" w14:textId="77777777" w:rsidR="00000000" w:rsidRPr="00C7122C" w:rsidRDefault="00A35BEC" w:rsidP="00E12420">
      <w:pPr>
        <w:pStyle w:val="Level2"/>
        <w:rPr>
          <w:sz w:val="20"/>
          <w:szCs w:val="20"/>
        </w:rPr>
      </w:pPr>
      <w:bookmarkStart w:id="66" w:name="a167806"/>
      <w:r w:rsidRPr="00C7122C">
        <w:rPr>
          <w:sz w:val="20"/>
          <w:szCs w:val="20"/>
        </w:rPr>
        <w:t>A unanimous decision of the Directors is taken when all Eligible Directors indicate to each other by any means that they share a common view on a matter.</w:t>
      </w:r>
      <w:bookmarkEnd w:id="66"/>
    </w:p>
    <w:p w14:paraId="603774FB" w14:textId="77777777" w:rsidR="00000000" w:rsidRPr="00C7122C" w:rsidRDefault="00A35BEC" w:rsidP="00E12420">
      <w:pPr>
        <w:pStyle w:val="Level2"/>
        <w:rPr>
          <w:sz w:val="20"/>
          <w:szCs w:val="20"/>
        </w:rPr>
      </w:pPr>
      <w:bookmarkStart w:id="67" w:name="a573139"/>
      <w:r w:rsidRPr="00C7122C">
        <w:rPr>
          <w:sz w:val="20"/>
          <w:szCs w:val="20"/>
        </w:rPr>
        <w:t xml:space="preserve">A decision taken in accordance with </w:t>
      </w:r>
      <w:r w:rsidRPr="00C7122C">
        <w:rPr>
          <w:sz w:val="20"/>
          <w:szCs w:val="20"/>
        </w:rPr>
        <w:fldChar w:fldCharType="begin"/>
      </w:r>
      <w:r w:rsidRPr="00C7122C">
        <w:rPr>
          <w:sz w:val="20"/>
          <w:szCs w:val="20"/>
        </w:rPr>
        <w:instrText>PAGEREF a167806\#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a167806 \h \w</w:instrText>
      </w:r>
      <w:r w:rsidR="00C64328"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4.2</w:t>
      </w:r>
      <w:r w:rsidRPr="00C7122C">
        <w:rPr>
          <w:sz w:val="20"/>
          <w:szCs w:val="20"/>
        </w:rPr>
        <w:fldChar w:fldCharType="end"/>
      </w:r>
      <w:r w:rsidRPr="00C7122C">
        <w:rPr>
          <w:sz w:val="20"/>
          <w:szCs w:val="20"/>
        </w:rPr>
        <w:t xml:space="preserve"> may take the form of a resolution in writing, where each Eligible Director has signed one or more copies of it, or to which each Eligible Director has otherwise indicated agreement in writing.</w:t>
      </w:r>
      <w:bookmarkEnd w:id="67"/>
    </w:p>
    <w:p w14:paraId="4A8FB147" w14:textId="77777777" w:rsidR="00000000" w:rsidRPr="00C7122C" w:rsidRDefault="00A35BEC" w:rsidP="00826A32">
      <w:pPr>
        <w:pStyle w:val="Level2"/>
        <w:rPr>
          <w:sz w:val="20"/>
          <w:szCs w:val="20"/>
        </w:rPr>
      </w:pPr>
      <w:bookmarkStart w:id="68" w:name="a947466"/>
      <w:r w:rsidRPr="00C7122C">
        <w:rPr>
          <w:sz w:val="20"/>
          <w:szCs w:val="20"/>
        </w:rPr>
        <w:t xml:space="preserve">A decision may not be taken in accordance with </w:t>
      </w:r>
      <w:r w:rsidRPr="00C7122C">
        <w:rPr>
          <w:sz w:val="20"/>
          <w:szCs w:val="20"/>
        </w:rPr>
        <w:fldChar w:fldCharType="begin"/>
      </w:r>
      <w:r w:rsidRPr="00C7122C">
        <w:rPr>
          <w:sz w:val="20"/>
          <w:szCs w:val="20"/>
        </w:rPr>
        <w:instrText>PAGEREF a167806\#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a167806 \h \w</w:instrText>
      </w:r>
      <w:r w:rsidR="00C64328"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4.2</w:t>
      </w:r>
      <w:r w:rsidRPr="00C7122C">
        <w:rPr>
          <w:sz w:val="20"/>
          <w:szCs w:val="20"/>
        </w:rPr>
        <w:fldChar w:fldCharType="end"/>
      </w:r>
      <w:r w:rsidRPr="00C7122C">
        <w:rPr>
          <w:sz w:val="20"/>
          <w:szCs w:val="20"/>
        </w:rPr>
        <w:t xml:space="preserve"> if the Eligible Directors would not have formed a quorum at a Directors' meeting to vote on the matter in accordance with </w:t>
      </w:r>
      <w:r w:rsidRPr="00C7122C">
        <w:rPr>
          <w:sz w:val="20"/>
          <w:szCs w:val="20"/>
        </w:rPr>
        <w:fldChar w:fldCharType="begin"/>
      </w:r>
      <w:r w:rsidRPr="00C7122C">
        <w:rPr>
          <w:sz w:val="20"/>
          <w:szCs w:val="20"/>
        </w:rPr>
        <w:instrText>PAGEREF a873305\#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a873305 \h \w</w:instrText>
      </w:r>
      <w:r w:rsidR="00C64328"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4.6</w:t>
      </w:r>
      <w:r w:rsidRPr="00C7122C">
        <w:rPr>
          <w:sz w:val="20"/>
          <w:szCs w:val="20"/>
        </w:rPr>
        <w:fldChar w:fldCharType="end"/>
      </w:r>
      <w:r w:rsidRPr="00C7122C">
        <w:rPr>
          <w:sz w:val="20"/>
          <w:szCs w:val="20"/>
        </w:rPr>
        <w:t xml:space="preserve"> and </w:t>
      </w:r>
      <w:r w:rsidRPr="00C7122C">
        <w:rPr>
          <w:sz w:val="20"/>
          <w:szCs w:val="20"/>
        </w:rPr>
        <w:fldChar w:fldCharType="begin"/>
      </w:r>
      <w:r w:rsidRPr="00C7122C">
        <w:rPr>
          <w:sz w:val="20"/>
          <w:szCs w:val="20"/>
        </w:rPr>
        <w:instrText>PAGEREF a86827\#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a86827 \h \w</w:instrText>
      </w:r>
      <w:r w:rsidR="00C64328"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4.7</w:t>
      </w:r>
      <w:r w:rsidRPr="00C7122C">
        <w:rPr>
          <w:sz w:val="20"/>
          <w:szCs w:val="20"/>
        </w:rPr>
        <w:fldChar w:fldCharType="end"/>
      </w:r>
      <w:r w:rsidRPr="00C7122C">
        <w:rPr>
          <w:sz w:val="20"/>
          <w:szCs w:val="20"/>
        </w:rPr>
        <w:t>.</w:t>
      </w:r>
      <w:bookmarkEnd w:id="68"/>
      <w:r w:rsidR="00826A32" w:rsidRPr="00C7122C">
        <w:rPr>
          <w:sz w:val="20"/>
          <w:szCs w:val="20"/>
        </w:rPr>
        <w:t xml:space="preserve"> </w:t>
      </w:r>
    </w:p>
    <w:p w14:paraId="0590C072" w14:textId="77777777" w:rsidR="00000000" w:rsidRPr="00C7122C" w:rsidRDefault="00A35BEC" w:rsidP="00E12420">
      <w:pPr>
        <w:pStyle w:val="Level2"/>
        <w:rPr>
          <w:sz w:val="20"/>
          <w:szCs w:val="20"/>
        </w:rPr>
      </w:pPr>
      <w:bookmarkStart w:id="69" w:name="a349920"/>
      <w:r w:rsidRPr="00C7122C">
        <w:rPr>
          <w:sz w:val="20"/>
          <w:szCs w:val="20"/>
        </w:rPr>
        <w:t xml:space="preserve">Meetings of the Directors shall take place at least </w:t>
      </w:r>
      <w:r w:rsidR="00B84826" w:rsidRPr="00C7122C">
        <w:rPr>
          <w:sz w:val="20"/>
          <w:szCs w:val="20"/>
        </w:rPr>
        <w:t>once a month</w:t>
      </w:r>
      <w:r w:rsidRPr="00C7122C">
        <w:rPr>
          <w:sz w:val="20"/>
          <w:szCs w:val="20"/>
        </w:rPr>
        <w:t>. Any Director may call a meeting of the Directors. At least [</w:t>
      </w:r>
      <w:r w:rsidRPr="00C7122C">
        <w:rPr>
          <w:sz w:val="20"/>
          <w:szCs w:val="20"/>
          <w:highlight w:val="yellow"/>
        </w:rPr>
        <w:t>NUMBER]</w:t>
      </w:r>
      <w:r w:rsidRPr="00C7122C">
        <w:rPr>
          <w:sz w:val="20"/>
          <w:szCs w:val="20"/>
        </w:rPr>
        <w:t xml:space="preserve"> Business Days' advance notice of each such meeting shall be given to each Director.</w:t>
      </w:r>
      <w:bookmarkEnd w:id="69"/>
    </w:p>
    <w:p w14:paraId="1D338C1D" w14:textId="77777777" w:rsidR="00000000" w:rsidRPr="00C7122C" w:rsidRDefault="00A35BEC" w:rsidP="00B84826">
      <w:pPr>
        <w:pStyle w:val="Level2"/>
        <w:rPr>
          <w:sz w:val="20"/>
          <w:szCs w:val="20"/>
        </w:rPr>
      </w:pPr>
      <w:bookmarkStart w:id="70" w:name="a873305"/>
      <w:r w:rsidRPr="00C7122C">
        <w:rPr>
          <w:sz w:val="20"/>
          <w:szCs w:val="20"/>
        </w:rPr>
        <w:t>The quorum for any meeting (or, where specified below, part of a meeting) of the Directors shall be two Eligible Directors</w:t>
      </w:r>
      <w:bookmarkEnd w:id="70"/>
      <w:r w:rsidRPr="00C7122C">
        <w:rPr>
          <w:sz w:val="20"/>
          <w:szCs w:val="20"/>
        </w:rPr>
        <w:t xml:space="preserve">. If the necessary quorum is not present within 30 minutes from the time appointed for the meeting, or if, during a meeting, such quorum ceases to be present, the meeting shall stand adjourned to such time and place as the Directors determine. </w:t>
      </w:r>
    </w:p>
    <w:p w14:paraId="5D92FEF0" w14:textId="77777777" w:rsidR="00000000" w:rsidRPr="00C7122C" w:rsidRDefault="00A35BEC" w:rsidP="00E12420">
      <w:pPr>
        <w:pStyle w:val="Level2"/>
        <w:rPr>
          <w:sz w:val="20"/>
          <w:szCs w:val="20"/>
        </w:rPr>
      </w:pPr>
      <w:bookmarkStart w:id="71" w:name="a86827"/>
      <w:r w:rsidRPr="00C7122C">
        <w:rPr>
          <w:sz w:val="20"/>
          <w:szCs w:val="20"/>
        </w:rPr>
        <w:lastRenderedPageBreak/>
        <w:t xml:space="preserve">For the purposes of any meeting (or part of a meeting) held pursuant to </w:t>
      </w:r>
      <w:r w:rsidRPr="00C7122C">
        <w:rPr>
          <w:sz w:val="20"/>
          <w:szCs w:val="20"/>
        </w:rPr>
        <w:fldChar w:fldCharType="begin"/>
      </w:r>
      <w:r w:rsidRPr="00C7122C">
        <w:rPr>
          <w:sz w:val="20"/>
          <w:szCs w:val="20"/>
        </w:rPr>
        <w:instrText>PAGEREF a1004072\#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a1004072 \h \w</w:instrText>
      </w:r>
      <w:r w:rsidR="00C64328"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7</w:t>
      </w:r>
      <w:r w:rsidRPr="00C7122C">
        <w:rPr>
          <w:sz w:val="20"/>
          <w:szCs w:val="20"/>
        </w:rPr>
        <w:fldChar w:fldCharType="end"/>
      </w:r>
      <w:r w:rsidRPr="00C7122C">
        <w:rPr>
          <w:sz w:val="20"/>
          <w:szCs w:val="20"/>
        </w:rPr>
        <w:t xml:space="preserve"> to authorise a Conflict (as defined in </w:t>
      </w:r>
      <w:r w:rsidRPr="00C7122C">
        <w:rPr>
          <w:sz w:val="20"/>
          <w:szCs w:val="20"/>
        </w:rPr>
        <w:fldChar w:fldCharType="begin"/>
      </w:r>
      <w:r w:rsidRPr="00C7122C">
        <w:rPr>
          <w:sz w:val="20"/>
          <w:szCs w:val="20"/>
        </w:rPr>
        <w:instrText>PAGEREF a442007\#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a442007 \h \w</w:instrText>
      </w:r>
      <w:r w:rsidR="00C64328"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7.1</w:t>
      </w:r>
      <w:r w:rsidRPr="00C7122C">
        <w:rPr>
          <w:sz w:val="20"/>
          <w:szCs w:val="20"/>
        </w:rPr>
        <w:fldChar w:fldCharType="end"/>
      </w:r>
      <w:r w:rsidRPr="00C7122C">
        <w:rPr>
          <w:sz w:val="20"/>
          <w:szCs w:val="20"/>
        </w:rPr>
        <w:t>), if there is only one Eligible Director in office other than the conflicted Director(s), the quorum for such meeting (or part of a meeting) shall be one Eligible Director.</w:t>
      </w:r>
      <w:bookmarkEnd w:id="71"/>
    </w:p>
    <w:p w14:paraId="6B4B2530" w14:textId="77777777" w:rsidR="00000000" w:rsidRPr="00C7122C" w:rsidRDefault="00A35BEC" w:rsidP="00E12420">
      <w:pPr>
        <w:pStyle w:val="Level2"/>
        <w:rPr>
          <w:sz w:val="20"/>
          <w:szCs w:val="20"/>
        </w:rPr>
      </w:pPr>
      <w:bookmarkStart w:id="72" w:name="a158054"/>
      <w:r w:rsidRPr="00C7122C">
        <w:rPr>
          <w:sz w:val="20"/>
          <w:szCs w:val="20"/>
        </w:rPr>
        <w:t>If the number of Directors in office for the time being is less than two, the Director in office must not take any decision other than a decision to:</w:t>
      </w:r>
      <w:bookmarkEnd w:id="72"/>
    </w:p>
    <w:p w14:paraId="3CDE80C6" w14:textId="77777777" w:rsidR="00000000" w:rsidRPr="00C7122C" w:rsidRDefault="00A35BEC" w:rsidP="00E12420">
      <w:pPr>
        <w:pStyle w:val="Level3"/>
        <w:rPr>
          <w:sz w:val="20"/>
          <w:szCs w:val="20"/>
        </w:rPr>
      </w:pPr>
      <w:bookmarkStart w:id="73" w:name="a866771"/>
      <w:r w:rsidRPr="00C7122C">
        <w:rPr>
          <w:sz w:val="20"/>
          <w:szCs w:val="20"/>
        </w:rPr>
        <w:t>appoint further Directors; or</w:t>
      </w:r>
      <w:bookmarkEnd w:id="73"/>
    </w:p>
    <w:p w14:paraId="3EFEF9C8" w14:textId="77777777" w:rsidR="00000000" w:rsidRPr="00C7122C" w:rsidRDefault="00A35BEC" w:rsidP="00E12420">
      <w:pPr>
        <w:pStyle w:val="Level3"/>
        <w:rPr>
          <w:sz w:val="20"/>
          <w:szCs w:val="20"/>
        </w:rPr>
      </w:pPr>
      <w:bookmarkStart w:id="74" w:name="a264254"/>
      <w:r w:rsidRPr="00C7122C">
        <w:rPr>
          <w:sz w:val="20"/>
          <w:szCs w:val="20"/>
        </w:rPr>
        <w:t>call a general meeting so as to enable the Shareholders to appoint further Directors.</w:t>
      </w:r>
      <w:bookmarkEnd w:id="74"/>
    </w:p>
    <w:p w14:paraId="56C13CEE" w14:textId="77777777" w:rsidR="00000000" w:rsidRPr="00C7122C" w:rsidRDefault="00A35BEC" w:rsidP="00E12420">
      <w:pPr>
        <w:pStyle w:val="Level2"/>
        <w:rPr>
          <w:sz w:val="20"/>
          <w:szCs w:val="20"/>
        </w:rPr>
      </w:pPr>
      <w:bookmarkStart w:id="75" w:name="a463370"/>
      <w:r w:rsidRPr="00C7122C">
        <w:rPr>
          <w:sz w:val="20"/>
          <w:szCs w:val="20"/>
        </w:rPr>
        <w:t>Questions arising at any meeting of the Directors shall be decided by a majority of votes. If there is an equality of votes, the chair of the meeting shall not have a second or casting vote.</w:t>
      </w:r>
      <w:bookmarkEnd w:id="75"/>
    </w:p>
    <w:p w14:paraId="4E4B570B" w14:textId="77777777" w:rsidR="00000000" w:rsidRPr="00C7122C" w:rsidRDefault="00A35BEC" w:rsidP="00E12420">
      <w:pPr>
        <w:pStyle w:val="Level2"/>
        <w:rPr>
          <w:sz w:val="20"/>
          <w:szCs w:val="20"/>
        </w:rPr>
      </w:pPr>
      <w:bookmarkStart w:id="76" w:name="a694601"/>
      <w:r w:rsidRPr="00C7122C">
        <w:rPr>
          <w:sz w:val="20"/>
          <w:szCs w:val="20"/>
        </w:rPr>
        <w:t>Where decisions of the Directors are taken by electronic means, such decisions shall be recorded by the Directors in permanent form, so that they may be read with the naked eye.</w:t>
      </w:r>
      <w:bookmarkEnd w:id="76"/>
    </w:p>
    <w:p w14:paraId="3B572001" w14:textId="77777777" w:rsidR="00000000" w:rsidRPr="00C7122C" w:rsidRDefault="00A35BEC" w:rsidP="00E12420">
      <w:pPr>
        <w:pStyle w:val="Level1"/>
        <w:rPr>
          <w:sz w:val="20"/>
          <w:szCs w:val="20"/>
        </w:rPr>
      </w:pPr>
      <w:bookmarkStart w:id="77" w:name="_Toc256000004"/>
      <w:bookmarkStart w:id="78" w:name="a606272"/>
      <w:bookmarkStart w:id="79" w:name="_Toc144907413"/>
      <w:r w:rsidRPr="00C7122C">
        <w:rPr>
          <w:sz w:val="20"/>
          <w:szCs w:val="20"/>
        </w:rPr>
        <w:t>Appointment and removal of directors</w:t>
      </w:r>
      <w:bookmarkEnd w:id="77"/>
      <w:bookmarkEnd w:id="78"/>
      <w:bookmarkEnd w:id="79"/>
    </w:p>
    <w:p w14:paraId="1873AC7E" w14:textId="522C7355" w:rsidR="00000000" w:rsidRPr="00C7122C" w:rsidRDefault="00A35BEC" w:rsidP="00E12420">
      <w:pPr>
        <w:pStyle w:val="Level2"/>
        <w:rPr>
          <w:sz w:val="20"/>
          <w:szCs w:val="20"/>
        </w:rPr>
      </w:pPr>
      <w:r w:rsidRPr="00C7122C">
        <w:rPr>
          <w:sz w:val="20"/>
          <w:szCs w:val="20"/>
        </w:rPr>
        <w:fldChar w:fldCharType="begin"/>
      </w:r>
      <w:r w:rsidRPr="00C7122C">
        <w:rPr>
          <w:sz w:val="20"/>
          <w:szCs w:val="20"/>
        </w:rPr>
        <w:fldChar w:fldCharType="end"/>
      </w:r>
      <w:bookmarkStart w:id="80" w:name="a875896"/>
      <w:r w:rsidRPr="00C7122C">
        <w:rPr>
          <w:sz w:val="20"/>
          <w:szCs w:val="20"/>
        </w:rPr>
        <w:t>Model article 18 shall be modified by the addition of the following events upon the occurrence of which a person shall cease to be a Director:</w:t>
      </w:r>
      <w:bookmarkEnd w:id="80"/>
      <w:r w:rsidR="00A670C5">
        <w:rPr>
          <w:sz w:val="20"/>
          <w:szCs w:val="20"/>
        </w:rPr>
        <w:t xml:space="preserve">  </w:t>
      </w:r>
    </w:p>
    <w:p w14:paraId="28AD275B" w14:textId="77777777" w:rsidR="00000000" w:rsidRPr="00235186" w:rsidRDefault="00A35BEC" w:rsidP="00E12420">
      <w:pPr>
        <w:pStyle w:val="Level3"/>
        <w:rPr>
          <w:sz w:val="20"/>
          <w:szCs w:val="20"/>
        </w:rPr>
      </w:pPr>
      <w:bookmarkStart w:id="81" w:name="a826535"/>
      <w:r w:rsidRPr="00C7122C">
        <w:rPr>
          <w:sz w:val="20"/>
          <w:szCs w:val="20"/>
        </w:rPr>
        <w:t xml:space="preserve">they are convicted of a criminal offence (other than a minor motoring offence) and a </w:t>
      </w:r>
      <w:r w:rsidRPr="00235186">
        <w:rPr>
          <w:sz w:val="20"/>
          <w:szCs w:val="20"/>
        </w:rPr>
        <w:t>majority of the other Directors resolve that they cease to be a Director;</w:t>
      </w:r>
      <w:bookmarkEnd w:id="81"/>
    </w:p>
    <w:p w14:paraId="15CB8FC6" w14:textId="617F9948" w:rsidR="00000000" w:rsidRPr="00235186" w:rsidRDefault="00235186" w:rsidP="00E12420">
      <w:pPr>
        <w:pStyle w:val="Level3"/>
        <w:rPr>
          <w:sz w:val="20"/>
          <w:szCs w:val="20"/>
        </w:rPr>
      </w:pPr>
      <w:bookmarkStart w:id="82" w:name="a709040"/>
      <w:r w:rsidRPr="00235186">
        <w:rPr>
          <w:sz w:val="20"/>
          <w:szCs w:val="20"/>
        </w:rPr>
        <w:t>the holders of 5</w:t>
      </w:r>
      <w:r w:rsidR="00C67B01">
        <w:rPr>
          <w:sz w:val="20"/>
          <w:szCs w:val="20"/>
        </w:rPr>
        <w:t>0</w:t>
      </w:r>
      <w:r w:rsidRPr="00235186">
        <w:rPr>
          <w:sz w:val="20"/>
          <w:szCs w:val="20"/>
        </w:rPr>
        <w:t xml:space="preserve">% of the </w:t>
      </w:r>
      <w:r w:rsidR="00092D22">
        <w:rPr>
          <w:sz w:val="20"/>
          <w:szCs w:val="20"/>
        </w:rPr>
        <w:t>Ordinary Shares</w:t>
      </w:r>
      <w:r w:rsidR="00A35BEC" w:rsidRPr="00235186">
        <w:rPr>
          <w:sz w:val="20"/>
          <w:szCs w:val="20"/>
        </w:rPr>
        <w:t xml:space="preserve"> resolve that they cease to be a </w:t>
      </w:r>
      <w:proofErr w:type="gramStart"/>
      <w:r w:rsidR="00A35BEC" w:rsidRPr="00235186">
        <w:rPr>
          <w:sz w:val="20"/>
          <w:szCs w:val="20"/>
        </w:rPr>
        <w:t>Director</w:t>
      </w:r>
      <w:proofErr w:type="gramEnd"/>
      <w:r w:rsidR="00A35BEC" w:rsidRPr="00235186">
        <w:rPr>
          <w:sz w:val="20"/>
          <w:szCs w:val="20"/>
        </w:rPr>
        <w:t>; and</w:t>
      </w:r>
      <w:bookmarkEnd w:id="82"/>
      <w:r w:rsidR="00092D22">
        <w:rPr>
          <w:sz w:val="20"/>
          <w:szCs w:val="20"/>
        </w:rPr>
        <w:t xml:space="preserve"> </w:t>
      </w:r>
      <w:r w:rsidR="00092D22" w:rsidRPr="00092D22">
        <w:rPr>
          <w:sz w:val="20"/>
          <w:szCs w:val="20"/>
          <w:highlight w:val="yellow"/>
        </w:rPr>
        <w:t>[If you have to remove a director this can be done by a majority of the shareholders and you must follow a specific procedure in the companies act. It is worth considering including this provision in the articles which allows you to bypass those lengthy requirements and remove a director of 5</w:t>
      </w:r>
      <w:r w:rsidR="00C67B01">
        <w:rPr>
          <w:sz w:val="20"/>
          <w:szCs w:val="20"/>
          <w:highlight w:val="yellow"/>
        </w:rPr>
        <w:t>0</w:t>
      </w:r>
      <w:r w:rsidR="00092D22" w:rsidRPr="00092D22">
        <w:rPr>
          <w:sz w:val="20"/>
          <w:szCs w:val="20"/>
          <w:highlight w:val="yellow"/>
        </w:rPr>
        <w:t>% of the shareholders agreement]</w:t>
      </w:r>
    </w:p>
    <w:p w14:paraId="3D575DDF" w14:textId="77777777" w:rsidR="00000000" w:rsidRPr="00C7122C" w:rsidRDefault="00A35BEC" w:rsidP="00E12420">
      <w:pPr>
        <w:pStyle w:val="Level3"/>
        <w:rPr>
          <w:sz w:val="20"/>
          <w:szCs w:val="20"/>
        </w:rPr>
      </w:pPr>
      <w:bookmarkStart w:id="83" w:name="a61525"/>
      <w:r w:rsidRPr="00C7122C">
        <w:rPr>
          <w:sz w:val="20"/>
          <w:szCs w:val="20"/>
        </w:rPr>
        <w:t>in the case of an executive Director only, they shall cease to be employed by the Company.</w:t>
      </w:r>
      <w:bookmarkEnd w:id="83"/>
    </w:p>
    <w:p w14:paraId="5BB8FDAA" w14:textId="77777777" w:rsidR="00000000" w:rsidRPr="00C7122C" w:rsidRDefault="00A35BEC" w:rsidP="00E12420">
      <w:pPr>
        <w:pStyle w:val="Level1"/>
        <w:rPr>
          <w:sz w:val="20"/>
          <w:szCs w:val="20"/>
        </w:rPr>
      </w:pPr>
      <w:bookmarkStart w:id="84" w:name="_Toc256000006"/>
      <w:bookmarkStart w:id="85" w:name="a168790"/>
      <w:bookmarkStart w:id="86" w:name="_Toc144907414"/>
      <w:r w:rsidRPr="00C7122C">
        <w:rPr>
          <w:sz w:val="20"/>
          <w:szCs w:val="20"/>
        </w:rPr>
        <w:t>Transactions or other arrangements with the Company</w:t>
      </w:r>
      <w:bookmarkEnd w:id="84"/>
      <w:bookmarkEnd w:id="85"/>
      <w:bookmarkEnd w:id="86"/>
    </w:p>
    <w:p w14:paraId="62E851CD" w14:textId="77777777" w:rsidR="00000000" w:rsidRPr="00C7122C" w:rsidRDefault="00A35BEC" w:rsidP="00E12420">
      <w:pPr>
        <w:pStyle w:val="Level2"/>
        <w:rPr>
          <w:sz w:val="20"/>
          <w:szCs w:val="20"/>
        </w:rPr>
      </w:pPr>
      <w:bookmarkStart w:id="87" w:name="a212868"/>
      <w:r w:rsidRPr="00C7122C">
        <w:rPr>
          <w:sz w:val="20"/>
          <w:szCs w:val="20"/>
        </w:rPr>
        <w:t>Subject to sections 177(5) and 177(6) and sections 182(5) and 182(6) of the Act and provided they have declared the nature and extent of their interest in accordance with the requirements of the Act, a Director who is in any way, whether directly or indirectly, interested in an existing or proposed transaction or arrangement with the Company:</w:t>
      </w:r>
      <w:bookmarkEnd w:id="87"/>
    </w:p>
    <w:p w14:paraId="059706A9" w14:textId="77777777" w:rsidR="00000000" w:rsidRPr="00C7122C" w:rsidRDefault="00A35BEC" w:rsidP="00E12420">
      <w:pPr>
        <w:pStyle w:val="Level3"/>
        <w:rPr>
          <w:sz w:val="20"/>
          <w:szCs w:val="20"/>
        </w:rPr>
      </w:pPr>
      <w:bookmarkStart w:id="88" w:name="a505308"/>
      <w:r w:rsidRPr="00C7122C">
        <w:rPr>
          <w:sz w:val="20"/>
          <w:szCs w:val="20"/>
        </w:rPr>
        <w:t>may be a party to, or otherwise interested in, any transaction or arrangement with the Company or in which the Company is otherwise (directly or indirectly) interested;</w:t>
      </w:r>
      <w:bookmarkEnd w:id="88"/>
    </w:p>
    <w:p w14:paraId="0DE72510" w14:textId="77777777" w:rsidR="00000000" w:rsidRPr="00C7122C" w:rsidRDefault="00A35BEC" w:rsidP="00E12420">
      <w:pPr>
        <w:pStyle w:val="Level3"/>
        <w:rPr>
          <w:sz w:val="20"/>
          <w:szCs w:val="20"/>
        </w:rPr>
      </w:pPr>
      <w:bookmarkStart w:id="89" w:name="a362406"/>
      <w:r w:rsidRPr="00C7122C">
        <w:rPr>
          <w:sz w:val="20"/>
          <w:szCs w:val="20"/>
        </w:rPr>
        <w:t>shall be an Eligible Director for the purposes of any proposed decision of the Directors (or committee of the Directors) in respect of such existing or proposed transaction or arrangement in which they are interested;</w:t>
      </w:r>
      <w:bookmarkEnd w:id="89"/>
    </w:p>
    <w:p w14:paraId="77859BF8" w14:textId="77777777" w:rsidR="00000000" w:rsidRPr="00C7122C" w:rsidRDefault="00A35BEC" w:rsidP="00E12420">
      <w:pPr>
        <w:pStyle w:val="Level3"/>
        <w:rPr>
          <w:sz w:val="20"/>
          <w:szCs w:val="20"/>
        </w:rPr>
      </w:pPr>
      <w:bookmarkStart w:id="90" w:name="a56693"/>
      <w:r w:rsidRPr="00C7122C">
        <w:rPr>
          <w:sz w:val="20"/>
          <w:szCs w:val="20"/>
        </w:rPr>
        <w:t>shall be entitled to vote at a meeting of Directors (or of a committee of the Directors) or participate in any unanimous decision, in respect of such existing or proposed transaction or arrangement in which they are interested;</w:t>
      </w:r>
      <w:bookmarkEnd w:id="90"/>
    </w:p>
    <w:p w14:paraId="5BBD6C08" w14:textId="77777777" w:rsidR="00000000" w:rsidRPr="00C7122C" w:rsidRDefault="00A35BEC" w:rsidP="00E12420">
      <w:pPr>
        <w:pStyle w:val="Level3"/>
        <w:rPr>
          <w:sz w:val="20"/>
          <w:szCs w:val="20"/>
        </w:rPr>
      </w:pPr>
      <w:bookmarkStart w:id="91" w:name="a708253"/>
      <w:r w:rsidRPr="00C7122C">
        <w:rPr>
          <w:sz w:val="20"/>
          <w:szCs w:val="20"/>
        </w:rPr>
        <w:lastRenderedPageBreak/>
        <w:t>may act by themselves, or their firm in a professional capacity for the Company (otherwise than as auditor) and they, or their firm shall be entitled to remuneration for professional services as if they were not a Director;</w:t>
      </w:r>
      <w:bookmarkEnd w:id="91"/>
    </w:p>
    <w:p w14:paraId="0CE6612D" w14:textId="77777777" w:rsidR="00000000" w:rsidRPr="00C7122C" w:rsidRDefault="00A35BEC" w:rsidP="00E12420">
      <w:pPr>
        <w:pStyle w:val="Level3"/>
        <w:rPr>
          <w:sz w:val="20"/>
          <w:szCs w:val="20"/>
        </w:rPr>
      </w:pPr>
      <w:bookmarkStart w:id="92" w:name="a753570"/>
      <w:r w:rsidRPr="00C7122C">
        <w:rPr>
          <w:sz w:val="20"/>
          <w:szCs w:val="20"/>
        </w:rPr>
        <w:t>may be a Director or other officer of, or employed by, or a party to a transaction or arrangement with, or otherwise interested in, any body corporate in which the Company is otherwise (directly or indirectly) interested; and</w:t>
      </w:r>
      <w:bookmarkEnd w:id="92"/>
    </w:p>
    <w:p w14:paraId="7D2AAEE5" w14:textId="77777777" w:rsidR="00000000" w:rsidRPr="00C7122C" w:rsidRDefault="00A35BEC" w:rsidP="00E12420">
      <w:pPr>
        <w:pStyle w:val="Level3"/>
        <w:rPr>
          <w:sz w:val="20"/>
          <w:szCs w:val="20"/>
        </w:rPr>
      </w:pPr>
      <w:bookmarkStart w:id="93" w:name="a148780"/>
      <w:r w:rsidRPr="00C7122C">
        <w:rPr>
          <w:sz w:val="20"/>
          <w:szCs w:val="20"/>
        </w:rPr>
        <w:t>shall not, save as they may otherwise agree, be accountable to the Company for any benefit which they (or a person connected with them) derives from any such transaction or arrangement or from any such office or employment or from any interest in any such body corporate and no such transaction or arrangement shall be liable to be avoided on the grounds of any such interest or benefit nor shall the receipt of any such remuneration or other benefit constitute a breach of their duty under section 176 of the Act.</w:t>
      </w:r>
      <w:bookmarkEnd w:id="93"/>
    </w:p>
    <w:p w14:paraId="69848631" w14:textId="77777777" w:rsidR="00000000" w:rsidRPr="00C7122C" w:rsidRDefault="00A35BEC" w:rsidP="00E12420">
      <w:pPr>
        <w:pStyle w:val="Level1"/>
        <w:rPr>
          <w:sz w:val="20"/>
          <w:szCs w:val="20"/>
        </w:rPr>
      </w:pPr>
      <w:bookmarkStart w:id="94" w:name="_Toc256000007"/>
      <w:bookmarkStart w:id="95" w:name="a1004072"/>
      <w:bookmarkStart w:id="96" w:name="_Toc144907415"/>
      <w:r w:rsidRPr="00C7122C">
        <w:rPr>
          <w:sz w:val="20"/>
          <w:szCs w:val="20"/>
        </w:rPr>
        <w:t>Directors' conflicts</w:t>
      </w:r>
      <w:bookmarkEnd w:id="94"/>
      <w:bookmarkEnd w:id="95"/>
      <w:bookmarkEnd w:id="96"/>
    </w:p>
    <w:p w14:paraId="1C1D0183" w14:textId="50DD1CE9" w:rsidR="00000000" w:rsidRPr="00C7122C" w:rsidRDefault="00A35BEC" w:rsidP="00E12420">
      <w:pPr>
        <w:pStyle w:val="Level2"/>
        <w:rPr>
          <w:sz w:val="20"/>
          <w:szCs w:val="20"/>
        </w:rPr>
      </w:pPr>
      <w:bookmarkStart w:id="97" w:name="a442007"/>
      <w:r w:rsidRPr="00C7122C">
        <w:rPr>
          <w:sz w:val="20"/>
          <w:szCs w:val="20"/>
        </w:rPr>
        <w:t xml:space="preserve">The Directors may, in accordance with the requirements set out in this </w:t>
      </w:r>
      <w:r w:rsidRPr="00C7122C">
        <w:rPr>
          <w:sz w:val="20"/>
          <w:szCs w:val="20"/>
        </w:rPr>
        <w:fldChar w:fldCharType="begin"/>
      </w:r>
      <w:r w:rsidRPr="00C7122C">
        <w:rPr>
          <w:sz w:val="20"/>
          <w:szCs w:val="20"/>
        </w:rPr>
        <w:instrText>PAGEREF a1004072\#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a1004072 \h \w</w:instrText>
      </w:r>
      <w:r w:rsidR="00E12420"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7</w:t>
      </w:r>
      <w:r w:rsidRPr="00C7122C">
        <w:rPr>
          <w:sz w:val="20"/>
          <w:szCs w:val="20"/>
        </w:rPr>
        <w:fldChar w:fldCharType="end"/>
      </w:r>
      <w:r w:rsidRPr="00C7122C">
        <w:rPr>
          <w:sz w:val="20"/>
          <w:szCs w:val="20"/>
        </w:rPr>
        <w:t>, authorise any matter or situation proposed to them by any Director which would, if not authorised, involve a Director (an Interested Director) breaching their duty under section 175 of the Act to avoid conflicts of interest (</w:t>
      </w:r>
      <w:r w:rsidRPr="00C7122C">
        <w:rPr>
          <w:b/>
          <w:bCs/>
          <w:sz w:val="20"/>
          <w:szCs w:val="20"/>
        </w:rPr>
        <w:t>Conflict</w:t>
      </w:r>
      <w:r w:rsidRPr="00C7122C">
        <w:rPr>
          <w:sz w:val="20"/>
          <w:szCs w:val="20"/>
        </w:rPr>
        <w:t>).</w:t>
      </w:r>
      <w:bookmarkEnd w:id="97"/>
      <w:r w:rsidR="00F52371">
        <w:rPr>
          <w:sz w:val="20"/>
          <w:szCs w:val="20"/>
        </w:rPr>
        <w:t xml:space="preserve"> </w:t>
      </w:r>
    </w:p>
    <w:p w14:paraId="1FCFADCC" w14:textId="77777777" w:rsidR="00000000" w:rsidRPr="00C7122C" w:rsidRDefault="00A35BEC" w:rsidP="00E12420">
      <w:pPr>
        <w:pStyle w:val="Level2"/>
        <w:rPr>
          <w:sz w:val="20"/>
          <w:szCs w:val="20"/>
        </w:rPr>
      </w:pPr>
      <w:bookmarkStart w:id="98" w:name="a85930"/>
      <w:r w:rsidRPr="00C7122C">
        <w:rPr>
          <w:sz w:val="20"/>
          <w:szCs w:val="20"/>
        </w:rPr>
        <w:t xml:space="preserve">Any authorisation under this </w:t>
      </w:r>
      <w:r w:rsidRPr="00C7122C">
        <w:rPr>
          <w:sz w:val="20"/>
          <w:szCs w:val="20"/>
        </w:rPr>
        <w:fldChar w:fldCharType="begin"/>
      </w:r>
      <w:r w:rsidRPr="00C7122C">
        <w:rPr>
          <w:sz w:val="20"/>
          <w:szCs w:val="20"/>
        </w:rPr>
        <w:instrText>PAGEREF a1004072\#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a1004072 \h \w</w:instrText>
      </w:r>
      <w:r w:rsidR="00E12420"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7</w:t>
      </w:r>
      <w:r w:rsidRPr="00C7122C">
        <w:rPr>
          <w:sz w:val="20"/>
          <w:szCs w:val="20"/>
        </w:rPr>
        <w:fldChar w:fldCharType="end"/>
      </w:r>
      <w:r w:rsidRPr="00C7122C">
        <w:rPr>
          <w:sz w:val="20"/>
          <w:szCs w:val="20"/>
        </w:rPr>
        <w:t xml:space="preserve"> will be effective only if:</w:t>
      </w:r>
      <w:bookmarkEnd w:id="98"/>
    </w:p>
    <w:p w14:paraId="7D4B2F37" w14:textId="77777777" w:rsidR="00000000" w:rsidRPr="00C7122C" w:rsidRDefault="00A35BEC" w:rsidP="00E12420">
      <w:pPr>
        <w:pStyle w:val="Level3"/>
        <w:rPr>
          <w:sz w:val="20"/>
          <w:szCs w:val="20"/>
        </w:rPr>
      </w:pPr>
      <w:bookmarkStart w:id="99" w:name="a66556"/>
      <w:r w:rsidRPr="00C7122C">
        <w:rPr>
          <w:sz w:val="20"/>
          <w:szCs w:val="20"/>
        </w:rPr>
        <w:t>the matter in question shall have been proposed by any Director for consideration in the same way that any other matter may be proposed to the Directors under the provisions of these Articles or in such other manner as the Directors may determine;</w:t>
      </w:r>
      <w:bookmarkEnd w:id="99"/>
    </w:p>
    <w:p w14:paraId="485F5574" w14:textId="77777777" w:rsidR="00000000" w:rsidRPr="00C7122C" w:rsidRDefault="00A35BEC" w:rsidP="00E12420">
      <w:pPr>
        <w:pStyle w:val="Level3"/>
        <w:rPr>
          <w:sz w:val="20"/>
          <w:szCs w:val="20"/>
        </w:rPr>
      </w:pPr>
      <w:bookmarkStart w:id="100" w:name="a995846"/>
      <w:r w:rsidRPr="00C7122C">
        <w:rPr>
          <w:sz w:val="20"/>
          <w:szCs w:val="20"/>
        </w:rPr>
        <w:t>any requirement as to the quorum for consideration of the relevant matter is met without counting the Interested Director; and</w:t>
      </w:r>
      <w:bookmarkEnd w:id="100"/>
    </w:p>
    <w:p w14:paraId="0C5E2261" w14:textId="77777777" w:rsidR="00000000" w:rsidRPr="00C7122C" w:rsidRDefault="00A35BEC" w:rsidP="00E12420">
      <w:pPr>
        <w:pStyle w:val="Level3"/>
        <w:rPr>
          <w:sz w:val="20"/>
          <w:szCs w:val="20"/>
        </w:rPr>
      </w:pPr>
      <w:bookmarkStart w:id="101" w:name="a703705"/>
      <w:r w:rsidRPr="00C7122C">
        <w:rPr>
          <w:sz w:val="20"/>
          <w:szCs w:val="20"/>
        </w:rPr>
        <w:t>the matter was agreed to without the Interested Director voting or would have been agreed to if the Interested Director's vote had not been counted.</w:t>
      </w:r>
      <w:bookmarkEnd w:id="101"/>
    </w:p>
    <w:p w14:paraId="1259918C" w14:textId="77777777" w:rsidR="00000000" w:rsidRPr="00C7122C" w:rsidRDefault="00A35BEC" w:rsidP="00E12420">
      <w:pPr>
        <w:pStyle w:val="Level2"/>
        <w:rPr>
          <w:sz w:val="20"/>
          <w:szCs w:val="20"/>
        </w:rPr>
      </w:pPr>
      <w:bookmarkStart w:id="102" w:name="a865667"/>
      <w:r w:rsidRPr="00C7122C">
        <w:rPr>
          <w:sz w:val="20"/>
          <w:szCs w:val="20"/>
        </w:rPr>
        <w:t xml:space="preserve">Any authorisation of a Conflict under this </w:t>
      </w:r>
      <w:r w:rsidRPr="00C7122C">
        <w:rPr>
          <w:sz w:val="20"/>
          <w:szCs w:val="20"/>
        </w:rPr>
        <w:fldChar w:fldCharType="begin"/>
      </w:r>
      <w:r w:rsidRPr="00C7122C">
        <w:rPr>
          <w:sz w:val="20"/>
          <w:szCs w:val="20"/>
        </w:rPr>
        <w:instrText>PAGEREF a1004072\#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a1004072 \h \w</w:instrText>
      </w:r>
      <w:r w:rsidR="00B272BF"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7</w:t>
      </w:r>
      <w:r w:rsidRPr="00C7122C">
        <w:rPr>
          <w:sz w:val="20"/>
          <w:szCs w:val="20"/>
        </w:rPr>
        <w:fldChar w:fldCharType="end"/>
      </w:r>
      <w:r w:rsidRPr="00C7122C">
        <w:rPr>
          <w:sz w:val="20"/>
          <w:szCs w:val="20"/>
        </w:rPr>
        <w:t xml:space="preserve"> may (whether at the time of giving the authorisation or subsequently):</w:t>
      </w:r>
      <w:bookmarkEnd w:id="102"/>
    </w:p>
    <w:p w14:paraId="11316514" w14:textId="77777777" w:rsidR="00000000" w:rsidRPr="00C7122C" w:rsidRDefault="00A35BEC" w:rsidP="00E12420">
      <w:pPr>
        <w:pStyle w:val="Level3"/>
        <w:rPr>
          <w:sz w:val="20"/>
          <w:szCs w:val="20"/>
        </w:rPr>
      </w:pPr>
      <w:bookmarkStart w:id="103" w:name="a447428"/>
      <w:r w:rsidRPr="00C7122C">
        <w:rPr>
          <w:sz w:val="20"/>
          <w:szCs w:val="20"/>
        </w:rPr>
        <w:t>extend to any actual or potential conflict of interest which may reasonably be expected to arise out of the matter or situation so authorised;</w:t>
      </w:r>
      <w:bookmarkEnd w:id="103"/>
    </w:p>
    <w:p w14:paraId="2EFF731A" w14:textId="77777777" w:rsidR="00000000" w:rsidRPr="00C7122C" w:rsidRDefault="00A35BEC" w:rsidP="00E12420">
      <w:pPr>
        <w:pStyle w:val="Level3"/>
        <w:rPr>
          <w:sz w:val="20"/>
          <w:szCs w:val="20"/>
        </w:rPr>
      </w:pPr>
      <w:bookmarkStart w:id="104" w:name="a106958"/>
      <w:r w:rsidRPr="00C7122C">
        <w:rPr>
          <w:sz w:val="20"/>
          <w:szCs w:val="20"/>
        </w:rPr>
        <w:t>provide that the Interested Director be excluded from the receipt of documents and information and the participation in discussions (whether at meetings of the Directors or otherwise) related to the Conflict;</w:t>
      </w:r>
      <w:bookmarkEnd w:id="104"/>
    </w:p>
    <w:p w14:paraId="18EF8730" w14:textId="77777777" w:rsidR="00000000" w:rsidRPr="00C7122C" w:rsidRDefault="00A35BEC" w:rsidP="00E12420">
      <w:pPr>
        <w:pStyle w:val="Level3"/>
        <w:rPr>
          <w:sz w:val="20"/>
          <w:szCs w:val="20"/>
        </w:rPr>
      </w:pPr>
      <w:bookmarkStart w:id="105" w:name="a899464"/>
      <w:r w:rsidRPr="00C7122C">
        <w:rPr>
          <w:sz w:val="20"/>
          <w:szCs w:val="20"/>
        </w:rPr>
        <w:t>provide that the Interested Director shall or shall not be an Eligible Director in respect of any future decision of the Directors in relation to any resolution related to the Conflict;</w:t>
      </w:r>
      <w:bookmarkEnd w:id="105"/>
    </w:p>
    <w:p w14:paraId="3821EEA4" w14:textId="77777777" w:rsidR="00000000" w:rsidRPr="00C7122C" w:rsidRDefault="00A35BEC" w:rsidP="00E12420">
      <w:pPr>
        <w:pStyle w:val="Level3"/>
        <w:rPr>
          <w:sz w:val="20"/>
          <w:szCs w:val="20"/>
        </w:rPr>
      </w:pPr>
      <w:bookmarkStart w:id="106" w:name="a130069"/>
      <w:r w:rsidRPr="00C7122C">
        <w:rPr>
          <w:sz w:val="20"/>
          <w:szCs w:val="20"/>
        </w:rPr>
        <w:t>impose upon the Interested Director such other terms for the purposes of dealing with the Conflict as the Directors think fit;</w:t>
      </w:r>
      <w:bookmarkEnd w:id="106"/>
    </w:p>
    <w:p w14:paraId="08CCD7E2" w14:textId="77777777" w:rsidR="00000000" w:rsidRPr="00C7122C" w:rsidRDefault="00A35BEC" w:rsidP="00E12420">
      <w:pPr>
        <w:pStyle w:val="Level3"/>
        <w:rPr>
          <w:sz w:val="20"/>
          <w:szCs w:val="20"/>
        </w:rPr>
      </w:pPr>
      <w:bookmarkStart w:id="107" w:name="a462961"/>
      <w:r w:rsidRPr="00C7122C">
        <w:rPr>
          <w:sz w:val="20"/>
          <w:szCs w:val="20"/>
        </w:rPr>
        <w:t xml:space="preserve">provide that, where the Interested Director obtains, or has obtained (through their involvement in the Conflict and otherwise than through the Interested Director's position as a Director of the Company) information that is confidential to a third party, they will not </w:t>
      </w:r>
      <w:r w:rsidRPr="00C7122C">
        <w:rPr>
          <w:sz w:val="20"/>
          <w:szCs w:val="20"/>
        </w:rPr>
        <w:lastRenderedPageBreak/>
        <w:t>be obliged to disclose that information to the Company, or to use it in relation to the Company's affairs where to do so would amount to a breach of that confidence; and</w:t>
      </w:r>
      <w:bookmarkEnd w:id="107"/>
    </w:p>
    <w:p w14:paraId="3582A576" w14:textId="77777777" w:rsidR="00000000" w:rsidRPr="00C7122C" w:rsidRDefault="00A35BEC" w:rsidP="00E12420">
      <w:pPr>
        <w:pStyle w:val="Level3"/>
        <w:rPr>
          <w:sz w:val="20"/>
          <w:szCs w:val="20"/>
        </w:rPr>
      </w:pPr>
      <w:bookmarkStart w:id="108" w:name="a215017"/>
      <w:r w:rsidRPr="00C7122C">
        <w:rPr>
          <w:sz w:val="20"/>
          <w:szCs w:val="20"/>
        </w:rPr>
        <w:t>permit the Interested Director to absent themselves from the discussion of matters relating to the Conflict at any meeting of the Directors and be excused from reviewing papers prepared by, or for, the Directors to the extent they relate to such matters.</w:t>
      </w:r>
      <w:bookmarkEnd w:id="108"/>
    </w:p>
    <w:p w14:paraId="701267B9" w14:textId="77777777" w:rsidR="00000000" w:rsidRPr="00C7122C" w:rsidRDefault="00A35BEC" w:rsidP="00E12420">
      <w:pPr>
        <w:pStyle w:val="Level2"/>
        <w:rPr>
          <w:sz w:val="20"/>
          <w:szCs w:val="20"/>
        </w:rPr>
      </w:pPr>
      <w:bookmarkStart w:id="109" w:name="a260877"/>
      <w:r w:rsidRPr="00C7122C">
        <w:rPr>
          <w:sz w:val="20"/>
          <w:szCs w:val="20"/>
        </w:rPr>
        <w:t>Where the Directors authorise a Conflict, the Interested Director will be obliged to conduct themselves in accordance with any terms and conditions imposed by the Directors in relation to the Conflict.</w:t>
      </w:r>
      <w:bookmarkEnd w:id="109"/>
    </w:p>
    <w:p w14:paraId="0D220578" w14:textId="77777777" w:rsidR="00000000" w:rsidRPr="00C7122C" w:rsidRDefault="00A35BEC" w:rsidP="00E12420">
      <w:pPr>
        <w:pStyle w:val="Level2"/>
        <w:rPr>
          <w:sz w:val="20"/>
          <w:szCs w:val="20"/>
        </w:rPr>
      </w:pPr>
      <w:bookmarkStart w:id="110" w:name="a75249"/>
      <w:r w:rsidRPr="00C7122C">
        <w:rPr>
          <w:sz w:val="20"/>
          <w:szCs w:val="20"/>
        </w:rPr>
        <w:t>The Directors may revoke or vary such authorisation at any time, but this will not affect anything done by the Interested Director, prior to such revocation or variation, in accordance with the terms of such authorisation.</w:t>
      </w:r>
      <w:bookmarkEnd w:id="110"/>
    </w:p>
    <w:p w14:paraId="6D38773A" w14:textId="77777777" w:rsidR="00000000" w:rsidRPr="00C7122C" w:rsidRDefault="00A35BEC" w:rsidP="00E12420">
      <w:pPr>
        <w:pStyle w:val="Level2"/>
        <w:rPr>
          <w:sz w:val="20"/>
          <w:szCs w:val="20"/>
        </w:rPr>
      </w:pPr>
      <w:bookmarkStart w:id="111" w:name="a897711"/>
      <w:r w:rsidRPr="00C7122C">
        <w:rPr>
          <w:sz w:val="20"/>
          <w:szCs w:val="20"/>
        </w:rPr>
        <w:t xml:space="preserve">A Director, notwithstanding their office, may be a Director or other officer of, employed by, or otherwise interested (including by the holding of shares) in their appointor(s) (or any Permitted Transferee of such appointor(s)) and no authorisation under </w:t>
      </w:r>
      <w:r w:rsidRPr="00C7122C">
        <w:rPr>
          <w:sz w:val="20"/>
          <w:szCs w:val="20"/>
        </w:rPr>
        <w:fldChar w:fldCharType="begin"/>
      </w:r>
      <w:r w:rsidRPr="00C7122C">
        <w:rPr>
          <w:sz w:val="20"/>
          <w:szCs w:val="20"/>
        </w:rPr>
        <w:instrText>PAGEREF a442007\#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a442007 \h \w</w:instrText>
      </w:r>
      <w:r w:rsidR="00B272BF"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7.1</w:t>
      </w:r>
      <w:r w:rsidRPr="00C7122C">
        <w:rPr>
          <w:sz w:val="20"/>
          <w:szCs w:val="20"/>
        </w:rPr>
        <w:fldChar w:fldCharType="end"/>
      </w:r>
      <w:r w:rsidRPr="00C7122C">
        <w:rPr>
          <w:sz w:val="20"/>
          <w:szCs w:val="20"/>
        </w:rPr>
        <w:t xml:space="preserve"> shall be necessary in respect of any such interest.</w:t>
      </w:r>
      <w:bookmarkEnd w:id="111"/>
    </w:p>
    <w:p w14:paraId="2A42D379" w14:textId="77777777" w:rsidR="00000000" w:rsidRPr="00C7122C" w:rsidRDefault="00A35BEC" w:rsidP="00E12420">
      <w:pPr>
        <w:pStyle w:val="Level2"/>
        <w:rPr>
          <w:sz w:val="20"/>
          <w:szCs w:val="20"/>
        </w:rPr>
      </w:pPr>
      <w:bookmarkStart w:id="112" w:name="a363645"/>
      <w:r w:rsidRPr="00C7122C">
        <w:rPr>
          <w:sz w:val="20"/>
          <w:szCs w:val="20"/>
        </w:rPr>
        <w:t>A Director is not required, by reason of being a Director (or because of the fiduciary relationship established by reason of being a Director), to account to the Company for any remuneration, profit or other benefit which they derive from or in connection with a relationship involving a Conflict which has been authorised by the Directors in accordance with these Articles or by the Company in general meeting (subject in each case to any terms and conditions attaching to that authorisation) and no contract shall be liable to be avoided on such grounds.</w:t>
      </w:r>
      <w:bookmarkEnd w:id="112"/>
    </w:p>
    <w:p w14:paraId="60B795E8" w14:textId="77777777" w:rsidR="00000000" w:rsidRPr="00EF29B2" w:rsidRDefault="00A35BEC" w:rsidP="00A211F7">
      <w:pPr>
        <w:pStyle w:val="Subtitle"/>
        <w:rPr>
          <w:spacing w:val="-3"/>
          <w:sz w:val="20"/>
          <w:szCs w:val="20"/>
        </w:rPr>
      </w:pPr>
      <w:r w:rsidRPr="00EF29B2">
        <w:rPr>
          <w:sz w:val="20"/>
          <w:szCs w:val="20"/>
        </w:rPr>
        <w:t>SHAR</w:t>
      </w:r>
      <w:r w:rsidR="002C2039" w:rsidRPr="00EF29B2">
        <w:rPr>
          <w:sz w:val="20"/>
          <w:szCs w:val="20"/>
        </w:rPr>
        <w:t xml:space="preserve">E RIGHTS </w:t>
      </w:r>
    </w:p>
    <w:p w14:paraId="3418D5DA" w14:textId="77777777" w:rsidR="00912FC9" w:rsidRPr="00EF29B2" w:rsidRDefault="002C2039" w:rsidP="00E12420">
      <w:pPr>
        <w:pStyle w:val="Level1"/>
        <w:rPr>
          <w:b w:val="0"/>
          <w:bCs/>
          <w:sz w:val="20"/>
          <w:szCs w:val="20"/>
        </w:rPr>
      </w:pPr>
      <w:bookmarkStart w:id="113" w:name="_Toc144907416"/>
      <w:r w:rsidRPr="00EF29B2">
        <w:rPr>
          <w:sz w:val="20"/>
          <w:szCs w:val="20"/>
        </w:rPr>
        <w:t>Voting</w:t>
      </w:r>
      <w:bookmarkEnd w:id="113"/>
      <w:r w:rsidRPr="00EF29B2">
        <w:rPr>
          <w:sz w:val="20"/>
          <w:szCs w:val="20"/>
        </w:rPr>
        <w:t xml:space="preserve"> </w:t>
      </w:r>
    </w:p>
    <w:p w14:paraId="37D0E6C9" w14:textId="7B4A388A" w:rsidR="002C2039" w:rsidRPr="00C7122C" w:rsidRDefault="002C2039" w:rsidP="000077D6">
      <w:pPr>
        <w:pStyle w:val="Body2"/>
        <w:rPr>
          <w:b/>
          <w:sz w:val="20"/>
          <w:szCs w:val="20"/>
        </w:rPr>
      </w:pPr>
      <w:r w:rsidRPr="00C7122C">
        <w:rPr>
          <w:sz w:val="20"/>
          <w:szCs w:val="20"/>
        </w:rPr>
        <w:t>Each of the Ordinary Shares shall confer on their holders the right to receive notice of and to attend, speak, and vote at all general meetings of the Company and to vote on and sign written resolutions of the Company.</w:t>
      </w:r>
    </w:p>
    <w:p w14:paraId="643277A5" w14:textId="77777777" w:rsidR="00000000" w:rsidRPr="00C7122C" w:rsidRDefault="00A35BEC" w:rsidP="00E12420">
      <w:pPr>
        <w:pStyle w:val="Level1"/>
        <w:rPr>
          <w:sz w:val="20"/>
          <w:szCs w:val="20"/>
        </w:rPr>
      </w:pPr>
      <w:bookmarkStart w:id="114" w:name="_Toc256000009"/>
      <w:bookmarkStart w:id="115" w:name="a862624"/>
      <w:bookmarkStart w:id="116" w:name="_Toc144907417"/>
      <w:r w:rsidRPr="00C7122C">
        <w:rPr>
          <w:sz w:val="20"/>
          <w:szCs w:val="20"/>
        </w:rPr>
        <w:t>Dividends</w:t>
      </w:r>
      <w:bookmarkEnd w:id="114"/>
      <w:bookmarkEnd w:id="115"/>
      <w:bookmarkEnd w:id="116"/>
    </w:p>
    <w:p w14:paraId="7F24F1D8" w14:textId="77777777" w:rsidR="00000000" w:rsidRPr="00C7122C" w:rsidRDefault="00A35BEC" w:rsidP="00E12420">
      <w:pPr>
        <w:pStyle w:val="Level2"/>
        <w:rPr>
          <w:sz w:val="20"/>
          <w:szCs w:val="20"/>
        </w:rPr>
      </w:pPr>
      <w:bookmarkStart w:id="117" w:name="a652637"/>
      <w:r w:rsidRPr="00C7122C">
        <w:rPr>
          <w:sz w:val="20"/>
          <w:szCs w:val="20"/>
        </w:rPr>
        <w:t xml:space="preserve">In respect of any Financial Year, the Available Profits of the Company shall be used to pay dividends as set out in this </w:t>
      </w:r>
      <w:r w:rsidRPr="00C7122C">
        <w:rPr>
          <w:sz w:val="20"/>
          <w:szCs w:val="20"/>
        </w:rPr>
        <w:fldChar w:fldCharType="begin"/>
      </w:r>
      <w:r w:rsidRPr="00C7122C">
        <w:rPr>
          <w:sz w:val="20"/>
          <w:szCs w:val="20"/>
        </w:rPr>
        <w:instrText>PAGEREF a862624\#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a862624 \h \w</w:instrText>
      </w:r>
      <w:r w:rsidR="00B272BF"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9</w:t>
      </w:r>
      <w:r w:rsidRPr="00C7122C">
        <w:rPr>
          <w:sz w:val="20"/>
          <w:szCs w:val="20"/>
        </w:rPr>
        <w:fldChar w:fldCharType="end"/>
      </w:r>
      <w:r w:rsidRPr="00C7122C">
        <w:rPr>
          <w:sz w:val="20"/>
          <w:szCs w:val="20"/>
        </w:rPr>
        <w:t>.</w:t>
      </w:r>
      <w:bookmarkEnd w:id="117"/>
    </w:p>
    <w:p w14:paraId="579D50AB" w14:textId="4D3B61FC" w:rsidR="002C2039" w:rsidRPr="0017407B" w:rsidRDefault="002C2039" w:rsidP="002C2039">
      <w:pPr>
        <w:pStyle w:val="Level2"/>
        <w:rPr>
          <w:sz w:val="20"/>
          <w:szCs w:val="20"/>
        </w:rPr>
      </w:pPr>
      <w:bookmarkStart w:id="118" w:name="_Ref266776866"/>
      <w:bookmarkStart w:id="119" w:name="_Ref266776375"/>
      <w:r w:rsidRPr="0017407B">
        <w:rPr>
          <w:sz w:val="20"/>
          <w:szCs w:val="20"/>
        </w:rPr>
        <w:t>Subject to articles 30 to 35 of the Model Articles, dividends may be declared and/or paid to</w:t>
      </w:r>
      <w:bookmarkEnd w:id="118"/>
      <w:r w:rsidR="0017407B" w:rsidRPr="0017407B">
        <w:rPr>
          <w:sz w:val="20"/>
          <w:szCs w:val="20"/>
        </w:rPr>
        <w:t xml:space="preserve"> </w:t>
      </w:r>
      <w:r w:rsidRPr="0017407B">
        <w:rPr>
          <w:sz w:val="20"/>
          <w:szCs w:val="20"/>
        </w:rPr>
        <w:t xml:space="preserve">the holders of </w:t>
      </w:r>
      <w:r w:rsidRPr="0017407B">
        <w:rPr>
          <w:sz w:val="20"/>
          <w:szCs w:val="20"/>
        </w:rPr>
        <w:t>Ordinary Shares in proportion to the number of Ordinary Shares held by them respectively</w:t>
      </w:r>
      <w:bookmarkEnd w:id="119"/>
      <w:r w:rsidR="0017407B" w:rsidRPr="0017407B">
        <w:rPr>
          <w:sz w:val="20"/>
          <w:szCs w:val="20"/>
        </w:rPr>
        <w:t>.</w:t>
      </w:r>
    </w:p>
    <w:p w14:paraId="486CFBD3" w14:textId="77777777" w:rsidR="00000000" w:rsidRPr="00C7122C" w:rsidRDefault="002C2039" w:rsidP="00E12420">
      <w:pPr>
        <w:pStyle w:val="Level1"/>
        <w:rPr>
          <w:sz w:val="20"/>
          <w:szCs w:val="20"/>
        </w:rPr>
      </w:pPr>
      <w:bookmarkStart w:id="120" w:name="_Ref142318422"/>
      <w:bookmarkStart w:id="121" w:name="_Ref142318644"/>
      <w:bookmarkStart w:id="122" w:name="_Ref142318662"/>
      <w:bookmarkStart w:id="123" w:name="_Ref142319988"/>
      <w:bookmarkStart w:id="124" w:name="_Toc144907418"/>
      <w:r w:rsidRPr="00C7122C">
        <w:rPr>
          <w:sz w:val="20"/>
          <w:szCs w:val="20"/>
        </w:rPr>
        <w:t>Return of Capital</w:t>
      </w:r>
      <w:bookmarkEnd w:id="120"/>
      <w:bookmarkEnd w:id="121"/>
      <w:bookmarkEnd w:id="122"/>
      <w:bookmarkEnd w:id="123"/>
      <w:bookmarkEnd w:id="124"/>
    </w:p>
    <w:p w14:paraId="1805A998" w14:textId="5140D7F0" w:rsidR="00000000" w:rsidRPr="00C7122C" w:rsidRDefault="00A35BEC" w:rsidP="00D90415">
      <w:pPr>
        <w:pStyle w:val="Body2"/>
        <w:rPr>
          <w:sz w:val="20"/>
          <w:szCs w:val="20"/>
        </w:rPr>
      </w:pPr>
      <w:bookmarkStart w:id="125" w:name="a56867"/>
      <w:r w:rsidRPr="00C7122C">
        <w:rPr>
          <w:sz w:val="20"/>
          <w:szCs w:val="20"/>
        </w:rPr>
        <w:t xml:space="preserve">On a return of assets on liquidation, capital reduction or otherwise (other than a conversion or purchase of Shares), the assets of the Company remaining after the payment of its liabilities shall be applied (to the extent that the Company is lawfully able to do so) </w:t>
      </w:r>
      <w:bookmarkStart w:id="126" w:name="a747108"/>
      <w:bookmarkEnd w:id="125"/>
      <w:r w:rsidR="002C2039" w:rsidRPr="00C7122C">
        <w:rPr>
          <w:sz w:val="20"/>
          <w:szCs w:val="20"/>
        </w:rPr>
        <w:t>a</w:t>
      </w:r>
      <w:r w:rsidRPr="00C7122C">
        <w:rPr>
          <w:sz w:val="20"/>
          <w:szCs w:val="20"/>
        </w:rPr>
        <w:t>mong the holders of the</w:t>
      </w:r>
      <w:r w:rsidR="00092D22">
        <w:rPr>
          <w:sz w:val="20"/>
          <w:szCs w:val="20"/>
        </w:rPr>
        <w:t xml:space="preserve"> Ordinary Shares</w:t>
      </w:r>
      <w:r w:rsidRPr="00C7122C">
        <w:rPr>
          <w:sz w:val="20"/>
          <w:szCs w:val="20"/>
        </w:rPr>
        <w:t xml:space="preserve"> pro rata to the number of </w:t>
      </w:r>
      <w:r w:rsidR="00092D22">
        <w:rPr>
          <w:sz w:val="20"/>
          <w:szCs w:val="20"/>
        </w:rPr>
        <w:t xml:space="preserve">Ordinary </w:t>
      </w:r>
      <w:r w:rsidRPr="00C7122C">
        <w:rPr>
          <w:sz w:val="20"/>
          <w:szCs w:val="20"/>
        </w:rPr>
        <w:t>Shares held, as if they all constituted shares of the same class.</w:t>
      </w:r>
      <w:bookmarkEnd w:id="126"/>
    </w:p>
    <w:p w14:paraId="2C47DAD3" w14:textId="77777777" w:rsidR="00000000" w:rsidRPr="00C7122C" w:rsidRDefault="008042C0" w:rsidP="00E12420">
      <w:pPr>
        <w:pStyle w:val="Level1"/>
        <w:rPr>
          <w:sz w:val="20"/>
          <w:szCs w:val="20"/>
        </w:rPr>
      </w:pPr>
      <w:bookmarkStart w:id="127" w:name="_Toc144907419"/>
      <w:r w:rsidRPr="00C7122C">
        <w:rPr>
          <w:sz w:val="20"/>
          <w:szCs w:val="20"/>
        </w:rPr>
        <w:lastRenderedPageBreak/>
        <w:t>Share Sale</w:t>
      </w:r>
      <w:bookmarkEnd w:id="127"/>
      <w:r w:rsidRPr="00C7122C">
        <w:rPr>
          <w:sz w:val="20"/>
          <w:szCs w:val="20"/>
        </w:rPr>
        <w:t xml:space="preserve"> </w:t>
      </w:r>
    </w:p>
    <w:p w14:paraId="5BA2A9BE" w14:textId="77777777" w:rsidR="00000000" w:rsidRPr="00C7122C" w:rsidRDefault="00A35BEC" w:rsidP="00E12420">
      <w:pPr>
        <w:pStyle w:val="Level2"/>
        <w:rPr>
          <w:sz w:val="20"/>
          <w:szCs w:val="20"/>
        </w:rPr>
      </w:pPr>
      <w:bookmarkStart w:id="128" w:name="a263857"/>
      <w:r w:rsidRPr="00C7122C">
        <w:rPr>
          <w:sz w:val="20"/>
          <w:szCs w:val="20"/>
        </w:rPr>
        <w:t xml:space="preserve">On a Share Sale, the Sale Proceeds shall be distributed in the order of priority set out in </w:t>
      </w:r>
      <w:r w:rsidR="00D90415" w:rsidRPr="00C7122C">
        <w:rPr>
          <w:sz w:val="20"/>
          <w:szCs w:val="20"/>
        </w:rPr>
        <w:t xml:space="preserve">article </w:t>
      </w:r>
      <w:r w:rsidR="00D90415" w:rsidRPr="00C7122C">
        <w:rPr>
          <w:sz w:val="20"/>
          <w:szCs w:val="20"/>
        </w:rPr>
        <w:fldChar w:fldCharType="begin"/>
      </w:r>
      <w:r w:rsidR="00D90415" w:rsidRPr="00C7122C">
        <w:rPr>
          <w:sz w:val="20"/>
          <w:szCs w:val="20"/>
        </w:rPr>
        <w:instrText xml:space="preserve"> REF _Ref142318422 \r \h </w:instrText>
      </w:r>
      <w:r w:rsidR="00C7122C">
        <w:rPr>
          <w:sz w:val="20"/>
          <w:szCs w:val="20"/>
        </w:rPr>
        <w:instrText xml:space="preserve"> \* MERGEFORMAT </w:instrText>
      </w:r>
      <w:r w:rsidR="00D90415" w:rsidRPr="00C7122C">
        <w:rPr>
          <w:sz w:val="20"/>
          <w:szCs w:val="20"/>
        </w:rPr>
      </w:r>
      <w:r w:rsidR="00D90415" w:rsidRPr="00C7122C">
        <w:rPr>
          <w:sz w:val="20"/>
          <w:szCs w:val="20"/>
        </w:rPr>
        <w:fldChar w:fldCharType="separate"/>
      </w:r>
      <w:r w:rsidR="0017407B">
        <w:rPr>
          <w:sz w:val="20"/>
          <w:szCs w:val="20"/>
        </w:rPr>
        <w:t>10</w:t>
      </w:r>
      <w:r w:rsidR="00D90415" w:rsidRPr="00C7122C">
        <w:rPr>
          <w:sz w:val="20"/>
          <w:szCs w:val="20"/>
        </w:rPr>
        <w:fldChar w:fldCharType="end"/>
      </w:r>
      <w:r w:rsidRPr="00C7122C">
        <w:rPr>
          <w:sz w:val="20"/>
          <w:szCs w:val="20"/>
        </w:rPr>
        <w:t>. The Directors shall not register any transfer of Shares if the Sale Proceeds are not distributed in that manner (save in respect of any Shares not sold in connection with that Share Sale) provided that, if the Sale Proceeds are not settled in their entirety upon completion of the Share Sale:</w:t>
      </w:r>
      <w:bookmarkEnd w:id="128"/>
    </w:p>
    <w:p w14:paraId="0A56B6BE" w14:textId="77777777" w:rsidR="00000000" w:rsidRPr="00C7122C" w:rsidRDefault="00A35BEC" w:rsidP="00E12420">
      <w:pPr>
        <w:pStyle w:val="Level3"/>
        <w:rPr>
          <w:sz w:val="20"/>
          <w:szCs w:val="20"/>
        </w:rPr>
      </w:pPr>
      <w:bookmarkStart w:id="129" w:name="a438405"/>
      <w:r w:rsidRPr="00C7122C">
        <w:rPr>
          <w:sz w:val="20"/>
          <w:szCs w:val="20"/>
        </w:rPr>
        <w:t>the Directors may register the transfer of the relevant Shares, provided that the Sale Proceeds due on the date of completion of the Share Sale have been distributed in the order of priority set out in</w:t>
      </w:r>
      <w:r w:rsidR="00D74A87" w:rsidRPr="00C7122C">
        <w:rPr>
          <w:sz w:val="20"/>
          <w:szCs w:val="20"/>
        </w:rPr>
        <w:t xml:space="preserve"> article </w:t>
      </w:r>
      <w:r w:rsidR="00D74A87" w:rsidRPr="00C7122C">
        <w:rPr>
          <w:sz w:val="20"/>
          <w:szCs w:val="20"/>
        </w:rPr>
        <w:fldChar w:fldCharType="begin"/>
      </w:r>
      <w:r w:rsidR="00D74A87" w:rsidRPr="00C7122C">
        <w:rPr>
          <w:sz w:val="20"/>
          <w:szCs w:val="20"/>
        </w:rPr>
        <w:instrText xml:space="preserve"> REF _Ref142318644 \r \h </w:instrText>
      </w:r>
      <w:r w:rsidR="00C7122C">
        <w:rPr>
          <w:sz w:val="20"/>
          <w:szCs w:val="20"/>
        </w:rPr>
        <w:instrText xml:space="preserve"> \* MERGEFORMAT </w:instrText>
      </w:r>
      <w:r w:rsidR="00D74A87" w:rsidRPr="00C7122C">
        <w:rPr>
          <w:sz w:val="20"/>
          <w:szCs w:val="20"/>
        </w:rPr>
      </w:r>
      <w:r w:rsidR="00D74A87" w:rsidRPr="00C7122C">
        <w:rPr>
          <w:sz w:val="20"/>
          <w:szCs w:val="20"/>
        </w:rPr>
        <w:fldChar w:fldCharType="separate"/>
      </w:r>
      <w:r w:rsidR="0017407B">
        <w:rPr>
          <w:sz w:val="20"/>
          <w:szCs w:val="20"/>
        </w:rPr>
        <w:t>10</w:t>
      </w:r>
      <w:r w:rsidR="00D74A87" w:rsidRPr="00C7122C">
        <w:rPr>
          <w:sz w:val="20"/>
          <w:szCs w:val="20"/>
        </w:rPr>
        <w:fldChar w:fldCharType="end"/>
      </w:r>
      <w:r w:rsidRPr="00C7122C">
        <w:rPr>
          <w:sz w:val="20"/>
          <w:szCs w:val="20"/>
        </w:rPr>
        <w:t>; and</w:t>
      </w:r>
      <w:bookmarkEnd w:id="129"/>
    </w:p>
    <w:p w14:paraId="3BAD4CE6" w14:textId="77777777" w:rsidR="00000000" w:rsidRPr="00C7122C" w:rsidRDefault="00A35BEC" w:rsidP="00E12420">
      <w:pPr>
        <w:pStyle w:val="Level3"/>
        <w:rPr>
          <w:sz w:val="20"/>
          <w:szCs w:val="20"/>
        </w:rPr>
      </w:pPr>
      <w:bookmarkStart w:id="130" w:name="a175418"/>
      <w:r w:rsidRPr="00C7122C">
        <w:rPr>
          <w:sz w:val="20"/>
          <w:szCs w:val="20"/>
        </w:rPr>
        <w:t>each Shareholder shall take any</w:t>
      </w:r>
      <w:r w:rsidR="006661A3" w:rsidRPr="00C7122C">
        <w:rPr>
          <w:sz w:val="20"/>
          <w:szCs w:val="20"/>
        </w:rPr>
        <w:t xml:space="preserve"> </w:t>
      </w:r>
      <w:r w:rsidRPr="00C7122C">
        <w:rPr>
          <w:sz w:val="20"/>
          <w:szCs w:val="20"/>
        </w:rPr>
        <w:t>reasonable action to the extent lawful and within its control</w:t>
      </w:r>
      <w:r w:rsidR="006661A3" w:rsidRPr="00C7122C">
        <w:rPr>
          <w:sz w:val="20"/>
          <w:szCs w:val="20"/>
        </w:rPr>
        <w:t xml:space="preserve"> </w:t>
      </w:r>
      <w:r w:rsidRPr="00C7122C">
        <w:rPr>
          <w:sz w:val="20"/>
          <w:szCs w:val="20"/>
        </w:rPr>
        <w:t xml:space="preserve">to ensure that the balance of the Sale Proceeds </w:t>
      </w:r>
      <w:proofErr w:type="gramStart"/>
      <w:r w:rsidRPr="00C7122C">
        <w:rPr>
          <w:sz w:val="20"/>
          <w:szCs w:val="20"/>
        </w:rPr>
        <w:t>are</w:t>
      </w:r>
      <w:proofErr w:type="gramEnd"/>
      <w:r w:rsidRPr="00C7122C">
        <w:rPr>
          <w:sz w:val="20"/>
          <w:szCs w:val="20"/>
        </w:rPr>
        <w:t xml:space="preserve"> distributed in the order of priority set out in </w:t>
      </w:r>
      <w:r w:rsidR="00D74A87" w:rsidRPr="00C7122C">
        <w:rPr>
          <w:sz w:val="20"/>
          <w:szCs w:val="20"/>
        </w:rPr>
        <w:t xml:space="preserve">article </w:t>
      </w:r>
      <w:r w:rsidR="00D74A87" w:rsidRPr="00C7122C">
        <w:rPr>
          <w:sz w:val="20"/>
          <w:szCs w:val="20"/>
        </w:rPr>
        <w:fldChar w:fldCharType="begin"/>
      </w:r>
      <w:r w:rsidR="00D74A87" w:rsidRPr="00C7122C">
        <w:rPr>
          <w:sz w:val="20"/>
          <w:szCs w:val="20"/>
        </w:rPr>
        <w:instrText xml:space="preserve"> REF _Ref142318662 \r \h </w:instrText>
      </w:r>
      <w:r w:rsidR="00C7122C">
        <w:rPr>
          <w:sz w:val="20"/>
          <w:szCs w:val="20"/>
        </w:rPr>
        <w:instrText xml:space="preserve"> \* MERGEFORMAT </w:instrText>
      </w:r>
      <w:r w:rsidR="00D74A87" w:rsidRPr="00C7122C">
        <w:rPr>
          <w:sz w:val="20"/>
          <w:szCs w:val="20"/>
        </w:rPr>
      </w:r>
      <w:r w:rsidR="00D74A87" w:rsidRPr="00C7122C">
        <w:rPr>
          <w:sz w:val="20"/>
          <w:szCs w:val="20"/>
        </w:rPr>
        <w:fldChar w:fldCharType="separate"/>
      </w:r>
      <w:r w:rsidR="0017407B">
        <w:rPr>
          <w:sz w:val="20"/>
          <w:szCs w:val="20"/>
        </w:rPr>
        <w:t>10</w:t>
      </w:r>
      <w:r w:rsidR="00D74A87" w:rsidRPr="00C7122C">
        <w:rPr>
          <w:sz w:val="20"/>
          <w:szCs w:val="20"/>
        </w:rPr>
        <w:fldChar w:fldCharType="end"/>
      </w:r>
      <w:r w:rsidRPr="00C7122C">
        <w:rPr>
          <w:sz w:val="20"/>
          <w:szCs w:val="20"/>
        </w:rPr>
        <w:t>.</w:t>
      </w:r>
      <w:bookmarkEnd w:id="130"/>
    </w:p>
    <w:p w14:paraId="026BDE0A" w14:textId="77777777" w:rsidR="00000000" w:rsidRPr="00C7122C" w:rsidRDefault="00A35BEC" w:rsidP="00E12420">
      <w:pPr>
        <w:pStyle w:val="Level1"/>
        <w:rPr>
          <w:sz w:val="20"/>
          <w:szCs w:val="20"/>
        </w:rPr>
      </w:pPr>
      <w:bookmarkStart w:id="131" w:name="_Toc256000012"/>
      <w:bookmarkStart w:id="132" w:name="a907328"/>
      <w:bookmarkStart w:id="133" w:name="_Toc144907420"/>
      <w:r w:rsidRPr="00C7122C">
        <w:rPr>
          <w:sz w:val="20"/>
          <w:szCs w:val="20"/>
        </w:rPr>
        <w:t>Variation of class rights</w:t>
      </w:r>
      <w:bookmarkEnd w:id="131"/>
      <w:bookmarkEnd w:id="132"/>
      <w:bookmarkEnd w:id="133"/>
    </w:p>
    <w:p w14:paraId="7F31C7DF" w14:textId="77777777" w:rsidR="00000000" w:rsidRPr="00EF29B2" w:rsidRDefault="00A35BEC" w:rsidP="00D74A87">
      <w:pPr>
        <w:pStyle w:val="Body2"/>
        <w:rPr>
          <w:sz w:val="20"/>
          <w:szCs w:val="20"/>
        </w:rPr>
      </w:pPr>
      <w:bookmarkStart w:id="134" w:name="a242495"/>
      <w:r w:rsidRPr="00C7122C">
        <w:rPr>
          <w:sz w:val="20"/>
          <w:szCs w:val="20"/>
        </w:rPr>
        <w:t xml:space="preserve">Whenever the share capital of the Company is divided into different classes of Shares, the special rights attached to any such class may only be varied or abrogated (either whilst the Company is a going concern or during or in contemplation of a winding up) with the consent in writing of the </w:t>
      </w:r>
      <w:r w:rsidRPr="00EF29B2">
        <w:rPr>
          <w:sz w:val="20"/>
          <w:szCs w:val="20"/>
        </w:rPr>
        <w:t>holders of at least 75% in nominal value of the issued Shares of that clas</w:t>
      </w:r>
      <w:bookmarkEnd w:id="134"/>
      <w:r w:rsidR="006661A3" w:rsidRPr="00EF29B2">
        <w:rPr>
          <w:sz w:val="20"/>
          <w:szCs w:val="20"/>
        </w:rPr>
        <w:t>s.</w:t>
      </w:r>
    </w:p>
    <w:p w14:paraId="33CDB698" w14:textId="6B7AEC78" w:rsidR="00EF29B2" w:rsidRPr="00EF29B2" w:rsidRDefault="00A35BEC" w:rsidP="00E12420">
      <w:pPr>
        <w:pStyle w:val="Level1"/>
        <w:rPr>
          <w:b w:val="0"/>
          <w:bCs/>
          <w:sz w:val="20"/>
          <w:szCs w:val="20"/>
        </w:rPr>
      </w:pPr>
      <w:bookmarkStart w:id="135" w:name="_Toc256000015"/>
      <w:bookmarkStart w:id="136" w:name="a544163"/>
      <w:bookmarkStart w:id="137" w:name="_Toc144907421"/>
      <w:r w:rsidRPr="00EF29B2">
        <w:rPr>
          <w:sz w:val="20"/>
          <w:szCs w:val="20"/>
        </w:rPr>
        <w:t>Pre-emption rights on the issue of further shares</w:t>
      </w:r>
      <w:bookmarkEnd w:id="135"/>
      <w:bookmarkEnd w:id="136"/>
      <w:bookmarkEnd w:id="137"/>
    </w:p>
    <w:p w14:paraId="75E2A3EE" w14:textId="77777777" w:rsidR="00000000" w:rsidRPr="00C7122C" w:rsidRDefault="00A35BEC" w:rsidP="00E12420">
      <w:pPr>
        <w:pStyle w:val="Level2"/>
        <w:rPr>
          <w:sz w:val="20"/>
          <w:szCs w:val="20"/>
        </w:rPr>
      </w:pPr>
      <w:bookmarkStart w:id="138" w:name="a312508"/>
      <w:r w:rsidRPr="00C7122C">
        <w:rPr>
          <w:sz w:val="20"/>
          <w:szCs w:val="20"/>
        </w:rPr>
        <w:t xml:space="preserve">Subject to the remaining provisions of this </w:t>
      </w:r>
      <w:r w:rsidRPr="00C7122C">
        <w:rPr>
          <w:sz w:val="20"/>
          <w:szCs w:val="20"/>
        </w:rPr>
        <w:fldChar w:fldCharType="begin"/>
      </w:r>
      <w:r w:rsidRPr="00C7122C">
        <w:rPr>
          <w:sz w:val="20"/>
          <w:szCs w:val="20"/>
        </w:rPr>
        <w:instrText>PAGEREF a544163\#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a544163 \h \w</w:instrText>
      </w:r>
      <w:r w:rsidR="00E12420"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13</w:t>
      </w:r>
      <w:r w:rsidRPr="00C7122C">
        <w:rPr>
          <w:sz w:val="20"/>
          <w:szCs w:val="20"/>
        </w:rPr>
        <w:fldChar w:fldCharType="end"/>
      </w:r>
      <w:r w:rsidRPr="00C7122C">
        <w:rPr>
          <w:sz w:val="20"/>
          <w:szCs w:val="20"/>
        </w:rPr>
        <w:t>, the Directors are generally and unconditionally authorised, for the purposes of section 551 of the Act, to exercise any power of the Company to:</w:t>
      </w:r>
      <w:bookmarkEnd w:id="138"/>
    </w:p>
    <w:p w14:paraId="12B7E2F1" w14:textId="77777777" w:rsidR="00000000" w:rsidRPr="00C7122C" w:rsidRDefault="00A35BEC" w:rsidP="00E12420">
      <w:pPr>
        <w:pStyle w:val="Level3"/>
        <w:rPr>
          <w:sz w:val="20"/>
          <w:szCs w:val="20"/>
        </w:rPr>
      </w:pPr>
      <w:bookmarkStart w:id="139" w:name="a391323"/>
      <w:r w:rsidRPr="00C7122C">
        <w:rPr>
          <w:sz w:val="20"/>
          <w:szCs w:val="20"/>
        </w:rPr>
        <w:t>offer or allot;</w:t>
      </w:r>
      <w:bookmarkEnd w:id="139"/>
    </w:p>
    <w:p w14:paraId="3389E63B" w14:textId="77777777" w:rsidR="00000000" w:rsidRPr="00C7122C" w:rsidRDefault="00A35BEC" w:rsidP="00E12420">
      <w:pPr>
        <w:pStyle w:val="Level3"/>
        <w:rPr>
          <w:sz w:val="20"/>
          <w:szCs w:val="20"/>
        </w:rPr>
      </w:pPr>
      <w:bookmarkStart w:id="140" w:name="a889300"/>
      <w:r w:rsidRPr="00C7122C">
        <w:rPr>
          <w:sz w:val="20"/>
          <w:szCs w:val="20"/>
        </w:rPr>
        <w:t>grant rights to subscribe for or to convert any security into; and</w:t>
      </w:r>
      <w:bookmarkEnd w:id="140"/>
    </w:p>
    <w:p w14:paraId="4C52457E" w14:textId="77777777" w:rsidR="00000000" w:rsidRPr="00C7122C" w:rsidRDefault="00A35BEC" w:rsidP="00E12420">
      <w:pPr>
        <w:pStyle w:val="Level3"/>
        <w:rPr>
          <w:sz w:val="20"/>
          <w:szCs w:val="20"/>
        </w:rPr>
      </w:pPr>
      <w:bookmarkStart w:id="141" w:name="a660947"/>
      <w:r w:rsidRPr="00C7122C">
        <w:rPr>
          <w:sz w:val="20"/>
          <w:szCs w:val="20"/>
        </w:rPr>
        <w:t>otherwise deal in, or dispose of,</w:t>
      </w:r>
      <w:bookmarkEnd w:id="141"/>
    </w:p>
    <w:p w14:paraId="0B40C75F" w14:textId="77777777" w:rsidR="00000000" w:rsidRPr="00C7122C" w:rsidRDefault="00A35BEC" w:rsidP="00924108">
      <w:pPr>
        <w:pStyle w:val="Body2"/>
        <w:rPr>
          <w:sz w:val="20"/>
          <w:szCs w:val="20"/>
        </w:rPr>
      </w:pPr>
      <w:r w:rsidRPr="00C7122C">
        <w:rPr>
          <w:sz w:val="20"/>
          <w:szCs w:val="20"/>
        </w:rPr>
        <w:t>any Shares (or any options, warrants, conversion rights and all other rights to acquire or subscribe for Shares) to any person, at any time and subject to any terms and conditions as the Directors think proper.</w:t>
      </w:r>
    </w:p>
    <w:p w14:paraId="4F2D3DC2" w14:textId="77777777" w:rsidR="00000000" w:rsidRPr="00C7122C" w:rsidRDefault="00A35BEC" w:rsidP="00E12420">
      <w:pPr>
        <w:pStyle w:val="Level2"/>
        <w:rPr>
          <w:sz w:val="20"/>
          <w:szCs w:val="20"/>
        </w:rPr>
      </w:pPr>
      <w:bookmarkStart w:id="142" w:name="a611585"/>
      <w:r w:rsidRPr="00C7122C">
        <w:rPr>
          <w:sz w:val="20"/>
          <w:szCs w:val="20"/>
        </w:rPr>
        <w:t xml:space="preserve">The authority referred to in </w:t>
      </w:r>
      <w:r w:rsidRPr="00C7122C">
        <w:rPr>
          <w:sz w:val="20"/>
          <w:szCs w:val="20"/>
        </w:rPr>
        <w:fldChar w:fldCharType="begin"/>
      </w:r>
      <w:r w:rsidRPr="00C7122C">
        <w:rPr>
          <w:sz w:val="20"/>
          <w:szCs w:val="20"/>
        </w:rPr>
        <w:instrText>PAGEREF a312508\#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a312508 \h \w</w:instrText>
      </w:r>
      <w:r w:rsidR="00924108"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13.1</w:t>
      </w:r>
      <w:r w:rsidRPr="00C7122C">
        <w:rPr>
          <w:sz w:val="20"/>
          <w:szCs w:val="20"/>
        </w:rPr>
        <w:fldChar w:fldCharType="end"/>
      </w:r>
      <w:r w:rsidRPr="00C7122C">
        <w:rPr>
          <w:sz w:val="20"/>
          <w:szCs w:val="20"/>
        </w:rPr>
        <w:t>:</w:t>
      </w:r>
      <w:bookmarkEnd w:id="142"/>
    </w:p>
    <w:p w14:paraId="15A728CD" w14:textId="65CE9F5E" w:rsidR="00000000" w:rsidRPr="00C7122C" w:rsidRDefault="00A35BEC" w:rsidP="00E12420">
      <w:pPr>
        <w:pStyle w:val="Level3"/>
        <w:rPr>
          <w:sz w:val="20"/>
          <w:szCs w:val="20"/>
        </w:rPr>
      </w:pPr>
      <w:bookmarkStart w:id="143" w:name="a494091"/>
      <w:r w:rsidRPr="00C7122C">
        <w:rPr>
          <w:sz w:val="20"/>
          <w:szCs w:val="20"/>
        </w:rPr>
        <w:t>shall be limited to a maximum nominal amount of £</w:t>
      </w:r>
      <w:r w:rsidR="00D74A87" w:rsidRPr="00C7122C">
        <w:rPr>
          <w:sz w:val="20"/>
          <w:szCs w:val="20"/>
        </w:rPr>
        <w:t>200</w:t>
      </w:r>
      <w:r w:rsidRPr="00C7122C">
        <w:rPr>
          <w:sz w:val="20"/>
          <w:szCs w:val="20"/>
        </w:rPr>
        <w:t xml:space="preserve"> of</w:t>
      </w:r>
      <w:r w:rsidR="00092D22">
        <w:rPr>
          <w:sz w:val="20"/>
          <w:szCs w:val="20"/>
        </w:rPr>
        <w:t xml:space="preserve"> Ordinary </w:t>
      </w:r>
      <w:proofErr w:type="gramStart"/>
      <w:r w:rsidRPr="00C7122C">
        <w:rPr>
          <w:sz w:val="20"/>
          <w:szCs w:val="20"/>
        </w:rPr>
        <w:t>Shares</w:t>
      </w:r>
      <w:bookmarkEnd w:id="143"/>
      <w:r w:rsidR="001070AA" w:rsidRPr="00C7122C">
        <w:rPr>
          <w:sz w:val="20"/>
          <w:szCs w:val="20"/>
        </w:rPr>
        <w:t>;</w:t>
      </w:r>
      <w:proofErr w:type="gramEnd"/>
    </w:p>
    <w:p w14:paraId="48D4F479" w14:textId="77777777" w:rsidR="00000000" w:rsidRPr="00C7122C" w:rsidRDefault="00A35BEC" w:rsidP="00E12420">
      <w:pPr>
        <w:pStyle w:val="Level3"/>
        <w:rPr>
          <w:sz w:val="20"/>
          <w:szCs w:val="20"/>
        </w:rPr>
      </w:pPr>
      <w:bookmarkStart w:id="144" w:name="a846574"/>
      <w:r w:rsidRPr="00C7122C">
        <w:rPr>
          <w:sz w:val="20"/>
          <w:szCs w:val="20"/>
        </w:rPr>
        <w:t>shall only apply insofar as the Company has not, subject to these Articles, renewed, waived or revoked it by ordinary resolution; and</w:t>
      </w:r>
      <w:bookmarkEnd w:id="144"/>
    </w:p>
    <w:p w14:paraId="2CB3A20C" w14:textId="77777777" w:rsidR="00000000" w:rsidRPr="00C7122C" w:rsidRDefault="00A35BEC" w:rsidP="00E12420">
      <w:pPr>
        <w:pStyle w:val="Level3"/>
        <w:rPr>
          <w:sz w:val="20"/>
          <w:szCs w:val="20"/>
        </w:rPr>
      </w:pPr>
      <w:bookmarkStart w:id="145" w:name="a789123"/>
      <w:r w:rsidRPr="00C7122C">
        <w:rPr>
          <w:sz w:val="20"/>
          <w:szCs w:val="20"/>
        </w:rPr>
        <w:t>may only be exercised for a period of five years from the Adoption Date save that, subject to these Articles, the Directors may make an offer or agreement which would, or might, require any Shares to be allotted after the expiry of such authority (and the Directors may allot Shares in pursuance of an offer or agreement as if such authority had not expired).</w:t>
      </w:r>
      <w:bookmarkEnd w:id="145"/>
    </w:p>
    <w:p w14:paraId="025C62E8" w14:textId="77777777" w:rsidR="00000000" w:rsidRPr="00C7122C" w:rsidRDefault="00A35BEC" w:rsidP="00E12420">
      <w:pPr>
        <w:pStyle w:val="Level2"/>
        <w:rPr>
          <w:sz w:val="20"/>
          <w:szCs w:val="20"/>
        </w:rPr>
      </w:pPr>
      <w:bookmarkStart w:id="146" w:name="a227058"/>
      <w:r w:rsidRPr="00C7122C">
        <w:rPr>
          <w:sz w:val="20"/>
          <w:szCs w:val="20"/>
        </w:rPr>
        <w:t>In accordance with section 567(1) of the Act, sections 561 and 562 of the Act shall not apply to an allotment of equity securities (as defined in section 560(1) of the Act) made by the Company.</w:t>
      </w:r>
      <w:bookmarkEnd w:id="146"/>
    </w:p>
    <w:p w14:paraId="2D4B08C4" w14:textId="2BFC7032" w:rsidR="00000000" w:rsidRPr="00C7122C" w:rsidRDefault="00E74B2E" w:rsidP="00E12420">
      <w:pPr>
        <w:pStyle w:val="Level2"/>
        <w:rPr>
          <w:sz w:val="20"/>
          <w:szCs w:val="20"/>
        </w:rPr>
      </w:pPr>
      <w:bookmarkStart w:id="147" w:name="a647674"/>
      <w:r w:rsidRPr="00C7122C">
        <w:rPr>
          <w:sz w:val="20"/>
          <w:szCs w:val="20"/>
        </w:rPr>
        <w:t>I</w:t>
      </w:r>
      <w:r w:rsidR="00A35BEC" w:rsidRPr="00C7122C">
        <w:rPr>
          <w:sz w:val="20"/>
          <w:szCs w:val="20"/>
        </w:rPr>
        <w:t xml:space="preserve">f the Company proposes to allot any Relevant Securities, those Relevant Securities shall not be allotted to any person unless the Company has first offered them to the holders (on the date of the offer) of the </w:t>
      </w:r>
      <w:r w:rsidR="00092D22">
        <w:rPr>
          <w:sz w:val="20"/>
          <w:szCs w:val="20"/>
        </w:rPr>
        <w:t>Ordinary Shares</w:t>
      </w:r>
      <w:r w:rsidR="00A35BEC" w:rsidRPr="00C7122C">
        <w:rPr>
          <w:sz w:val="20"/>
          <w:szCs w:val="20"/>
        </w:rPr>
        <w:t xml:space="preserve"> (each an </w:t>
      </w:r>
      <w:r w:rsidR="00A35BEC" w:rsidRPr="00882D2C">
        <w:rPr>
          <w:b/>
          <w:bCs/>
          <w:sz w:val="20"/>
          <w:szCs w:val="20"/>
        </w:rPr>
        <w:t>Offeree</w:t>
      </w:r>
      <w:r w:rsidR="00A35BEC" w:rsidRPr="00C7122C">
        <w:rPr>
          <w:sz w:val="20"/>
          <w:szCs w:val="20"/>
        </w:rPr>
        <w:t xml:space="preserve">) on a pari passu basis (as if they constituted Shares </w:t>
      </w:r>
      <w:r w:rsidR="00A35BEC" w:rsidRPr="00C7122C">
        <w:rPr>
          <w:sz w:val="20"/>
          <w:szCs w:val="20"/>
        </w:rPr>
        <w:lastRenderedPageBreak/>
        <w:t xml:space="preserve">of the same class) and in the respective proportions that the number of </w:t>
      </w:r>
      <w:r w:rsidR="00092D22">
        <w:rPr>
          <w:sz w:val="20"/>
          <w:szCs w:val="20"/>
        </w:rPr>
        <w:t>Ordinary Shares</w:t>
      </w:r>
      <w:r w:rsidR="00A35BEC" w:rsidRPr="00C7122C">
        <w:rPr>
          <w:sz w:val="20"/>
          <w:szCs w:val="20"/>
        </w:rPr>
        <w:t xml:space="preserve"> held by each such holder bears to the total number of </w:t>
      </w:r>
      <w:r w:rsidR="00092D22">
        <w:rPr>
          <w:sz w:val="20"/>
          <w:szCs w:val="20"/>
        </w:rPr>
        <w:t>Ordinary Shares</w:t>
      </w:r>
      <w:r w:rsidR="00A35BEC" w:rsidRPr="00C7122C">
        <w:rPr>
          <w:sz w:val="20"/>
          <w:szCs w:val="20"/>
        </w:rPr>
        <w:t xml:space="preserve"> held by all such holders (as nearly as possible without involving fractions) and on the same terms, and at the same price, as those Relevant Securities are being, or are to be, offered to any other person.</w:t>
      </w:r>
      <w:bookmarkEnd w:id="147"/>
    </w:p>
    <w:p w14:paraId="329C20AC" w14:textId="77777777" w:rsidR="00000000" w:rsidRPr="00C7122C" w:rsidRDefault="00A35BEC" w:rsidP="00E12420">
      <w:pPr>
        <w:pStyle w:val="Level2"/>
        <w:rPr>
          <w:sz w:val="20"/>
          <w:szCs w:val="20"/>
        </w:rPr>
      </w:pPr>
      <w:bookmarkStart w:id="148" w:name="a120245"/>
      <w:r w:rsidRPr="00C7122C">
        <w:rPr>
          <w:sz w:val="20"/>
          <w:szCs w:val="20"/>
        </w:rPr>
        <w:t xml:space="preserve">An offer made under </w:t>
      </w:r>
      <w:r w:rsidRPr="00C7122C">
        <w:rPr>
          <w:sz w:val="20"/>
          <w:szCs w:val="20"/>
        </w:rPr>
        <w:fldChar w:fldCharType="begin"/>
      </w:r>
      <w:r w:rsidRPr="00C7122C">
        <w:rPr>
          <w:sz w:val="20"/>
          <w:szCs w:val="20"/>
        </w:rPr>
        <w:instrText>PAGEREF a647674\#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a647674 \h \w</w:instrText>
      </w:r>
      <w:r w:rsidR="0091186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13.4</w:t>
      </w:r>
      <w:r w:rsidRPr="00C7122C">
        <w:rPr>
          <w:sz w:val="20"/>
          <w:szCs w:val="20"/>
        </w:rPr>
        <w:fldChar w:fldCharType="end"/>
      </w:r>
      <w:r w:rsidRPr="00C7122C">
        <w:rPr>
          <w:sz w:val="20"/>
          <w:szCs w:val="20"/>
        </w:rPr>
        <w:t xml:space="preserve"> shall:</w:t>
      </w:r>
      <w:bookmarkEnd w:id="148"/>
    </w:p>
    <w:p w14:paraId="2A9E2C52" w14:textId="77777777" w:rsidR="00000000" w:rsidRPr="00C7122C" w:rsidRDefault="00A35BEC" w:rsidP="00E12420">
      <w:pPr>
        <w:pStyle w:val="Level3"/>
        <w:rPr>
          <w:sz w:val="20"/>
          <w:szCs w:val="20"/>
        </w:rPr>
      </w:pPr>
      <w:bookmarkStart w:id="149" w:name="a233694"/>
      <w:r w:rsidRPr="00C7122C">
        <w:rPr>
          <w:sz w:val="20"/>
          <w:szCs w:val="20"/>
        </w:rPr>
        <w:t>be in writing and give details of the number, class and subscription price (including any share premium) of the Relevant Securities being offered;</w:t>
      </w:r>
      <w:bookmarkEnd w:id="149"/>
    </w:p>
    <w:p w14:paraId="1117045B" w14:textId="77777777" w:rsidR="00000000" w:rsidRPr="00C7122C" w:rsidRDefault="00A35BEC" w:rsidP="00E12420">
      <w:pPr>
        <w:pStyle w:val="Level3"/>
        <w:rPr>
          <w:sz w:val="20"/>
          <w:szCs w:val="20"/>
        </w:rPr>
      </w:pPr>
      <w:bookmarkStart w:id="150" w:name="a158925"/>
      <w:r w:rsidRPr="00C7122C">
        <w:rPr>
          <w:sz w:val="20"/>
          <w:szCs w:val="20"/>
        </w:rPr>
        <w:t>remain open for a period of at least</w:t>
      </w:r>
      <w:r w:rsidR="009B0CD8" w:rsidRPr="00C7122C">
        <w:rPr>
          <w:sz w:val="20"/>
          <w:szCs w:val="20"/>
        </w:rPr>
        <w:t xml:space="preserve"> 30 </w:t>
      </w:r>
      <w:r w:rsidRPr="00C7122C">
        <w:rPr>
          <w:sz w:val="20"/>
          <w:szCs w:val="20"/>
        </w:rPr>
        <w:t>Business Days from the date of service of the offer; and</w:t>
      </w:r>
      <w:bookmarkEnd w:id="150"/>
    </w:p>
    <w:p w14:paraId="3B0EE43C" w14:textId="77777777" w:rsidR="00000000" w:rsidRPr="00C7122C" w:rsidRDefault="00A35BEC" w:rsidP="00E12420">
      <w:pPr>
        <w:pStyle w:val="Level3"/>
        <w:rPr>
          <w:sz w:val="20"/>
          <w:szCs w:val="20"/>
        </w:rPr>
      </w:pPr>
      <w:bookmarkStart w:id="151" w:name="a196282"/>
      <w:r w:rsidRPr="00C7122C">
        <w:rPr>
          <w:sz w:val="20"/>
          <w:szCs w:val="20"/>
        </w:rPr>
        <w:t xml:space="preserve">stipulate that any Offeree who wishes to subscribe for a number of Relevant Securities in excess of the number to which they are entitled under </w:t>
      </w:r>
      <w:r w:rsidRPr="00C7122C">
        <w:rPr>
          <w:sz w:val="20"/>
          <w:szCs w:val="20"/>
        </w:rPr>
        <w:fldChar w:fldCharType="begin"/>
      </w:r>
      <w:r w:rsidRPr="00C7122C">
        <w:rPr>
          <w:sz w:val="20"/>
          <w:szCs w:val="20"/>
        </w:rPr>
        <w:instrText>PAGEREF a647674\#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a647674 \h \w</w:instrText>
      </w:r>
      <w:r w:rsidR="0091186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13.4</w:t>
      </w:r>
      <w:r w:rsidRPr="00C7122C">
        <w:rPr>
          <w:sz w:val="20"/>
          <w:szCs w:val="20"/>
        </w:rPr>
        <w:fldChar w:fldCharType="end"/>
      </w:r>
      <w:r w:rsidRPr="00C7122C">
        <w:rPr>
          <w:sz w:val="20"/>
          <w:szCs w:val="20"/>
        </w:rPr>
        <w:t xml:space="preserve"> shall, in their acceptance, state the number of excess Relevant Securities (</w:t>
      </w:r>
      <w:r w:rsidRPr="00C7122C">
        <w:rPr>
          <w:b/>
          <w:sz w:val="20"/>
          <w:szCs w:val="20"/>
        </w:rPr>
        <w:t>Excess Securities</w:t>
      </w:r>
      <w:r w:rsidRPr="00C7122C">
        <w:rPr>
          <w:sz w:val="20"/>
          <w:szCs w:val="20"/>
        </w:rPr>
        <w:t>) for which they wish to subscribe.</w:t>
      </w:r>
      <w:bookmarkEnd w:id="151"/>
    </w:p>
    <w:p w14:paraId="4556AF15" w14:textId="77777777" w:rsidR="00000000" w:rsidRPr="00C7122C" w:rsidRDefault="00A35BEC" w:rsidP="00E12420">
      <w:pPr>
        <w:pStyle w:val="Level2"/>
        <w:rPr>
          <w:sz w:val="20"/>
          <w:szCs w:val="20"/>
        </w:rPr>
      </w:pPr>
      <w:bookmarkStart w:id="152" w:name="a257779"/>
      <w:r w:rsidRPr="00C7122C">
        <w:rPr>
          <w:sz w:val="20"/>
          <w:szCs w:val="20"/>
        </w:rPr>
        <w:t xml:space="preserve">If, on the expiry of an offer made in accordance with </w:t>
      </w:r>
      <w:r w:rsidRPr="00C7122C">
        <w:rPr>
          <w:sz w:val="20"/>
          <w:szCs w:val="20"/>
        </w:rPr>
        <w:fldChar w:fldCharType="begin"/>
      </w:r>
      <w:r w:rsidRPr="00C7122C">
        <w:rPr>
          <w:sz w:val="20"/>
          <w:szCs w:val="20"/>
        </w:rPr>
        <w:instrText>PAGEREF a647674\#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a647674 \h \w</w:instrText>
      </w:r>
      <w:r w:rsidR="0091186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13.4</w:t>
      </w:r>
      <w:r w:rsidRPr="00C7122C">
        <w:rPr>
          <w:sz w:val="20"/>
          <w:szCs w:val="20"/>
        </w:rPr>
        <w:fldChar w:fldCharType="end"/>
      </w:r>
      <w:r w:rsidRPr="00C7122C">
        <w:rPr>
          <w:sz w:val="20"/>
          <w:szCs w:val="20"/>
        </w:rPr>
        <w:t>, the total number of Relevant Securities applied for is less than the total number of Relevant Securities so offered, the Directors shall allot the Relevant Securities to the Offerees in accordance with their applications, subject to a maximum of each Offeree's proportionate entitlement.</w:t>
      </w:r>
      <w:bookmarkEnd w:id="152"/>
    </w:p>
    <w:p w14:paraId="298797F0" w14:textId="1AE8B2A3" w:rsidR="00000000" w:rsidRPr="00C7122C" w:rsidRDefault="00A35BEC" w:rsidP="00E12420">
      <w:pPr>
        <w:pStyle w:val="Level2"/>
        <w:rPr>
          <w:sz w:val="20"/>
          <w:szCs w:val="20"/>
        </w:rPr>
      </w:pPr>
      <w:bookmarkStart w:id="153" w:name="a542129"/>
      <w:r w:rsidRPr="00C7122C">
        <w:rPr>
          <w:sz w:val="20"/>
          <w:szCs w:val="20"/>
        </w:rPr>
        <w:t xml:space="preserve">Any Relevant Securities not accepted by Offerees pursuant to an offer made in accordance with </w:t>
      </w:r>
      <w:r w:rsidRPr="00C7122C">
        <w:rPr>
          <w:sz w:val="20"/>
          <w:szCs w:val="20"/>
        </w:rPr>
        <w:fldChar w:fldCharType="begin"/>
      </w:r>
      <w:r w:rsidRPr="00C7122C">
        <w:rPr>
          <w:sz w:val="20"/>
          <w:szCs w:val="20"/>
        </w:rPr>
        <w:instrText>PAGEREF a647674\#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a647674 \h \w</w:instrText>
      </w:r>
      <w:r w:rsidR="0091186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13.4</w:t>
      </w:r>
      <w:r w:rsidRPr="00C7122C">
        <w:rPr>
          <w:sz w:val="20"/>
          <w:szCs w:val="20"/>
        </w:rPr>
        <w:fldChar w:fldCharType="end"/>
      </w:r>
      <w:r w:rsidRPr="00C7122C">
        <w:rPr>
          <w:sz w:val="20"/>
          <w:szCs w:val="20"/>
        </w:rPr>
        <w:t xml:space="preserve"> shall be used to satisfy any requests for Excess Securities made pursuant to </w:t>
      </w:r>
      <w:r w:rsidRPr="00C7122C">
        <w:rPr>
          <w:sz w:val="20"/>
          <w:szCs w:val="20"/>
        </w:rPr>
        <w:fldChar w:fldCharType="begin"/>
      </w:r>
      <w:r w:rsidRPr="00C7122C">
        <w:rPr>
          <w:sz w:val="20"/>
          <w:szCs w:val="20"/>
        </w:rPr>
        <w:instrText>PAGEREF a196282\#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a196282 \h \w</w:instrText>
      </w:r>
      <w:r w:rsidR="0091186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13.5.3</w:t>
      </w:r>
      <w:r w:rsidRPr="00C7122C">
        <w:rPr>
          <w:sz w:val="20"/>
          <w:szCs w:val="20"/>
        </w:rPr>
        <w:fldChar w:fldCharType="end"/>
      </w:r>
      <w:r w:rsidRPr="00C7122C">
        <w:rPr>
          <w:sz w:val="20"/>
          <w:szCs w:val="20"/>
        </w:rPr>
        <w:t xml:space="preserve">. If there are insufficient Excess Securities to satisfy such requests, the Excess Securities shall be allotted to the applicants in the respective proportions that the number of </w:t>
      </w:r>
      <w:r w:rsidR="00092D22">
        <w:rPr>
          <w:sz w:val="20"/>
          <w:szCs w:val="20"/>
        </w:rPr>
        <w:t>Ordinary Shares</w:t>
      </w:r>
      <w:r w:rsidRPr="00C7122C">
        <w:rPr>
          <w:sz w:val="20"/>
          <w:szCs w:val="20"/>
        </w:rPr>
        <w:t xml:space="preserve"> held by each such applicant bears to the total number of such </w:t>
      </w:r>
      <w:r w:rsidR="00092D22">
        <w:rPr>
          <w:sz w:val="20"/>
          <w:szCs w:val="20"/>
        </w:rPr>
        <w:t>Ordinary Shares</w:t>
      </w:r>
      <w:r w:rsidRPr="00C7122C">
        <w:rPr>
          <w:sz w:val="20"/>
          <w:szCs w:val="20"/>
        </w:rPr>
        <w:t xml:space="preserve"> held by all applicants (as nearly as possible without involving fractions or increasing the number of Excess Securities allotted to any Shareholder beyond that applied for by them)..</w:t>
      </w:r>
      <w:bookmarkEnd w:id="153"/>
    </w:p>
    <w:p w14:paraId="51DCADD3" w14:textId="27CFF4D2" w:rsidR="00000000" w:rsidRPr="00C7122C" w:rsidRDefault="00A35BEC" w:rsidP="00E12420">
      <w:pPr>
        <w:pStyle w:val="Level2"/>
        <w:rPr>
          <w:sz w:val="20"/>
          <w:szCs w:val="20"/>
        </w:rPr>
      </w:pPr>
      <w:r w:rsidRPr="00C7122C">
        <w:rPr>
          <w:sz w:val="20"/>
          <w:szCs w:val="20"/>
        </w:rPr>
        <w:fldChar w:fldCharType="begin"/>
      </w:r>
      <w:r w:rsidRPr="00C7122C">
        <w:rPr>
          <w:sz w:val="20"/>
          <w:szCs w:val="20"/>
        </w:rPr>
        <w:fldChar w:fldCharType="end"/>
      </w:r>
      <w:bookmarkStart w:id="154" w:name="a982655"/>
      <w:r w:rsidRPr="00C7122C">
        <w:rPr>
          <w:sz w:val="20"/>
          <w:szCs w:val="20"/>
        </w:rPr>
        <w:t xml:space="preserve">If, after completion of the allotments referred to in </w:t>
      </w:r>
      <w:r w:rsidR="00691A23" w:rsidRPr="00C7122C">
        <w:rPr>
          <w:sz w:val="20"/>
          <w:szCs w:val="20"/>
        </w:rPr>
        <w:t xml:space="preserve">article </w:t>
      </w:r>
      <w:r w:rsidRPr="00C7122C">
        <w:rPr>
          <w:sz w:val="20"/>
          <w:szCs w:val="20"/>
        </w:rPr>
        <w:fldChar w:fldCharType="begin"/>
      </w:r>
      <w:r w:rsidRPr="00C7122C">
        <w:rPr>
          <w:sz w:val="20"/>
          <w:szCs w:val="20"/>
          <w:highlight w:val="lightGray"/>
        </w:rPr>
        <w:instrText>REF a257779 \h \w</w:instrText>
      </w:r>
      <w:r w:rsidR="0091186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13.6</w:t>
      </w:r>
      <w:r w:rsidRPr="00C7122C">
        <w:rPr>
          <w:sz w:val="20"/>
          <w:szCs w:val="20"/>
        </w:rPr>
        <w:fldChar w:fldCharType="end"/>
      </w:r>
      <w:r w:rsidRPr="00C7122C">
        <w:rPr>
          <w:sz w:val="20"/>
          <w:szCs w:val="20"/>
        </w:rPr>
        <w:t xml:space="preserve"> and </w:t>
      </w:r>
      <w:r w:rsidR="00691A23" w:rsidRPr="00C7122C">
        <w:rPr>
          <w:sz w:val="20"/>
          <w:szCs w:val="20"/>
        </w:rPr>
        <w:t xml:space="preserve">article </w:t>
      </w:r>
      <w:r w:rsidRPr="00C7122C">
        <w:rPr>
          <w:sz w:val="20"/>
          <w:szCs w:val="20"/>
        </w:rPr>
        <w:fldChar w:fldCharType="begin"/>
      </w:r>
      <w:r w:rsidRPr="00C7122C">
        <w:rPr>
          <w:sz w:val="20"/>
          <w:szCs w:val="20"/>
          <w:highlight w:val="lightGray"/>
        </w:rPr>
        <w:instrText>REF a542129 \h \w</w:instrText>
      </w:r>
      <w:r w:rsidR="0091186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13.7</w:t>
      </w:r>
      <w:r w:rsidRPr="00C7122C">
        <w:rPr>
          <w:sz w:val="20"/>
          <w:szCs w:val="20"/>
        </w:rPr>
        <w:fldChar w:fldCharType="end"/>
      </w:r>
      <w:r w:rsidRPr="00C7122C">
        <w:rPr>
          <w:sz w:val="20"/>
          <w:szCs w:val="20"/>
        </w:rPr>
        <w:t>, not all of the Relevant Securities have been allotted, the balance of such Relevant Securities shall</w:t>
      </w:r>
      <w:r w:rsidR="007C0587">
        <w:rPr>
          <w:sz w:val="20"/>
          <w:szCs w:val="20"/>
        </w:rPr>
        <w:t xml:space="preserve"> </w:t>
      </w:r>
      <w:r w:rsidRPr="00C7122C">
        <w:rPr>
          <w:sz w:val="20"/>
          <w:szCs w:val="20"/>
        </w:rPr>
        <w:t>be offered to any other person(s) as the Directors may, determine, at the same price and on the same terms as the offer to the Shareholders.</w:t>
      </w:r>
      <w:bookmarkEnd w:id="154"/>
    </w:p>
    <w:p w14:paraId="1A05571D" w14:textId="77777777" w:rsidR="00000000" w:rsidRPr="00C7122C" w:rsidRDefault="00A35BEC" w:rsidP="00E12420">
      <w:pPr>
        <w:pStyle w:val="Level1"/>
        <w:rPr>
          <w:sz w:val="20"/>
          <w:szCs w:val="20"/>
        </w:rPr>
      </w:pPr>
      <w:bookmarkStart w:id="155" w:name="_Toc256000016"/>
      <w:bookmarkStart w:id="156" w:name="a977232"/>
      <w:bookmarkStart w:id="157" w:name="_Toc144907422"/>
      <w:r w:rsidRPr="00C7122C">
        <w:rPr>
          <w:sz w:val="20"/>
          <w:szCs w:val="20"/>
        </w:rPr>
        <w:t>Transfers of shares: general</w:t>
      </w:r>
      <w:bookmarkEnd w:id="155"/>
      <w:bookmarkEnd w:id="156"/>
      <w:bookmarkEnd w:id="157"/>
    </w:p>
    <w:p w14:paraId="59EBB6BF" w14:textId="77777777" w:rsidR="00000000" w:rsidRPr="00C7122C" w:rsidRDefault="00A35BEC" w:rsidP="00E12420">
      <w:pPr>
        <w:pStyle w:val="Level2"/>
        <w:rPr>
          <w:sz w:val="20"/>
          <w:szCs w:val="20"/>
        </w:rPr>
      </w:pPr>
      <w:bookmarkStart w:id="158" w:name="a353911"/>
      <w:r w:rsidRPr="00C7122C">
        <w:rPr>
          <w:sz w:val="20"/>
          <w:szCs w:val="20"/>
        </w:rPr>
        <w:t>In these Articles, reference to the transfer of a Share includes the transfer, assignment or other disposal of a beneficial or other interest in that Share, or the creation of a trust or encumbrance over that Share, and reference to a Share includes a beneficial or other interest in a Share.</w:t>
      </w:r>
      <w:bookmarkEnd w:id="158"/>
    </w:p>
    <w:p w14:paraId="42CE949A" w14:textId="77777777" w:rsidR="00000000" w:rsidRPr="00C7122C" w:rsidRDefault="00A35BEC" w:rsidP="00E12420">
      <w:pPr>
        <w:pStyle w:val="Level2"/>
        <w:rPr>
          <w:sz w:val="20"/>
          <w:szCs w:val="20"/>
        </w:rPr>
      </w:pPr>
      <w:bookmarkStart w:id="159" w:name="a253734"/>
      <w:r w:rsidRPr="00C7122C">
        <w:rPr>
          <w:sz w:val="20"/>
          <w:szCs w:val="20"/>
        </w:rPr>
        <w:t>No Share shall be transferred, and the Directors shall refuse to register a transfer of any Share, unless it is made in accordance with these Articles. Subject to</w:t>
      </w:r>
      <w:r w:rsidR="00691A23" w:rsidRPr="00C7122C">
        <w:rPr>
          <w:sz w:val="20"/>
          <w:szCs w:val="20"/>
        </w:rPr>
        <w:t xml:space="preserve"> </w:t>
      </w:r>
      <w:r w:rsidRPr="00C7122C">
        <w:rPr>
          <w:sz w:val="20"/>
          <w:szCs w:val="20"/>
        </w:rPr>
        <w:fldChar w:fldCharType="begin"/>
      </w:r>
      <w:r w:rsidRPr="00C7122C">
        <w:rPr>
          <w:sz w:val="20"/>
          <w:szCs w:val="20"/>
        </w:rPr>
        <w:instrText>PAGEREF a926657\#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a926657 \h \w</w:instrText>
      </w:r>
      <w:r w:rsidR="0091186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14.4</w:t>
      </w:r>
      <w:r w:rsidRPr="00C7122C">
        <w:rPr>
          <w:sz w:val="20"/>
          <w:szCs w:val="20"/>
        </w:rPr>
        <w:fldChar w:fldCharType="end"/>
      </w:r>
      <w:r w:rsidRPr="00C7122C">
        <w:rPr>
          <w:sz w:val="20"/>
          <w:szCs w:val="20"/>
        </w:rPr>
        <w:t>, the Directors shall register any duly stamped transfer made in accordance with these Articles, unless they suspect that the proposed transfer may be fraudulent.</w:t>
      </w:r>
      <w:bookmarkEnd w:id="159"/>
    </w:p>
    <w:p w14:paraId="0A27C246" w14:textId="77777777" w:rsidR="00000000" w:rsidRPr="00C7122C" w:rsidRDefault="00A35BEC" w:rsidP="00E12420">
      <w:pPr>
        <w:pStyle w:val="Level2"/>
        <w:rPr>
          <w:sz w:val="20"/>
          <w:szCs w:val="20"/>
        </w:rPr>
      </w:pPr>
      <w:bookmarkStart w:id="160" w:name="a482087"/>
      <w:r w:rsidRPr="00C7122C">
        <w:rPr>
          <w:sz w:val="20"/>
          <w:szCs w:val="20"/>
        </w:rPr>
        <w:t xml:space="preserve">If a Shareholder transfers (or purports to transfer) a Share other than in accordance with these Articles, they shall be deemed to have immediately served a </w:t>
      </w:r>
      <w:r w:rsidR="00D74A87" w:rsidRPr="00C7122C">
        <w:rPr>
          <w:sz w:val="20"/>
          <w:szCs w:val="20"/>
        </w:rPr>
        <w:t>Sale</w:t>
      </w:r>
      <w:r w:rsidRPr="00C7122C">
        <w:rPr>
          <w:sz w:val="20"/>
          <w:szCs w:val="20"/>
        </w:rPr>
        <w:t xml:space="preserve"> Notice in respect of all Shares held by them.</w:t>
      </w:r>
      <w:bookmarkEnd w:id="160"/>
    </w:p>
    <w:bookmarkStart w:id="161" w:name="a926657"/>
    <w:p w14:paraId="3254A13E" w14:textId="77777777" w:rsidR="006661A3" w:rsidRPr="00C7122C" w:rsidRDefault="006661A3" w:rsidP="006661A3">
      <w:pPr>
        <w:pStyle w:val="Level2"/>
        <w:rPr>
          <w:sz w:val="20"/>
          <w:szCs w:val="20"/>
        </w:rPr>
      </w:pPr>
      <w:r w:rsidRPr="00C7122C">
        <w:rPr>
          <w:sz w:val="20"/>
          <w:szCs w:val="20"/>
        </w:rPr>
        <w:lastRenderedPageBreak/>
        <w:fldChar w:fldCharType="begin"/>
      </w:r>
      <w:r w:rsidRPr="00C7122C">
        <w:rPr>
          <w:sz w:val="20"/>
          <w:szCs w:val="20"/>
        </w:rPr>
        <w:fldChar w:fldCharType="end"/>
      </w:r>
      <w:bookmarkStart w:id="162" w:name="a129603"/>
      <w:r w:rsidRPr="00C7122C">
        <w:rPr>
          <w:sz w:val="20"/>
          <w:szCs w:val="20"/>
        </w:rPr>
        <w:t xml:space="preserve">Any transfer of a Share by way of sale which is required to be made under </w:t>
      </w:r>
      <w:r w:rsidRPr="00C7122C">
        <w:rPr>
          <w:sz w:val="20"/>
          <w:szCs w:val="20"/>
        </w:rPr>
        <w:fldChar w:fldCharType="begin"/>
      </w:r>
      <w:r w:rsidRPr="00C7122C">
        <w:rPr>
          <w:sz w:val="20"/>
          <w:szCs w:val="20"/>
        </w:rPr>
        <w:instrText>PAGEREF a599340\#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a599340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18</w:t>
      </w:r>
      <w:r w:rsidRPr="00C7122C">
        <w:rPr>
          <w:sz w:val="20"/>
          <w:szCs w:val="20"/>
        </w:rPr>
        <w:fldChar w:fldCharType="end"/>
      </w:r>
      <w:r w:rsidR="00882D2C">
        <w:rPr>
          <w:sz w:val="20"/>
          <w:szCs w:val="20"/>
        </w:rPr>
        <w:t xml:space="preserve"> (Compulsory Transfer)</w:t>
      </w:r>
      <w:r w:rsidRPr="00C7122C">
        <w:rPr>
          <w:sz w:val="20"/>
          <w:szCs w:val="20"/>
        </w:rPr>
        <w:t xml:space="preserve">, or </w:t>
      </w:r>
      <w:r w:rsidRPr="00C7122C">
        <w:rPr>
          <w:sz w:val="20"/>
          <w:szCs w:val="20"/>
        </w:rPr>
        <w:fldChar w:fldCharType="begin"/>
      </w:r>
      <w:r w:rsidRPr="00C7122C">
        <w:rPr>
          <w:sz w:val="20"/>
          <w:szCs w:val="20"/>
        </w:rPr>
        <w:instrText>PAGEREF a457892\#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a457892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w:t>
      </w:r>
      <w:r w:rsidRPr="00C7122C">
        <w:rPr>
          <w:sz w:val="20"/>
          <w:szCs w:val="20"/>
        </w:rPr>
        <w:fldChar w:fldCharType="end"/>
      </w:r>
      <w:r w:rsidRPr="00C7122C">
        <w:rPr>
          <w:sz w:val="20"/>
          <w:szCs w:val="20"/>
        </w:rPr>
        <w:t xml:space="preserve"> </w:t>
      </w:r>
      <w:r w:rsidR="00882D2C">
        <w:rPr>
          <w:sz w:val="20"/>
          <w:szCs w:val="20"/>
        </w:rPr>
        <w:t xml:space="preserve">(Drag Along) </w:t>
      </w:r>
      <w:r w:rsidRPr="00C7122C">
        <w:rPr>
          <w:sz w:val="20"/>
          <w:szCs w:val="20"/>
        </w:rPr>
        <w:t>shall be deemed to include a warranty that the Seller sells the Share with full title guarantee.</w:t>
      </w:r>
      <w:bookmarkEnd w:id="162"/>
    </w:p>
    <w:p w14:paraId="73BA88A2" w14:textId="77777777" w:rsidR="00000000" w:rsidRPr="00C7122C" w:rsidRDefault="00A35BEC" w:rsidP="00E12420">
      <w:pPr>
        <w:pStyle w:val="Level2"/>
        <w:rPr>
          <w:sz w:val="20"/>
          <w:szCs w:val="20"/>
        </w:rPr>
      </w:pPr>
      <w:bookmarkStart w:id="163" w:name="_Ref142318831"/>
      <w:r w:rsidRPr="00C7122C">
        <w:rPr>
          <w:sz w:val="20"/>
          <w:szCs w:val="20"/>
        </w:rPr>
        <w:t xml:space="preserve">The Directors may, as a condition to the registration of any transfer of Shares, require the transferee to execute and deliver to the Company a deed, in favour of the Company agreeing to be bound by the terms of any shareholders' agreement (or similar document) in force between any of the Shareholders and the Company, in such form as the Directors may reasonably require (but not so as to oblige the transferee to have any obligations or liabilities greater than those of the proposed transferor). If any condition is imposed in accordance with this </w:t>
      </w:r>
      <w:r w:rsidRPr="00C7122C">
        <w:rPr>
          <w:sz w:val="20"/>
          <w:szCs w:val="20"/>
        </w:rPr>
        <w:fldChar w:fldCharType="begin"/>
      </w:r>
      <w:r w:rsidRPr="00C7122C">
        <w:rPr>
          <w:sz w:val="20"/>
          <w:szCs w:val="20"/>
        </w:rPr>
        <w:instrText>PAGEREF a926657\#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00D74A87" w:rsidRPr="00C7122C">
        <w:rPr>
          <w:sz w:val="20"/>
          <w:szCs w:val="20"/>
        </w:rPr>
        <w:fldChar w:fldCharType="begin"/>
      </w:r>
      <w:r w:rsidR="00D74A87" w:rsidRPr="00C7122C">
        <w:rPr>
          <w:sz w:val="20"/>
          <w:szCs w:val="20"/>
        </w:rPr>
        <w:instrText xml:space="preserve"> REF _Ref142318831 \r \h </w:instrText>
      </w:r>
      <w:r w:rsidR="00C7122C">
        <w:rPr>
          <w:sz w:val="20"/>
          <w:szCs w:val="20"/>
        </w:rPr>
        <w:instrText xml:space="preserve"> \* MERGEFORMAT </w:instrText>
      </w:r>
      <w:r w:rsidR="00D74A87" w:rsidRPr="00C7122C">
        <w:rPr>
          <w:sz w:val="20"/>
          <w:szCs w:val="20"/>
        </w:rPr>
      </w:r>
      <w:r w:rsidR="00D74A87" w:rsidRPr="00C7122C">
        <w:rPr>
          <w:sz w:val="20"/>
          <w:szCs w:val="20"/>
        </w:rPr>
        <w:fldChar w:fldCharType="separate"/>
      </w:r>
      <w:r w:rsidR="0017407B">
        <w:rPr>
          <w:sz w:val="20"/>
          <w:szCs w:val="20"/>
        </w:rPr>
        <w:t>14.5</w:t>
      </w:r>
      <w:r w:rsidR="00D74A87" w:rsidRPr="00C7122C">
        <w:rPr>
          <w:sz w:val="20"/>
          <w:szCs w:val="20"/>
        </w:rPr>
        <w:fldChar w:fldCharType="end"/>
      </w:r>
      <w:r w:rsidRPr="00C7122C">
        <w:rPr>
          <w:sz w:val="20"/>
          <w:szCs w:val="20"/>
        </w:rPr>
        <w:t>, the transfer may not be registered unless and until that deed has been executed and delivered to the Company's registered office by the transferee.</w:t>
      </w:r>
      <w:bookmarkEnd w:id="161"/>
      <w:bookmarkEnd w:id="163"/>
    </w:p>
    <w:p w14:paraId="5618A922" w14:textId="77777777" w:rsidR="00000000" w:rsidRPr="00C7122C" w:rsidRDefault="00A35BEC" w:rsidP="00E12420">
      <w:pPr>
        <w:pStyle w:val="Level2"/>
        <w:rPr>
          <w:sz w:val="20"/>
          <w:szCs w:val="20"/>
        </w:rPr>
      </w:pPr>
      <w:bookmarkStart w:id="164" w:name="a719667"/>
      <w:r w:rsidRPr="00C7122C">
        <w:rPr>
          <w:sz w:val="20"/>
          <w:szCs w:val="20"/>
        </w:rPr>
        <w:t xml:space="preserve">To enable the Directors to determine whether or not there has been any transfer (or purported transfer) of Shares the Directors may require: </w:t>
      </w:r>
      <w:bookmarkEnd w:id="164"/>
    </w:p>
    <w:p w14:paraId="0B1D67FA" w14:textId="77777777" w:rsidR="00000000" w:rsidRPr="00C7122C" w:rsidRDefault="00A35BEC" w:rsidP="00E12420">
      <w:pPr>
        <w:pStyle w:val="Level3"/>
        <w:rPr>
          <w:sz w:val="20"/>
          <w:szCs w:val="20"/>
        </w:rPr>
      </w:pPr>
      <w:bookmarkStart w:id="165" w:name="a687623"/>
      <w:r w:rsidRPr="00C7122C">
        <w:rPr>
          <w:sz w:val="20"/>
          <w:szCs w:val="20"/>
        </w:rPr>
        <w:t xml:space="preserve">any holder (or the legal representatives of a deceased holder); or </w:t>
      </w:r>
      <w:bookmarkEnd w:id="165"/>
    </w:p>
    <w:p w14:paraId="022AA782" w14:textId="77777777" w:rsidR="00000000" w:rsidRPr="00C7122C" w:rsidRDefault="00A35BEC" w:rsidP="00E12420">
      <w:pPr>
        <w:pStyle w:val="Level3"/>
        <w:rPr>
          <w:sz w:val="20"/>
          <w:szCs w:val="20"/>
        </w:rPr>
      </w:pPr>
      <w:bookmarkStart w:id="166" w:name="a783755"/>
      <w:r w:rsidRPr="00C7122C">
        <w:rPr>
          <w:sz w:val="20"/>
          <w:szCs w:val="20"/>
        </w:rPr>
        <w:t xml:space="preserve">any person named as a transferee in a transfer lodged for registration; or </w:t>
      </w:r>
      <w:bookmarkEnd w:id="166"/>
    </w:p>
    <w:p w14:paraId="3968D6DB" w14:textId="77777777" w:rsidR="00000000" w:rsidRPr="00C7122C" w:rsidRDefault="00A35BEC" w:rsidP="00E12420">
      <w:pPr>
        <w:pStyle w:val="Level3"/>
        <w:rPr>
          <w:sz w:val="20"/>
          <w:szCs w:val="20"/>
        </w:rPr>
      </w:pPr>
      <w:bookmarkStart w:id="167" w:name="a495359"/>
      <w:r w:rsidRPr="00C7122C">
        <w:rPr>
          <w:sz w:val="20"/>
          <w:szCs w:val="20"/>
        </w:rPr>
        <w:t>such other person as the Directors may reasonably believe to have information relevant to that purpose,</w:t>
      </w:r>
      <w:bookmarkEnd w:id="167"/>
    </w:p>
    <w:p w14:paraId="060764FC" w14:textId="77777777" w:rsidR="00000000" w:rsidRPr="00C7122C" w:rsidRDefault="00A35BEC" w:rsidP="00911869">
      <w:pPr>
        <w:pStyle w:val="Body2"/>
        <w:rPr>
          <w:sz w:val="20"/>
          <w:szCs w:val="20"/>
        </w:rPr>
      </w:pPr>
      <w:r w:rsidRPr="00C7122C">
        <w:rPr>
          <w:sz w:val="20"/>
          <w:szCs w:val="20"/>
        </w:rPr>
        <w:t>to provide the Company with any information and evidence that the Directors think fit regarding any matter which they deem relevant to that purpose.</w:t>
      </w:r>
    </w:p>
    <w:p w14:paraId="64B9BE5C" w14:textId="77777777" w:rsidR="006661A3" w:rsidRPr="00C7122C" w:rsidRDefault="006661A3" w:rsidP="006661A3">
      <w:pPr>
        <w:pStyle w:val="Level2"/>
        <w:rPr>
          <w:sz w:val="20"/>
          <w:szCs w:val="20"/>
        </w:rPr>
      </w:pPr>
      <w:bookmarkStart w:id="168" w:name="a653808"/>
      <w:r w:rsidRPr="00C7122C">
        <w:rPr>
          <w:sz w:val="20"/>
          <w:szCs w:val="20"/>
        </w:rPr>
        <w:t>Unless expressly provided otherwise in these Articles, if a Sale Notice is deemed to have been given under these Articles, the Deemed Sale Notice shall be treated as having specified that</w:t>
      </w:r>
      <w:bookmarkStart w:id="169" w:name="a165244"/>
      <w:bookmarkEnd w:id="168"/>
      <w:r w:rsidRPr="00C7122C">
        <w:rPr>
          <w:sz w:val="20"/>
          <w:szCs w:val="20"/>
        </w:rPr>
        <w:t xml:space="preserve"> the Seller wishes to transfer all the Shares held by them (including any Shares acquired after the date the relevant Sale Notice is deemed given but before completion of the transfer of Shares pursuant to the relevant Sale Notice).</w:t>
      </w:r>
      <w:bookmarkEnd w:id="169"/>
    </w:p>
    <w:p w14:paraId="44C8ACB5" w14:textId="77777777" w:rsidR="006661A3" w:rsidRPr="00C7122C" w:rsidRDefault="006661A3" w:rsidP="006661A3">
      <w:pPr>
        <w:pStyle w:val="Level2"/>
        <w:rPr>
          <w:sz w:val="20"/>
          <w:szCs w:val="20"/>
        </w:rPr>
      </w:pPr>
      <w:bookmarkStart w:id="170" w:name="a125468"/>
      <w:r w:rsidRPr="00C7122C">
        <w:rPr>
          <w:sz w:val="20"/>
          <w:szCs w:val="20"/>
        </w:rPr>
        <w:t xml:space="preserve">Any Sale Notice (but not an Offer Notice (as defined in </w:t>
      </w:r>
      <w:r w:rsidR="00D74A87" w:rsidRPr="00C7122C">
        <w:rPr>
          <w:sz w:val="20"/>
          <w:szCs w:val="20"/>
        </w:rPr>
        <w:t>a</w:t>
      </w:r>
      <w:r w:rsidRPr="00C7122C">
        <w:rPr>
          <w:sz w:val="20"/>
          <w:szCs w:val="20"/>
        </w:rPr>
        <w:t xml:space="preserve">rticle </w:t>
      </w:r>
      <w:r w:rsidR="00D74A87" w:rsidRPr="00C7122C">
        <w:rPr>
          <w:sz w:val="20"/>
          <w:szCs w:val="20"/>
        </w:rPr>
        <w:fldChar w:fldCharType="begin"/>
      </w:r>
      <w:r w:rsidR="00D74A87" w:rsidRPr="00C7122C">
        <w:rPr>
          <w:sz w:val="20"/>
          <w:szCs w:val="20"/>
        </w:rPr>
        <w:instrText xml:space="preserve"> REF a212222 \r \h </w:instrText>
      </w:r>
      <w:r w:rsidR="00C7122C">
        <w:rPr>
          <w:sz w:val="20"/>
          <w:szCs w:val="20"/>
        </w:rPr>
        <w:instrText xml:space="preserve"> \* MERGEFORMAT </w:instrText>
      </w:r>
      <w:r w:rsidR="00D74A87" w:rsidRPr="00C7122C">
        <w:rPr>
          <w:sz w:val="20"/>
          <w:szCs w:val="20"/>
        </w:rPr>
      </w:r>
      <w:r w:rsidR="00D74A87" w:rsidRPr="00C7122C">
        <w:rPr>
          <w:sz w:val="20"/>
          <w:szCs w:val="20"/>
        </w:rPr>
        <w:fldChar w:fldCharType="separate"/>
      </w:r>
      <w:r w:rsidR="0017407B">
        <w:rPr>
          <w:sz w:val="20"/>
          <w:szCs w:val="20"/>
        </w:rPr>
        <w:t>19.3</w:t>
      </w:r>
      <w:r w:rsidR="00D74A87" w:rsidRPr="00C7122C">
        <w:rPr>
          <w:sz w:val="20"/>
          <w:szCs w:val="20"/>
        </w:rPr>
        <w:fldChar w:fldCharType="end"/>
      </w:r>
      <w:r w:rsidRPr="00C7122C">
        <w:rPr>
          <w:sz w:val="20"/>
          <w:szCs w:val="20"/>
        </w:rPr>
        <w:t xml:space="preserve">) or a Drag Along Notice (as defined in </w:t>
      </w:r>
      <w:r w:rsidRPr="00C7122C">
        <w:rPr>
          <w:sz w:val="20"/>
          <w:szCs w:val="20"/>
        </w:rPr>
        <w:fldChar w:fldCharType="begin"/>
      </w:r>
      <w:r w:rsidRPr="00C7122C">
        <w:rPr>
          <w:sz w:val="20"/>
          <w:szCs w:val="20"/>
        </w:rPr>
        <w:instrText>PAGEREF a457892\#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a457892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w:t>
      </w:r>
      <w:r w:rsidRPr="00C7122C">
        <w:rPr>
          <w:sz w:val="20"/>
          <w:szCs w:val="20"/>
        </w:rPr>
        <w:fldChar w:fldCharType="end"/>
      </w:r>
      <w:r w:rsidRPr="00C7122C">
        <w:rPr>
          <w:sz w:val="20"/>
          <w:szCs w:val="20"/>
        </w:rPr>
        <w:t>)) served in respect of the transfer of any Share which has not completed before the date of service of a Deemed Sale Notice shall automatically be revoked by the service of a Deemed Sale Notice.</w:t>
      </w:r>
      <w:bookmarkEnd w:id="170"/>
    </w:p>
    <w:p w14:paraId="61967B10" w14:textId="77777777" w:rsidR="00000000" w:rsidRPr="0017407B" w:rsidRDefault="00A35BEC" w:rsidP="00E12420">
      <w:pPr>
        <w:pStyle w:val="Level1"/>
        <w:rPr>
          <w:sz w:val="20"/>
          <w:szCs w:val="20"/>
        </w:rPr>
      </w:pPr>
      <w:bookmarkStart w:id="171" w:name="_Toc256000017"/>
      <w:bookmarkStart w:id="172" w:name="a817012"/>
      <w:bookmarkStart w:id="173" w:name="_Toc144907423"/>
      <w:r w:rsidRPr="0017407B">
        <w:rPr>
          <w:sz w:val="20"/>
          <w:szCs w:val="20"/>
        </w:rPr>
        <w:t>Permitted transfers of shares</w:t>
      </w:r>
      <w:bookmarkEnd w:id="171"/>
      <w:bookmarkEnd w:id="172"/>
      <w:bookmarkEnd w:id="173"/>
    </w:p>
    <w:p w14:paraId="64FBF073" w14:textId="5B048A0E" w:rsidR="00000000" w:rsidRPr="0017407B" w:rsidRDefault="00A35BEC" w:rsidP="00E12420">
      <w:pPr>
        <w:pStyle w:val="Level2"/>
        <w:rPr>
          <w:sz w:val="20"/>
          <w:szCs w:val="20"/>
        </w:rPr>
      </w:pPr>
      <w:bookmarkStart w:id="174" w:name="a879121"/>
      <w:r w:rsidRPr="0017407B">
        <w:rPr>
          <w:sz w:val="20"/>
          <w:szCs w:val="20"/>
        </w:rPr>
        <w:t xml:space="preserve">A Shareholder (the </w:t>
      </w:r>
      <w:r w:rsidRPr="0017407B">
        <w:rPr>
          <w:b/>
          <w:sz w:val="20"/>
          <w:szCs w:val="20"/>
        </w:rPr>
        <w:t>Original Shareholder</w:t>
      </w:r>
      <w:r w:rsidRPr="0017407B">
        <w:rPr>
          <w:sz w:val="20"/>
          <w:szCs w:val="20"/>
        </w:rPr>
        <w:t xml:space="preserve">) may transfer all or any of their or its Shares to a Permitted Transferee. </w:t>
      </w:r>
      <w:bookmarkEnd w:id="174"/>
      <w:r w:rsidR="00092D22">
        <w:rPr>
          <w:sz w:val="20"/>
          <w:szCs w:val="20"/>
        </w:rPr>
        <w:t>[</w:t>
      </w:r>
      <w:r w:rsidR="007C0587" w:rsidRPr="007C0587">
        <w:rPr>
          <w:sz w:val="20"/>
          <w:szCs w:val="20"/>
          <w:highlight w:val="yellow"/>
        </w:rPr>
        <w:t>You may wish to rethink whether these provisions should be included given that you are now having put and call options in the event of death. Otherwise in practice it may start to prove difficult if say Owen had transferred his shares to a family trust or to his wife. If he were to die then you would expect that to get your hands on those shares from the trust or the wife so the other shareholder can buy them. We can I am sure draft for this but from a practical perspective this may be introducing a layer of complication that you would prefer does not exist. If you do want to keep it then should anyone be allowed to use it in that initial 3 year window?]</w:t>
      </w:r>
    </w:p>
    <w:p w14:paraId="30444B3D" w14:textId="77777777" w:rsidR="00000000" w:rsidRPr="00C7122C" w:rsidRDefault="00A35BEC" w:rsidP="00E12420">
      <w:pPr>
        <w:pStyle w:val="Level2"/>
        <w:rPr>
          <w:sz w:val="20"/>
          <w:szCs w:val="20"/>
        </w:rPr>
      </w:pPr>
      <w:bookmarkStart w:id="175" w:name="a96455"/>
      <w:r w:rsidRPr="00C7122C">
        <w:rPr>
          <w:sz w:val="20"/>
          <w:szCs w:val="20"/>
        </w:rPr>
        <w:t>Where Shares are held by the trustee(s) of a Family Trust, the trustee(s) may transfer Shares to:</w:t>
      </w:r>
      <w:bookmarkEnd w:id="175"/>
    </w:p>
    <w:p w14:paraId="4707265F" w14:textId="77777777" w:rsidR="00000000" w:rsidRPr="00C7122C" w:rsidRDefault="00A35BEC" w:rsidP="00E12420">
      <w:pPr>
        <w:pStyle w:val="Level3"/>
        <w:rPr>
          <w:sz w:val="20"/>
          <w:szCs w:val="20"/>
        </w:rPr>
      </w:pPr>
      <w:bookmarkStart w:id="176" w:name="a903130"/>
      <w:r w:rsidRPr="00C7122C">
        <w:rPr>
          <w:sz w:val="20"/>
          <w:szCs w:val="20"/>
        </w:rPr>
        <w:t xml:space="preserve">the Original Shareholder; </w:t>
      </w:r>
      <w:bookmarkEnd w:id="176"/>
    </w:p>
    <w:p w14:paraId="7857E1BA" w14:textId="77777777" w:rsidR="00000000" w:rsidRPr="00C7122C" w:rsidRDefault="00A35BEC" w:rsidP="00E12420">
      <w:pPr>
        <w:pStyle w:val="Level3"/>
        <w:rPr>
          <w:sz w:val="20"/>
          <w:szCs w:val="20"/>
        </w:rPr>
      </w:pPr>
      <w:bookmarkStart w:id="177" w:name="a754542"/>
      <w:r w:rsidRPr="00C7122C">
        <w:rPr>
          <w:sz w:val="20"/>
          <w:szCs w:val="20"/>
        </w:rPr>
        <w:t>any Privileged Relation(s) of the Original Shareholder;</w:t>
      </w:r>
      <w:bookmarkEnd w:id="177"/>
    </w:p>
    <w:p w14:paraId="5E7B86E4" w14:textId="77777777" w:rsidR="00000000" w:rsidRPr="00C7122C" w:rsidRDefault="00A35BEC" w:rsidP="00E12420">
      <w:pPr>
        <w:pStyle w:val="Level3"/>
        <w:rPr>
          <w:sz w:val="20"/>
          <w:szCs w:val="20"/>
        </w:rPr>
      </w:pPr>
      <w:bookmarkStart w:id="178" w:name="a669147"/>
      <w:r w:rsidRPr="00C7122C">
        <w:rPr>
          <w:sz w:val="20"/>
          <w:szCs w:val="20"/>
        </w:rPr>
        <w:lastRenderedPageBreak/>
        <w:t xml:space="preserve">subject to </w:t>
      </w:r>
      <w:r w:rsidRPr="00C7122C">
        <w:rPr>
          <w:sz w:val="20"/>
          <w:szCs w:val="20"/>
        </w:rPr>
        <w:fldChar w:fldCharType="begin"/>
      </w:r>
      <w:r w:rsidRPr="00C7122C">
        <w:rPr>
          <w:sz w:val="20"/>
          <w:szCs w:val="20"/>
        </w:rPr>
        <w:instrText>PAGEREF a831805\#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a831805 \h \w</w:instrText>
      </w:r>
      <w:r w:rsidR="0091186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15.3</w:t>
      </w:r>
      <w:r w:rsidRPr="00C7122C">
        <w:rPr>
          <w:sz w:val="20"/>
          <w:szCs w:val="20"/>
        </w:rPr>
        <w:fldChar w:fldCharType="end"/>
      </w:r>
      <w:r w:rsidRPr="00C7122C">
        <w:rPr>
          <w:sz w:val="20"/>
          <w:szCs w:val="20"/>
        </w:rPr>
        <w:t>, the trustee(s) of another Family Trust of which the Original Shareholder is the Settlor; or</w:t>
      </w:r>
      <w:bookmarkEnd w:id="178"/>
    </w:p>
    <w:p w14:paraId="43F2CF71" w14:textId="77777777" w:rsidR="00000000" w:rsidRPr="00C7122C" w:rsidRDefault="00A35BEC" w:rsidP="00E12420">
      <w:pPr>
        <w:pStyle w:val="Level3"/>
        <w:rPr>
          <w:sz w:val="20"/>
          <w:szCs w:val="20"/>
        </w:rPr>
      </w:pPr>
      <w:bookmarkStart w:id="179" w:name="a187984"/>
      <w:r w:rsidRPr="00C7122C">
        <w:rPr>
          <w:sz w:val="20"/>
          <w:szCs w:val="20"/>
        </w:rPr>
        <w:t xml:space="preserve">subject to </w:t>
      </w:r>
      <w:r w:rsidRPr="00C7122C">
        <w:rPr>
          <w:sz w:val="20"/>
          <w:szCs w:val="20"/>
        </w:rPr>
        <w:fldChar w:fldCharType="begin"/>
      </w:r>
      <w:r w:rsidRPr="00C7122C">
        <w:rPr>
          <w:sz w:val="20"/>
          <w:szCs w:val="20"/>
        </w:rPr>
        <w:instrText>PAGEREF a831805\#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a831805 \h \w</w:instrText>
      </w:r>
      <w:r w:rsidR="0091186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15.3</w:t>
      </w:r>
      <w:r w:rsidRPr="00C7122C">
        <w:rPr>
          <w:sz w:val="20"/>
          <w:szCs w:val="20"/>
        </w:rPr>
        <w:fldChar w:fldCharType="end"/>
      </w:r>
      <w:r w:rsidRPr="00C7122C">
        <w:rPr>
          <w:sz w:val="20"/>
          <w:szCs w:val="20"/>
        </w:rPr>
        <w:t xml:space="preserve">, to the new (or remaining) trustee(s) upon a change of trustee(s) of a Family Trust, </w:t>
      </w:r>
      <w:bookmarkEnd w:id="179"/>
    </w:p>
    <w:p w14:paraId="550CEA21" w14:textId="77777777" w:rsidR="00000000" w:rsidRPr="00C7122C" w:rsidRDefault="00A35BEC" w:rsidP="00911869">
      <w:pPr>
        <w:pStyle w:val="Body2"/>
        <w:rPr>
          <w:sz w:val="20"/>
          <w:szCs w:val="20"/>
        </w:rPr>
      </w:pPr>
      <w:r w:rsidRPr="00C7122C">
        <w:rPr>
          <w:sz w:val="20"/>
          <w:szCs w:val="20"/>
        </w:rPr>
        <w:t>without any price or other restriction.</w:t>
      </w:r>
    </w:p>
    <w:p w14:paraId="6B7EEA26" w14:textId="77777777" w:rsidR="00000000" w:rsidRPr="00C7122C" w:rsidRDefault="00A35BEC" w:rsidP="00E12420">
      <w:pPr>
        <w:pStyle w:val="Level2"/>
        <w:rPr>
          <w:sz w:val="20"/>
          <w:szCs w:val="20"/>
        </w:rPr>
      </w:pPr>
      <w:bookmarkStart w:id="180" w:name="a831805"/>
      <w:r w:rsidRPr="00C7122C">
        <w:rPr>
          <w:sz w:val="20"/>
          <w:szCs w:val="20"/>
        </w:rPr>
        <w:t xml:space="preserve">A transfer of Shares may only be made to the trustee(s) of a Family Trust if </w:t>
      </w:r>
      <w:r w:rsidR="004D4F1A">
        <w:rPr>
          <w:sz w:val="20"/>
          <w:szCs w:val="20"/>
        </w:rPr>
        <w:t xml:space="preserve">the Directors are </w:t>
      </w:r>
      <w:r w:rsidRPr="00C7122C">
        <w:rPr>
          <w:sz w:val="20"/>
          <w:szCs w:val="20"/>
        </w:rPr>
        <w:t>satisfied:</w:t>
      </w:r>
      <w:bookmarkEnd w:id="180"/>
    </w:p>
    <w:p w14:paraId="7EE99ECC" w14:textId="77777777" w:rsidR="00000000" w:rsidRPr="00C7122C" w:rsidRDefault="00A35BEC" w:rsidP="00E12420">
      <w:pPr>
        <w:pStyle w:val="Level3"/>
        <w:rPr>
          <w:sz w:val="20"/>
          <w:szCs w:val="20"/>
        </w:rPr>
      </w:pPr>
      <w:bookmarkStart w:id="181" w:name="a436093"/>
      <w:r w:rsidRPr="00C7122C">
        <w:rPr>
          <w:sz w:val="20"/>
          <w:szCs w:val="20"/>
        </w:rPr>
        <w:t>with the terms of the trust instrument and, in particular, with the powers of the trustee(s);</w:t>
      </w:r>
      <w:bookmarkEnd w:id="181"/>
    </w:p>
    <w:p w14:paraId="637E06FF" w14:textId="77777777" w:rsidR="00000000" w:rsidRPr="00C7122C" w:rsidRDefault="00A35BEC" w:rsidP="00E12420">
      <w:pPr>
        <w:pStyle w:val="Level3"/>
        <w:rPr>
          <w:sz w:val="20"/>
          <w:szCs w:val="20"/>
        </w:rPr>
      </w:pPr>
      <w:bookmarkStart w:id="182" w:name="a888808"/>
      <w:r w:rsidRPr="00C7122C">
        <w:rPr>
          <w:sz w:val="20"/>
          <w:szCs w:val="20"/>
        </w:rPr>
        <w:t>with the identity of the proposed trustee(s);</w:t>
      </w:r>
      <w:bookmarkEnd w:id="182"/>
    </w:p>
    <w:p w14:paraId="74DF4D75" w14:textId="77777777" w:rsidR="00000000" w:rsidRPr="00C7122C" w:rsidRDefault="00A35BEC" w:rsidP="00E12420">
      <w:pPr>
        <w:pStyle w:val="Level3"/>
        <w:rPr>
          <w:sz w:val="20"/>
          <w:szCs w:val="20"/>
        </w:rPr>
      </w:pPr>
      <w:bookmarkStart w:id="183" w:name="a145052"/>
      <w:r w:rsidRPr="00C7122C">
        <w:rPr>
          <w:sz w:val="20"/>
          <w:szCs w:val="20"/>
        </w:rPr>
        <w:t>that no costs incurred in connection with the setting up or administration of that Family Trust are to be paid by the Company.</w:t>
      </w:r>
      <w:bookmarkEnd w:id="183"/>
    </w:p>
    <w:p w14:paraId="35AB8621" w14:textId="77777777" w:rsidR="00000000" w:rsidRPr="00C7122C" w:rsidRDefault="00A35BEC" w:rsidP="00E12420">
      <w:pPr>
        <w:pStyle w:val="Level2"/>
        <w:rPr>
          <w:sz w:val="20"/>
          <w:szCs w:val="20"/>
        </w:rPr>
      </w:pPr>
      <w:bookmarkStart w:id="184" w:name="a236635"/>
      <w:r w:rsidRPr="00C7122C">
        <w:rPr>
          <w:sz w:val="20"/>
          <w:szCs w:val="20"/>
        </w:rPr>
        <w:t xml:space="preserve">If the Original Shareholder is an individual and a Permitted Transfer has been made to a Privileged Relation of the Original Shareholder, the Permitted Transferee (or the transmittee(s) of any such person), shall within </w:t>
      </w:r>
      <w:r w:rsidR="007F2EF3" w:rsidRPr="00C7122C">
        <w:rPr>
          <w:sz w:val="20"/>
          <w:szCs w:val="20"/>
        </w:rPr>
        <w:t>30</w:t>
      </w:r>
      <w:r w:rsidRPr="00C7122C">
        <w:rPr>
          <w:sz w:val="20"/>
          <w:szCs w:val="20"/>
        </w:rPr>
        <w:t xml:space="preserve"> Business Days of ceasing to be a Privileged Relation of the Original Shareholder (whether by reason of death, divorce or otherwise</w:t>
      </w:r>
      <w:r w:rsidR="00092D22">
        <w:rPr>
          <w:sz w:val="20"/>
          <w:szCs w:val="20"/>
        </w:rPr>
        <w:t xml:space="preserve"> of  the Original Shareholder or the Privileged Relation</w:t>
      </w:r>
      <w:r w:rsidRPr="00C7122C">
        <w:rPr>
          <w:sz w:val="20"/>
          <w:szCs w:val="20"/>
        </w:rPr>
        <w:t>) either:</w:t>
      </w:r>
      <w:bookmarkEnd w:id="184"/>
    </w:p>
    <w:p w14:paraId="104566CC" w14:textId="77777777" w:rsidR="00000000" w:rsidRPr="00C7122C" w:rsidRDefault="00A35BEC" w:rsidP="00E12420">
      <w:pPr>
        <w:pStyle w:val="Level3"/>
        <w:rPr>
          <w:sz w:val="20"/>
          <w:szCs w:val="20"/>
        </w:rPr>
      </w:pPr>
      <w:bookmarkStart w:id="185" w:name="a493042"/>
      <w:r w:rsidRPr="00C7122C">
        <w:rPr>
          <w:sz w:val="20"/>
          <w:szCs w:val="20"/>
        </w:rPr>
        <w:t>execute and deliver to the Company a transfer of the Shares held by the Privileged Relation to the Original Shareholder (or to any Permitted Transferee of the Original Shareholder) for such consideration as may be agreed between them; or</w:t>
      </w:r>
      <w:bookmarkEnd w:id="185"/>
    </w:p>
    <w:p w14:paraId="51856C89" w14:textId="77777777" w:rsidR="00000000" w:rsidRPr="00C7122C" w:rsidRDefault="00A35BEC" w:rsidP="00E12420">
      <w:pPr>
        <w:pStyle w:val="Level3"/>
        <w:rPr>
          <w:sz w:val="20"/>
          <w:szCs w:val="20"/>
        </w:rPr>
      </w:pPr>
      <w:bookmarkStart w:id="186" w:name="a720892"/>
      <w:r w:rsidRPr="00C7122C">
        <w:rPr>
          <w:sz w:val="20"/>
          <w:szCs w:val="20"/>
        </w:rPr>
        <w:t xml:space="preserve">give a </w:t>
      </w:r>
      <w:r w:rsidR="00D74A87" w:rsidRPr="00C7122C">
        <w:rPr>
          <w:sz w:val="20"/>
          <w:szCs w:val="20"/>
        </w:rPr>
        <w:t xml:space="preserve">Sale </w:t>
      </w:r>
      <w:r w:rsidRPr="00C7122C">
        <w:rPr>
          <w:sz w:val="20"/>
          <w:szCs w:val="20"/>
        </w:rPr>
        <w:t xml:space="preserve">Notice to the Company in accordance with </w:t>
      </w:r>
      <w:r w:rsidRPr="00C7122C">
        <w:rPr>
          <w:sz w:val="20"/>
          <w:szCs w:val="20"/>
        </w:rPr>
        <w:fldChar w:fldCharType="begin"/>
      </w:r>
      <w:r w:rsidRPr="00C7122C">
        <w:rPr>
          <w:sz w:val="20"/>
          <w:szCs w:val="20"/>
        </w:rPr>
        <w:instrText>PAGEREF a73365\#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a73365 \h \w</w:instrText>
      </w:r>
      <w:r w:rsidR="00C0566D"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16</w:t>
      </w:r>
      <w:r w:rsidRPr="00C7122C">
        <w:rPr>
          <w:sz w:val="20"/>
          <w:szCs w:val="20"/>
        </w:rPr>
        <w:fldChar w:fldCharType="end"/>
      </w:r>
      <w:r w:rsidRPr="00C7122C">
        <w:rPr>
          <w:sz w:val="20"/>
          <w:szCs w:val="20"/>
        </w:rPr>
        <w:t>,</w:t>
      </w:r>
      <w:bookmarkEnd w:id="186"/>
    </w:p>
    <w:p w14:paraId="06A1A81A" w14:textId="77777777" w:rsidR="00000000" w:rsidRPr="00C7122C" w:rsidRDefault="00A35BEC" w:rsidP="00C0566D">
      <w:pPr>
        <w:pStyle w:val="Body2"/>
        <w:rPr>
          <w:sz w:val="20"/>
          <w:szCs w:val="20"/>
        </w:rPr>
      </w:pPr>
      <w:r w:rsidRPr="00C7122C">
        <w:rPr>
          <w:sz w:val="20"/>
          <w:szCs w:val="20"/>
        </w:rPr>
        <w:t xml:space="preserve">failing which a </w:t>
      </w:r>
      <w:r w:rsidR="00D74A87" w:rsidRPr="00C7122C">
        <w:rPr>
          <w:sz w:val="20"/>
          <w:szCs w:val="20"/>
        </w:rPr>
        <w:t xml:space="preserve">Sale </w:t>
      </w:r>
      <w:r w:rsidRPr="00C7122C">
        <w:rPr>
          <w:sz w:val="20"/>
          <w:szCs w:val="20"/>
        </w:rPr>
        <w:t xml:space="preserve">Notice shall be deemed to have been given in respect of such Shares on the expiry of the period set out in this </w:t>
      </w:r>
      <w:r w:rsidRPr="00C7122C">
        <w:rPr>
          <w:sz w:val="20"/>
          <w:szCs w:val="20"/>
        </w:rPr>
        <w:fldChar w:fldCharType="begin"/>
      </w:r>
      <w:r w:rsidRPr="00C7122C">
        <w:rPr>
          <w:sz w:val="20"/>
          <w:szCs w:val="20"/>
        </w:rPr>
        <w:instrText>PAGEREF a236635\#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a236635 \h \w</w:instrText>
      </w:r>
      <w:r w:rsidR="00C0566D"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15.4</w:t>
      </w:r>
      <w:r w:rsidRPr="00C7122C">
        <w:rPr>
          <w:sz w:val="20"/>
          <w:szCs w:val="20"/>
        </w:rPr>
        <w:fldChar w:fldCharType="end"/>
      </w:r>
      <w:r w:rsidRPr="00C7122C">
        <w:rPr>
          <w:sz w:val="20"/>
          <w:szCs w:val="20"/>
        </w:rPr>
        <w:t xml:space="preserve">. This </w:t>
      </w:r>
      <w:r w:rsidRPr="00C7122C">
        <w:rPr>
          <w:sz w:val="20"/>
          <w:szCs w:val="20"/>
        </w:rPr>
        <w:fldChar w:fldCharType="begin"/>
      </w:r>
      <w:r w:rsidRPr="00C7122C">
        <w:rPr>
          <w:sz w:val="20"/>
          <w:szCs w:val="20"/>
        </w:rPr>
        <w:instrText>PAGEREF a236635\#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a236635 \h \w</w:instrText>
      </w:r>
      <w:r w:rsidR="00C0566D"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15.4</w:t>
      </w:r>
      <w:r w:rsidRPr="00C7122C">
        <w:rPr>
          <w:sz w:val="20"/>
          <w:szCs w:val="20"/>
        </w:rPr>
        <w:fldChar w:fldCharType="end"/>
      </w:r>
      <w:r w:rsidRPr="00C7122C">
        <w:rPr>
          <w:sz w:val="20"/>
          <w:szCs w:val="20"/>
        </w:rPr>
        <w:t xml:space="preserve"> shall not apply to a transmittee of a Permitted Transferee if that transmittee is also a Permitted Transferee of the Original Shareholder, to the extent that such transmittee is legally or beneficially entitled to those Shares.</w:t>
      </w:r>
    </w:p>
    <w:p w14:paraId="02BAA93E" w14:textId="77777777" w:rsidR="00000000" w:rsidRPr="00C7122C" w:rsidRDefault="00A35BEC" w:rsidP="00E12420">
      <w:pPr>
        <w:pStyle w:val="Level2"/>
        <w:rPr>
          <w:sz w:val="20"/>
          <w:szCs w:val="20"/>
        </w:rPr>
      </w:pPr>
      <w:bookmarkStart w:id="187" w:name="a142231"/>
      <w:r w:rsidRPr="00C7122C">
        <w:rPr>
          <w:sz w:val="20"/>
          <w:szCs w:val="20"/>
        </w:rPr>
        <w:t xml:space="preserve">Notwithstanding any other provision of this </w:t>
      </w:r>
      <w:r w:rsidRPr="00C7122C">
        <w:rPr>
          <w:sz w:val="20"/>
          <w:szCs w:val="20"/>
        </w:rPr>
        <w:fldChar w:fldCharType="begin"/>
      </w:r>
      <w:r w:rsidRPr="00C7122C">
        <w:rPr>
          <w:sz w:val="20"/>
          <w:szCs w:val="20"/>
        </w:rPr>
        <w:instrText>PAGEREF a817012\#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a817012 \h \w</w:instrText>
      </w:r>
      <w:r w:rsidR="00E12420"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15</w:t>
      </w:r>
      <w:r w:rsidRPr="00C7122C">
        <w:rPr>
          <w:sz w:val="20"/>
          <w:szCs w:val="20"/>
        </w:rPr>
        <w:fldChar w:fldCharType="end"/>
      </w:r>
      <w:r w:rsidRPr="00C7122C">
        <w:rPr>
          <w:sz w:val="20"/>
          <w:szCs w:val="20"/>
        </w:rPr>
        <w:t>, a transfer of any Shares approved by the Directors may be made without any price or other restriction and any such transfer shall be registered by the Directors.</w:t>
      </w:r>
      <w:bookmarkEnd w:id="187"/>
    </w:p>
    <w:p w14:paraId="4DFB610D" w14:textId="77777777" w:rsidR="00000000" w:rsidRPr="00C7122C" w:rsidRDefault="00A35BEC" w:rsidP="00E12420">
      <w:pPr>
        <w:pStyle w:val="Level1"/>
        <w:rPr>
          <w:sz w:val="20"/>
          <w:szCs w:val="20"/>
        </w:rPr>
      </w:pPr>
      <w:bookmarkStart w:id="188" w:name="_Toc256000018"/>
      <w:bookmarkStart w:id="189" w:name="a73365"/>
      <w:bookmarkStart w:id="190" w:name="_Toc144907424"/>
      <w:r w:rsidRPr="00C7122C">
        <w:rPr>
          <w:sz w:val="20"/>
          <w:szCs w:val="20"/>
        </w:rPr>
        <w:t>Pre-emption rights on the transfer of shares</w:t>
      </w:r>
      <w:bookmarkEnd w:id="188"/>
      <w:bookmarkEnd w:id="189"/>
      <w:bookmarkEnd w:id="190"/>
    </w:p>
    <w:p w14:paraId="3FC70C09" w14:textId="77777777" w:rsidR="007F2EF3" w:rsidRPr="00945022" w:rsidRDefault="007F2EF3" w:rsidP="007F2EF3">
      <w:pPr>
        <w:pStyle w:val="Level2"/>
        <w:rPr>
          <w:sz w:val="20"/>
          <w:szCs w:val="20"/>
          <w:highlight w:val="yellow"/>
        </w:rPr>
      </w:pPr>
      <w:r w:rsidRPr="00C7122C">
        <w:rPr>
          <w:sz w:val="20"/>
          <w:szCs w:val="20"/>
        </w:rPr>
        <w:t xml:space="preserve">Save as provided in Articles </w:t>
      </w:r>
      <w:r w:rsidRPr="00C7122C">
        <w:rPr>
          <w:sz w:val="20"/>
          <w:szCs w:val="20"/>
        </w:rPr>
        <w:fldChar w:fldCharType="begin"/>
      </w:r>
      <w:r w:rsidRPr="00C7122C">
        <w:rPr>
          <w:sz w:val="20"/>
          <w:szCs w:val="20"/>
        </w:rPr>
        <w:instrText xml:space="preserve"> REF a817012 \r \h </w:instrText>
      </w:r>
      <w:r w:rsidR="00D90415"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rPr>
        <w:t>15</w:t>
      </w:r>
      <w:r w:rsidRPr="00C7122C">
        <w:rPr>
          <w:sz w:val="20"/>
          <w:szCs w:val="20"/>
        </w:rPr>
        <w:fldChar w:fldCharType="end"/>
      </w:r>
      <w:r w:rsidRPr="00C7122C">
        <w:rPr>
          <w:sz w:val="20"/>
          <w:szCs w:val="20"/>
        </w:rPr>
        <w:t xml:space="preserve"> (Permitted Transfers), Article </w:t>
      </w:r>
      <w:r w:rsidRPr="00C7122C">
        <w:rPr>
          <w:sz w:val="20"/>
          <w:szCs w:val="20"/>
        </w:rPr>
        <w:fldChar w:fldCharType="begin"/>
      </w:r>
      <w:r w:rsidRPr="00C7122C">
        <w:rPr>
          <w:sz w:val="20"/>
          <w:szCs w:val="20"/>
        </w:rPr>
        <w:instrText xml:space="preserve"> REF a599340 \r \h </w:instrText>
      </w:r>
      <w:r w:rsidR="00D90415"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rPr>
        <w:t>18</w:t>
      </w:r>
      <w:r w:rsidRPr="00C7122C">
        <w:rPr>
          <w:sz w:val="20"/>
          <w:szCs w:val="20"/>
        </w:rPr>
        <w:fldChar w:fldCharType="end"/>
      </w:r>
      <w:r w:rsidRPr="00C7122C">
        <w:rPr>
          <w:sz w:val="20"/>
          <w:szCs w:val="20"/>
        </w:rPr>
        <w:t xml:space="preserve"> (Compulsory Transfers) and Article </w:t>
      </w:r>
      <w:r w:rsidRPr="00C7122C">
        <w:rPr>
          <w:sz w:val="20"/>
          <w:szCs w:val="20"/>
        </w:rPr>
        <w:fldChar w:fldCharType="begin"/>
      </w:r>
      <w:r w:rsidRPr="00C7122C">
        <w:rPr>
          <w:sz w:val="20"/>
          <w:szCs w:val="20"/>
        </w:rPr>
        <w:instrText xml:space="preserve"> REF a457892 \r \h </w:instrText>
      </w:r>
      <w:r w:rsidR="00D90415"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rPr>
        <w:t>20</w:t>
      </w:r>
      <w:r w:rsidRPr="00C7122C">
        <w:rPr>
          <w:sz w:val="20"/>
          <w:szCs w:val="20"/>
        </w:rPr>
        <w:fldChar w:fldCharType="end"/>
      </w:r>
      <w:r w:rsidRPr="00C7122C">
        <w:rPr>
          <w:sz w:val="20"/>
          <w:szCs w:val="20"/>
        </w:rPr>
        <w:t xml:space="preserve"> (Drag Along), the Shareholders shall not be entitled to transfer any shares or any interest in any such Shares except in accordance with the following provisions of  this Article </w:t>
      </w:r>
      <w:r w:rsidRPr="00C7122C">
        <w:rPr>
          <w:sz w:val="20"/>
          <w:szCs w:val="20"/>
        </w:rPr>
        <w:fldChar w:fldCharType="begin"/>
      </w:r>
      <w:r w:rsidRPr="00C7122C">
        <w:rPr>
          <w:sz w:val="20"/>
          <w:szCs w:val="20"/>
        </w:rPr>
        <w:instrText xml:space="preserve"> REF a73365 \r \h </w:instrText>
      </w:r>
      <w:r w:rsidR="00D90415"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rPr>
        <w:t>16</w:t>
      </w:r>
      <w:r w:rsidRPr="00C7122C">
        <w:rPr>
          <w:sz w:val="20"/>
          <w:szCs w:val="20"/>
        </w:rPr>
        <w:fldChar w:fldCharType="end"/>
      </w:r>
      <w:r w:rsidRPr="00C7122C">
        <w:rPr>
          <w:sz w:val="20"/>
          <w:szCs w:val="20"/>
        </w:rPr>
        <w:t>.</w:t>
      </w:r>
      <w:r w:rsidR="004D4F1A">
        <w:rPr>
          <w:sz w:val="20"/>
          <w:szCs w:val="20"/>
        </w:rPr>
        <w:t xml:space="preserve"> </w:t>
      </w:r>
      <w:r w:rsidR="004D4F1A" w:rsidRPr="00945022">
        <w:rPr>
          <w:sz w:val="20"/>
          <w:szCs w:val="20"/>
          <w:highlight w:val="yellow"/>
        </w:rPr>
        <w:t xml:space="preserve">[This provides that if a shareholder wants to sell their </w:t>
      </w:r>
      <w:r w:rsidR="00945022" w:rsidRPr="00945022">
        <w:rPr>
          <w:sz w:val="20"/>
          <w:szCs w:val="20"/>
          <w:highlight w:val="yellow"/>
        </w:rPr>
        <w:t>shares,</w:t>
      </w:r>
      <w:r w:rsidR="004D4F1A" w:rsidRPr="00945022">
        <w:rPr>
          <w:sz w:val="20"/>
          <w:szCs w:val="20"/>
          <w:highlight w:val="yellow"/>
        </w:rPr>
        <w:t xml:space="preserve"> they are offered to the existing shareholders first on a pro rata basis at the fair value. The fair value will be agreed between the parties and if not agreed, will be determined by the accountants as per article </w:t>
      </w:r>
      <w:r w:rsidR="00FE0481">
        <w:rPr>
          <w:sz w:val="20"/>
          <w:szCs w:val="20"/>
          <w:highlight w:val="yellow"/>
        </w:rPr>
        <w:fldChar w:fldCharType="begin"/>
      </w:r>
      <w:r w:rsidR="00FE0481">
        <w:rPr>
          <w:sz w:val="20"/>
          <w:szCs w:val="20"/>
          <w:highlight w:val="yellow"/>
        </w:rPr>
        <w:instrText xml:space="preserve"> REF _Ref142580100 \r \h </w:instrText>
      </w:r>
      <w:r w:rsidR="00FE0481">
        <w:rPr>
          <w:sz w:val="20"/>
          <w:szCs w:val="20"/>
          <w:highlight w:val="yellow"/>
        </w:rPr>
      </w:r>
      <w:r w:rsidR="00FE0481">
        <w:rPr>
          <w:sz w:val="20"/>
          <w:szCs w:val="20"/>
          <w:highlight w:val="yellow"/>
        </w:rPr>
        <w:fldChar w:fldCharType="separate"/>
      </w:r>
      <w:r w:rsidR="0017407B">
        <w:rPr>
          <w:sz w:val="20"/>
          <w:szCs w:val="20"/>
          <w:highlight w:val="yellow"/>
        </w:rPr>
        <w:t>17</w:t>
      </w:r>
      <w:r w:rsidR="00FE0481">
        <w:rPr>
          <w:sz w:val="20"/>
          <w:szCs w:val="20"/>
          <w:highlight w:val="yellow"/>
        </w:rPr>
        <w:fldChar w:fldCharType="end"/>
      </w:r>
      <w:r w:rsidR="004D4F1A" w:rsidRPr="00945022">
        <w:rPr>
          <w:sz w:val="20"/>
          <w:szCs w:val="20"/>
          <w:highlight w:val="yellow"/>
        </w:rPr>
        <w:t xml:space="preserve">. If all or some of the shares are not taken by the existing </w:t>
      </w:r>
      <w:r w:rsidR="00945022" w:rsidRPr="00945022">
        <w:rPr>
          <w:sz w:val="20"/>
          <w:szCs w:val="20"/>
          <w:highlight w:val="yellow"/>
        </w:rPr>
        <w:t>shareholders,</w:t>
      </w:r>
      <w:r w:rsidR="00E85B1C" w:rsidRPr="00945022">
        <w:rPr>
          <w:sz w:val="20"/>
          <w:szCs w:val="20"/>
          <w:highlight w:val="yellow"/>
        </w:rPr>
        <w:t xml:space="preserve"> then either the company can buy back the shares or the seller can then sell to a </w:t>
      </w:r>
      <w:r w:rsidR="00945022" w:rsidRPr="00945022">
        <w:rPr>
          <w:sz w:val="20"/>
          <w:szCs w:val="20"/>
          <w:highlight w:val="yellow"/>
        </w:rPr>
        <w:t>third</w:t>
      </w:r>
      <w:r w:rsidR="00E85B1C" w:rsidRPr="00945022">
        <w:rPr>
          <w:sz w:val="20"/>
          <w:szCs w:val="20"/>
          <w:highlight w:val="yellow"/>
        </w:rPr>
        <w:t xml:space="preserve"> party. </w:t>
      </w:r>
      <w:r w:rsidR="00E85B1C" w:rsidRPr="008579EC">
        <w:rPr>
          <w:b/>
          <w:bCs/>
          <w:sz w:val="20"/>
          <w:szCs w:val="20"/>
          <w:highlight w:val="yellow"/>
        </w:rPr>
        <w:t xml:space="preserve">Question – should the third party first be approved by the </w:t>
      </w:r>
      <w:r w:rsidR="00945022" w:rsidRPr="008579EC">
        <w:rPr>
          <w:b/>
          <w:bCs/>
          <w:sz w:val="20"/>
          <w:szCs w:val="20"/>
          <w:highlight w:val="yellow"/>
        </w:rPr>
        <w:t>directors</w:t>
      </w:r>
      <w:r w:rsidR="00E85B1C" w:rsidRPr="008579EC">
        <w:rPr>
          <w:b/>
          <w:bCs/>
          <w:sz w:val="20"/>
          <w:szCs w:val="20"/>
          <w:highlight w:val="yellow"/>
        </w:rPr>
        <w:t xml:space="preserve"> or the shareholders? </w:t>
      </w:r>
      <w:r w:rsidR="004D4F1A" w:rsidRPr="008579EC">
        <w:rPr>
          <w:b/>
          <w:bCs/>
          <w:sz w:val="20"/>
          <w:szCs w:val="20"/>
          <w:highlight w:val="yellow"/>
        </w:rPr>
        <w:t xml:space="preserve"> </w:t>
      </w:r>
      <w:r w:rsidR="00945022" w:rsidRPr="008579EC">
        <w:rPr>
          <w:b/>
          <w:bCs/>
          <w:sz w:val="20"/>
          <w:szCs w:val="20"/>
          <w:highlight w:val="yellow"/>
        </w:rPr>
        <w:t xml:space="preserve">See Article </w:t>
      </w:r>
      <w:r w:rsidR="00FE0481" w:rsidRPr="008579EC">
        <w:rPr>
          <w:b/>
          <w:bCs/>
          <w:sz w:val="20"/>
          <w:szCs w:val="20"/>
          <w:highlight w:val="yellow"/>
        </w:rPr>
        <w:fldChar w:fldCharType="begin"/>
      </w:r>
      <w:r w:rsidR="00FE0481" w:rsidRPr="008579EC">
        <w:rPr>
          <w:b/>
          <w:bCs/>
          <w:sz w:val="20"/>
          <w:szCs w:val="20"/>
          <w:highlight w:val="yellow"/>
        </w:rPr>
        <w:instrText xml:space="preserve"> REF _Ref142580204 \r \h </w:instrText>
      </w:r>
      <w:r w:rsidR="008579EC">
        <w:rPr>
          <w:b/>
          <w:bCs/>
          <w:sz w:val="20"/>
          <w:szCs w:val="20"/>
          <w:highlight w:val="yellow"/>
        </w:rPr>
        <w:instrText xml:space="preserve"> \* MERGEFORMAT </w:instrText>
      </w:r>
      <w:r w:rsidR="00FE0481" w:rsidRPr="008579EC">
        <w:rPr>
          <w:b/>
          <w:bCs/>
          <w:sz w:val="20"/>
          <w:szCs w:val="20"/>
          <w:highlight w:val="yellow"/>
        </w:rPr>
      </w:r>
      <w:r w:rsidR="00FE0481" w:rsidRPr="008579EC">
        <w:rPr>
          <w:b/>
          <w:bCs/>
          <w:sz w:val="20"/>
          <w:szCs w:val="20"/>
          <w:highlight w:val="yellow"/>
        </w:rPr>
        <w:fldChar w:fldCharType="separate"/>
      </w:r>
      <w:r w:rsidR="0017407B" w:rsidRPr="008579EC">
        <w:rPr>
          <w:b/>
          <w:bCs/>
          <w:sz w:val="20"/>
          <w:szCs w:val="20"/>
          <w:highlight w:val="yellow"/>
        </w:rPr>
        <w:t>16.6</w:t>
      </w:r>
      <w:r w:rsidR="00FE0481" w:rsidRPr="008579EC">
        <w:rPr>
          <w:b/>
          <w:bCs/>
          <w:sz w:val="20"/>
          <w:szCs w:val="20"/>
          <w:highlight w:val="yellow"/>
        </w:rPr>
        <w:fldChar w:fldCharType="end"/>
      </w:r>
      <w:r w:rsidR="00945022" w:rsidRPr="00945022">
        <w:rPr>
          <w:sz w:val="20"/>
          <w:szCs w:val="20"/>
          <w:highlight w:val="yellow"/>
        </w:rPr>
        <w:t xml:space="preserve"> ] </w:t>
      </w:r>
    </w:p>
    <w:p w14:paraId="52259DB8" w14:textId="77777777" w:rsidR="007F2EF3" w:rsidRPr="00C7122C" w:rsidRDefault="007F2EF3" w:rsidP="007F2EF3">
      <w:pPr>
        <w:pStyle w:val="Level2"/>
        <w:rPr>
          <w:spacing w:val="-3"/>
          <w:sz w:val="20"/>
          <w:szCs w:val="20"/>
        </w:rPr>
      </w:pPr>
      <w:bookmarkStart w:id="191" w:name="_Ref233029961"/>
      <w:bookmarkStart w:id="192" w:name="_Ref113876429"/>
      <w:r w:rsidRPr="00C7122C">
        <w:rPr>
          <w:sz w:val="20"/>
          <w:szCs w:val="20"/>
        </w:rPr>
        <w:t xml:space="preserve">Any Shareholder wishing to transfer part or all of the Shares held by him or any interest in such shares (the </w:t>
      </w:r>
      <w:r w:rsidRPr="00C7122C">
        <w:rPr>
          <w:b/>
          <w:sz w:val="20"/>
          <w:szCs w:val="20"/>
        </w:rPr>
        <w:t>Seller</w:t>
      </w:r>
      <w:r w:rsidRPr="00C7122C">
        <w:rPr>
          <w:sz w:val="20"/>
          <w:szCs w:val="20"/>
        </w:rPr>
        <w:t xml:space="preserve">) shall first give a notice in writing (a </w:t>
      </w:r>
      <w:r w:rsidRPr="00C7122C">
        <w:rPr>
          <w:b/>
          <w:sz w:val="20"/>
          <w:szCs w:val="20"/>
        </w:rPr>
        <w:t>Sale Notice</w:t>
      </w:r>
      <w:r w:rsidRPr="00C7122C">
        <w:rPr>
          <w:sz w:val="20"/>
          <w:szCs w:val="20"/>
        </w:rPr>
        <w:t xml:space="preserve">) to the Company specifying the </w:t>
      </w:r>
      <w:r w:rsidRPr="00C7122C">
        <w:rPr>
          <w:sz w:val="20"/>
          <w:szCs w:val="20"/>
        </w:rPr>
        <w:lastRenderedPageBreak/>
        <w:t>number, class and de-noting numbers (if any) of the shares which, or the interest in which, the Seller wishes to transfer (</w:t>
      </w:r>
      <w:r w:rsidRPr="00C7122C">
        <w:rPr>
          <w:b/>
          <w:sz w:val="20"/>
          <w:szCs w:val="20"/>
        </w:rPr>
        <w:t>Sale Shares</w:t>
      </w:r>
      <w:r w:rsidRPr="00C7122C">
        <w:rPr>
          <w:sz w:val="20"/>
          <w:szCs w:val="20"/>
        </w:rPr>
        <w:t xml:space="preserve">) which notice shall constitute the Company the agent of the Seller for the transfer of the Sale Shares at the price per Sale Share determined in accordance with </w:t>
      </w:r>
      <w:r w:rsidR="00D74A87" w:rsidRPr="00C7122C">
        <w:rPr>
          <w:sz w:val="20"/>
          <w:szCs w:val="20"/>
        </w:rPr>
        <w:t>a</w:t>
      </w:r>
      <w:r w:rsidRPr="00C7122C">
        <w:rPr>
          <w:sz w:val="20"/>
          <w:szCs w:val="20"/>
        </w:rPr>
        <w:t xml:space="preserve">rticle </w:t>
      </w:r>
      <w:r w:rsidR="00D74A87" w:rsidRPr="00C7122C">
        <w:rPr>
          <w:sz w:val="20"/>
          <w:szCs w:val="20"/>
        </w:rPr>
        <w:fldChar w:fldCharType="begin"/>
      </w:r>
      <w:r w:rsidR="00D74A87" w:rsidRPr="00C7122C">
        <w:rPr>
          <w:sz w:val="20"/>
          <w:szCs w:val="20"/>
        </w:rPr>
        <w:instrText xml:space="preserve"> REF _Ref142318912 \r \h </w:instrText>
      </w:r>
      <w:r w:rsidR="00C7122C">
        <w:rPr>
          <w:sz w:val="20"/>
          <w:szCs w:val="20"/>
        </w:rPr>
        <w:instrText xml:space="preserve"> \* MERGEFORMAT </w:instrText>
      </w:r>
      <w:r w:rsidR="00D74A87" w:rsidRPr="00C7122C">
        <w:rPr>
          <w:sz w:val="20"/>
          <w:szCs w:val="20"/>
        </w:rPr>
      </w:r>
      <w:r w:rsidR="00D74A87" w:rsidRPr="00C7122C">
        <w:rPr>
          <w:sz w:val="20"/>
          <w:szCs w:val="20"/>
        </w:rPr>
        <w:fldChar w:fldCharType="separate"/>
      </w:r>
      <w:r w:rsidR="0017407B">
        <w:rPr>
          <w:sz w:val="20"/>
          <w:szCs w:val="20"/>
        </w:rPr>
        <w:t>17</w:t>
      </w:r>
      <w:r w:rsidR="00D74A87" w:rsidRPr="00C7122C">
        <w:rPr>
          <w:sz w:val="20"/>
          <w:szCs w:val="20"/>
        </w:rPr>
        <w:fldChar w:fldCharType="end"/>
      </w:r>
      <w:r w:rsidR="00D74A87" w:rsidRPr="00C7122C">
        <w:rPr>
          <w:sz w:val="20"/>
          <w:szCs w:val="20"/>
        </w:rPr>
        <w:t xml:space="preserve"> </w:t>
      </w:r>
      <w:r w:rsidRPr="00C7122C">
        <w:rPr>
          <w:sz w:val="20"/>
          <w:szCs w:val="20"/>
        </w:rPr>
        <w:t xml:space="preserve">(the </w:t>
      </w:r>
      <w:r w:rsidRPr="00C7122C">
        <w:rPr>
          <w:b/>
          <w:sz w:val="20"/>
          <w:szCs w:val="20"/>
        </w:rPr>
        <w:t>Price</w:t>
      </w:r>
      <w:r w:rsidRPr="00C7122C">
        <w:rPr>
          <w:sz w:val="20"/>
          <w:szCs w:val="20"/>
        </w:rPr>
        <w:t xml:space="preserve">) and otherwise in accordance with the provisions of this </w:t>
      </w:r>
      <w:r w:rsidR="00D74A87" w:rsidRPr="00C7122C">
        <w:rPr>
          <w:sz w:val="20"/>
          <w:szCs w:val="20"/>
        </w:rPr>
        <w:t>a</w:t>
      </w:r>
      <w:r w:rsidRPr="00C7122C">
        <w:rPr>
          <w:sz w:val="20"/>
          <w:szCs w:val="20"/>
        </w:rPr>
        <w:t xml:space="preserve">rticle </w:t>
      </w:r>
      <w:bookmarkEnd w:id="191"/>
      <w:r w:rsidRPr="00C7122C">
        <w:rPr>
          <w:sz w:val="20"/>
          <w:szCs w:val="20"/>
        </w:rPr>
        <w:fldChar w:fldCharType="begin"/>
      </w:r>
      <w:r w:rsidRPr="00C7122C">
        <w:rPr>
          <w:sz w:val="20"/>
          <w:szCs w:val="20"/>
        </w:rPr>
        <w:instrText xml:space="preserve"> REF a73365 \r \h </w:instrText>
      </w:r>
      <w:r w:rsidR="00D90415"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rPr>
        <w:t>16</w:t>
      </w:r>
      <w:r w:rsidRPr="00C7122C">
        <w:rPr>
          <w:sz w:val="20"/>
          <w:szCs w:val="20"/>
        </w:rPr>
        <w:fldChar w:fldCharType="end"/>
      </w:r>
      <w:r w:rsidRPr="00C7122C">
        <w:rPr>
          <w:sz w:val="20"/>
          <w:szCs w:val="20"/>
        </w:rPr>
        <w:t>.</w:t>
      </w:r>
      <w:bookmarkEnd w:id="192"/>
      <w:r w:rsidRPr="00C7122C">
        <w:rPr>
          <w:sz w:val="20"/>
          <w:szCs w:val="20"/>
        </w:rPr>
        <w:t xml:space="preserve"> </w:t>
      </w:r>
    </w:p>
    <w:p w14:paraId="08207DA1" w14:textId="0F6DEA4D" w:rsidR="007F2EF3" w:rsidRPr="00C7122C" w:rsidRDefault="007F2EF3" w:rsidP="007F2EF3">
      <w:pPr>
        <w:pStyle w:val="Level2"/>
        <w:rPr>
          <w:spacing w:val="-3"/>
          <w:sz w:val="20"/>
          <w:szCs w:val="20"/>
        </w:rPr>
      </w:pPr>
      <w:r w:rsidRPr="00C7122C">
        <w:rPr>
          <w:sz w:val="20"/>
          <w:szCs w:val="20"/>
        </w:rPr>
        <w:t xml:space="preserve">On receipt of a Sale Notice the Company shall offer at the Price such Sale Shares to the </w:t>
      </w:r>
      <w:r w:rsidR="00691A23" w:rsidRPr="00C7122C">
        <w:rPr>
          <w:sz w:val="20"/>
          <w:szCs w:val="20"/>
        </w:rPr>
        <w:t xml:space="preserve">holders of </w:t>
      </w:r>
      <w:r w:rsidR="00092D22">
        <w:rPr>
          <w:sz w:val="20"/>
          <w:szCs w:val="20"/>
        </w:rPr>
        <w:t>Ordinary Shares</w:t>
      </w:r>
      <w:r w:rsidRPr="00C7122C">
        <w:rPr>
          <w:sz w:val="20"/>
          <w:szCs w:val="20"/>
        </w:rPr>
        <w:t xml:space="preserve">, in proportion as nearly as may be to the number of </w:t>
      </w:r>
      <w:r w:rsidR="00092D22">
        <w:rPr>
          <w:sz w:val="20"/>
          <w:szCs w:val="20"/>
        </w:rPr>
        <w:t>Ordinary Shares</w:t>
      </w:r>
      <w:r w:rsidRPr="00C7122C">
        <w:rPr>
          <w:sz w:val="20"/>
          <w:szCs w:val="20"/>
        </w:rPr>
        <w:t xml:space="preserve"> then held by them respectively. Such offer shall to the extent that the same is not accepted within ninety days be deemed to be declined. </w:t>
      </w:r>
    </w:p>
    <w:p w14:paraId="61803E89" w14:textId="06C24D2A" w:rsidR="007F2EF3" w:rsidRPr="00C7122C" w:rsidRDefault="007F2EF3" w:rsidP="007F2EF3">
      <w:pPr>
        <w:pStyle w:val="Level2"/>
        <w:rPr>
          <w:sz w:val="20"/>
          <w:szCs w:val="20"/>
        </w:rPr>
      </w:pPr>
      <w:bookmarkStart w:id="193" w:name="_Ref233039004"/>
      <w:r w:rsidRPr="00C7122C">
        <w:rPr>
          <w:sz w:val="20"/>
          <w:szCs w:val="20"/>
        </w:rPr>
        <w:t xml:space="preserve">If the </w:t>
      </w:r>
      <w:r w:rsidR="00691A23" w:rsidRPr="00C7122C">
        <w:rPr>
          <w:sz w:val="20"/>
          <w:szCs w:val="20"/>
        </w:rPr>
        <w:t xml:space="preserve">holders of </w:t>
      </w:r>
      <w:r w:rsidR="00092D22">
        <w:rPr>
          <w:sz w:val="20"/>
          <w:szCs w:val="20"/>
        </w:rPr>
        <w:t>Ordinary Shares</w:t>
      </w:r>
      <w:r w:rsidR="00691A23" w:rsidRPr="00C7122C">
        <w:rPr>
          <w:sz w:val="20"/>
          <w:szCs w:val="20"/>
        </w:rPr>
        <w:t xml:space="preserve"> </w:t>
      </w:r>
      <w:r w:rsidRPr="00C7122C">
        <w:rPr>
          <w:sz w:val="20"/>
          <w:szCs w:val="20"/>
        </w:rPr>
        <w:t xml:space="preserve">(or </w:t>
      </w:r>
      <w:r w:rsidR="00691A23" w:rsidRPr="00C7122C">
        <w:rPr>
          <w:sz w:val="20"/>
          <w:szCs w:val="20"/>
        </w:rPr>
        <w:t>any</w:t>
      </w:r>
      <w:r w:rsidRPr="00C7122C">
        <w:rPr>
          <w:sz w:val="20"/>
          <w:szCs w:val="20"/>
        </w:rPr>
        <w:t xml:space="preserve"> of them) shall within ninety days after service of a Sale Notice agree to purchase all or any of the Sale Shares the Company shall give notice thereof to the Seller which notice shall </w:t>
      </w:r>
      <w:proofErr w:type="gramStart"/>
      <w:r w:rsidRPr="00C7122C">
        <w:rPr>
          <w:sz w:val="20"/>
          <w:szCs w:val="20"/>
        </w:rPr>
        <w:t>provide:-</w:t>
      </w:r>
      <w:bookmarkEnd w:id="193"/>
      <w:proofErr w:type="gramEnd"/>
    </w:p>
    <w:p w14:paraId="0FEBFEB1" w14:textId="77777777" w:rsidR="007F2EF3" w:rsidRPr="00C7122C" w:rsidRDefault="007F2EF3" w:rsidP="007F2EF3">
      <w:pPr>
        <w:pStyle w:val="Level3"/>
        <w:rPr>
          <w:sz w:val="20"/>
          <w:szCs w:val="20"/>
        </w:rPr>
      </w:pPr>
      <w:r w:rsidRPr="00C7122C">
        <w:rPr>
          <w:sz w:val="20"/>
          <w:szCs w:val="20"/>
        </w:rPr>
        <w:t>the price for the Sale Shares is to be the Price;</w:t>
      </w:r>
    </w:p>
    <w:p w14:paraId="6B967582" w14:textId="77777777" w:rsidR="007F2EF3" w:rsidRPr="00C7122C" w:rsidRDefault="007F2EF3" w:rsidP="007F2EF3">
      <w:pPr>
        <w:pStyle w:val="Level3"/>
        <w:rPr>
          <w:sz w:val="20"/>
          <w:szCs w:val="20"/>
        </w:rPr>
      </w:pPr>
      <w:bookmarkStart w:id="194" w:name="_Ref233034496"/>
      <w:r w:rsidRPr="00C7122C">
        <w:rPr>
          <w:sz w:val="20"/>
          <w:szCs w:val="20"/>
        </w:rPr>
        <w:t xml:space="preserve">the Seller shall have the right to revoke his Sale Notice and the purchasing Shareholders shall have the right to withdraw from the proposed purchase until the Price is agreed between them or within seven days of the date of the Company’s accountants’ or independent expert’s certificate referred to in </w:t>
      </w:r>
      <w:r w:rsidR="00691A23" w:rsidRPr="00C7122C">
        <w:rPr>
          <w:sz w:val="20"/>
          <w:szCs w:val="20"/>
        </w:rPr>
        <w:t>a</w:t>
      </w:r>
      <w:r w:rsidRPr="00C7122C">
        <w:rPr>
          <w:sz w:val="20"/>
          <w:szCs w:val="20"/>
        </w:rPr>
        <w:t>rticle 17 hereof whichever shall be applicable; and</w:t>
      </w:r>
      <w:bookmarkEnd w:id="194"/>
    </w:p>
    <w:p w14:paraId="0626F8B0" w14:textId="77777777" w:rsidR="007F2EF3" w:rsidRPr="00C7122C" w:rsidRDefault="007F2EF3" w:rsidP="007F2EF3">
      <w:pPr>
        <w:pStyle w:val="Level3"/>
        <w:rPr>
          <w:sz w:val="20"/>
          <w:szCs w:val="20"/>
        </w:rPr>
      </w:pPr>
      <w:bookmarkStart w:id="195" w:name="_Ref233034726"/>
      <w:r w:rsidRPr="00C7122C">
        <w:rPr>
          <w:sz w:val="20"/>
          <w:szCs w:val="20"/>
        </w:rPr>
        <w:t xml:space="preserve">if the Seller does not revoke his Sale Notice and the </w:t>
      </w:r>
      <w:r w:rsidR="009B5143" w:rsidRPr="00C7122C">
        <w:rPr>
          <w:sz w:val="20"/>
          <w:szCs w:val="20"/>
        </w:rPr>
        <w:t>purchasing</w:t>
      </w:r>
      <w:r w:rsidRPr="00C7122C">
        <w:rPr>
          <w:sz w:val="20"/>
          <w:szCs w:val="20"/>
        </w:rPr>
        <w:t xml:space="preserve"> Shareholders do not withdraw pursuant to </w:t>
      </w:r>
      <w:r w:rsidR="00691A23" w:rsidRPr="00C7122C">
        <w:rPr>
          <w:sz w:val="20"/>
          <w:szCs w:val="20"/>
        </w:rPr>
        <w:t>a</w:t>
      </w:r>
      <w:r w:rsidRPr="00C7122C">
        <w:rPr>
          <w:sz w:val="20"/>
          <w:szCs w:val="20"/>
        </w:rPr>
        <w:t xml:space="preserve">rticle </w:t>
      </w:r>
      <w:r w:rsidRPr="00C7122C">
        <w:rPr>
          <w:sz w:val="20"/>
          <w:szCs w:val="20"/>
        </w:rPr>
        <w:fldChar w:fldCharType="begin"/>
      </w:r>
      <w:r w:rsidRPr="00C7122C">
        <w:rPr>
          <w:sz w:val="20"/>
          <w:szCs w:val="20"/>
        </w:rPr>
        <w:instrText xml:space="preserve"> REF _Ref233034496 \r \h  \* MERGEFORMAT </w:instrText>
      </w:r>
      <w:r w:rsidRPr="00C7122C">
        <w:rPr>
          <w:sz w:val="20"/>
          <w:szCs w:val="20"/>
        </w:rPr>
      </w:r>
      <w:r w:rsidRPr="00C7122C">
        <w:rPr>
          <w:sz w:val="20"/>
          <w:szCs w:val="20"/>
        </w:rPr>
        <w:fldChar w:fldCharType="separate"/>
      </w:r>
      <w:r w:rsidR="0017407B">
        <w:rPr>
          <w:sz w:val="20"/>
          <w:szCs w:val="20"/>
        </w:rPr>
        <w:t>16.4.2</w:t>
      </w:r>
      <w:r w:rsidRPr="00C7122C">
        <w:rPr>
          <w:sz w:val="20"/>
          <w:szCs w:val="20"/>
        </w:rPr>
        <w:fldChar w:fldCharType="end"/>
      </w:r>
      <w:r w:rsidRPr="00C7122C">
        <w:rPr>
          <w:sz w:val="20"/>
          <w:szCs w:val="20"/>
        </w:rPr>
        <w:t xml:space="preserve"> then they shall be bound to complete the sale and purchase at the registered office of the Company within seven days of the date that the Price is agreed between them or the date of the Company’s accountants’ or </w:t>
      </w:r>
      <w:r w:rsidR="00945022">
        <w:rPr>
          <w:sz w:val="20"/>
          <w:szCs w:val="20"/>
        </w:rPr>
        <w:t>i</w:t>
      </w:r>
      <w:r w:rsidRPr="00C7122C">
        <w:rPr>
          <w:sz w:val="20"/>
          <w:szCs w:val="20"/>
        </w:rPr>
        <w:t>ndependent expert’s certificate as applicable.</w:t>
      </w:r>
      <w:bookmarkEnd w:id="195"/>
    </w:p>
    <w:p w14:paraId="201F202D" w14:textId="2974CBF9" w:rsidR="007F2EF3" w:rsidRPr="00C7122C" w:rsidRDefault="007F2EF3" w:rsidP="007F2EF3">
      <w:pPr>
        <w:pStyle w:val="Level2"/>
        <w:rPr>
          <w:sz w:val="20"/>
          <w:szCs w:val="20"/>
        </w:rPr>
      </w:pPr>
      <w:bookmarkStart w:id="196" w:name="_Ref240789311"/>
      <w:r w:rsidRPr="00C7122C">
        <w:rPr>
          <w:sz w:val="20"/>
          <w:szCs w:val="20"/>
        </w:rPr>
        <w:t xml:space="preserve">If the Company shall not within the space of ninety days after service of a Sale Notice find purchasing Shareholders for all of the Sale Shares or if through no default of the Seller the purchase of any of the Sale Shares is not completed within the time period provided by </w:t>
      </w:r>
      <w:r w:rsidR="00691A23" w:rsidRPr="00C7122C">
        <w:rPr>
          <w:sz w:val="20"/>
          <w:szCs w:val="20"/>
        </w:rPr>
        <w:t>a</w:t>
      </w:r>
      <w:r w:rsidRPr="00C7122C">
        <w:rPr>
          <w:sz w:val="20"/>
          <w:szCs w:val="20"/>
        </w:rPr>
        <w:t xml:space="preserve">rticle </w:t>
      </w:r>
      <w:r w:rsidRPr="00C7122C">
        <w:rPr>
          <w:sz w:val="20"/>
          <w:szCs w:val="20"/>
        </w:rPr>
        <w:fldChar w:fldCharType="begin"/>
      </w:r>
      <w:r w:rsidRPr="00C7122C">
        <w:rPr>
          <w:sz w:val="20"/>
          <w:szCs w:val="20"/>
        </w:rPr>
        <w:instrText xml:space="preserve"> REF _Ref233034726 \r \h  \* MERGEFORMAT </w:instrText>
      </w:r>
      <w:r w:rsidRPr="00C7122C">
        <w:rPr>
          <w:sz w:val="20"/>
          <w:szCs w:val="20"/>
        </w:rPr>
      </w:r>
      <w:r w:rsidRPr="00C7122C">
        <w:rPr>
          <w:sz w:val="20"/>
          <w:szCs w:val="20"/>
        </w:rPr>
        <w:fldChar w:fldCharType="separate"/>
      </w:r>
      <w:r w:rsidR="0017407B">
        <w:rPr>
          <w:sz w:val="20"/>
          <w:szCs w:val="20"/>
        </w:rPr>
        <w:t>16.4.3</w:t>
      </w:r>
      <w:r w:rsidRPr="00C7122C">
        <w:rPr>
          <w:sz w:val="20"/>
          <w:szCs w:val="20"/>
        </w:rPr>
        <w:fldChar w:fldCharType="end"/>
      </w:r>
      <w:r w:rsidRPr="00C7122C">
        <w:rPr>
          <w:sz w:val="20"/>
          <w:szCs w:val="20"/>
        </w:rPr>
        <w:t>, the Company may, subject to the passing of any required resolutions and the obtaining of such tax clearances as the Directors consider appropriate,</w:t>
      </w:r>
      <w:r w:rsidRPr="00C7122C">
        <w:rPr>
          <w:i/>
          <w:iCs/>
          <w:sz w:val="20"/>
          <w:szCs w:val="20"/>
        </w:rPr>
        <w:t xml:space="preserve"> </w:t>
      </w:r>
      <w:r w:rsidRPr="00C7122C">
        <w:rPr>
          <w:sz w:val="20"/>
          <w:szCs w:val="20"/>
        </w:rPr>
        <w:t>at any time within ninety</w:t>
      </w:r>
      <w:r w:rsidRPr="00C7122C">
        <w:rPr>
          <w:i/>
          <w:iCs/>
          <w:sz w:val="20"/>
          <w:szCs w:val="20"/>
        </w:rPr>
        <w:t xml:space="preserve"> </w:t>
      </w:r>
      <w:r w:rsidRPr="00C7122C">
        <w:rPr>
          <w:sz w:val="20"/>
          <w:szCs w:val="20"/>
        </w:rPr>
        <w:t>days after the expiry of the said ninety days or within ninety</w:t>
      </w:r>
      <w:r w:rsidRPr="00C7122C">
        <w:rPr>
          <w:i/>
          <w:iCs/>
          <w:sz w:val="20"/>
          <w:szCs w:val="20"/>
        </w:rPr>
        <w:t xml:space="preserve"> </w:t>
      </w:r>
      <w:r w:rsidRPr="00C7122C">
        <w:rPr>
          <w:sz w:val="20"/>
          <w:szCs w:val="20"/>
        </w:rPr>
        <w:t xml:space="preserve">days after the time period provided by </w:t>
      </w:r>
      <w:r w:rsidR="00691A23" w:rsidRPr="00C7122C">
        <w:rPr>
          <w:sz w:val="20"/>
          <w:szCs w:val="20"/>
        </w:rPr>
        <w:t>a</w:t>
      </w:r>
      <w:r w:rsidRPr="00C7122C">
        <w:rPr>
          <w:sz w:val="20"/>
          <w:szCs w:val="20"/>
        </w:rPr>
        <w:t xml:space="preserve">rticle </w:t>
      </w:r>
      <w:r w:rsidRPr="00C7122C">
        <w:rPr>
          <w:sz w:val="20"/>
          <w:szCs w:val="20"/>
        </w:rPr>
        <w:fldChar w:fldCharType="begin"/>
      </w:r>
      <w:r w:rsidRPr="00C7122C">
        <w:rPr>
          <w:sz w:val="20"/>
          <w:szCs w:val="20"/>
        </w:rPr>
        <w:instrText xml:space="preserve"> REF _Ref233034726 \r \h  \* MERGEFORMAT </w:instrText>
      </w:r>
      <w:r w:rsidRPr="00C7122C">
        <w:rPr>
          <w:sz w:val="20"/>
          <w:szCs w:val="20"/>
        </w:rPr>
      </w:r>
      <w:r w:rsidRPr="00C7122C">
        <w:rPr>
          <w:sz w:val="20"/>
          <w:szCs w:val="20"/>
        </w:rPr>
        <w:fldChar w:fldCharType="separate"/>
      </w:r>
      <w:r w:rsidR="0017407B">
        <w:rPr>
          <w:sz w:val="20"/>
          <w:szCs w:val="20"/>
        </w:rPr>
        <w:t>16.4.3</w:t>
      </w:r>
      <w:r w:rsidRPr="00C7122C">
        <w:rPr>
          <w:sz w:val="20"/>
          <w:szCs w:val="20"/>
        </w:rPr>
        <w:fldChar w:fldCharType="end"/>
      </w:r>
      <w:r w:rsidRPr="00C7122C">
        <w:rPr>
          <w:sz w:val="20"/>
          <w:szCs w:val="20"/>
        </w:rPr>
        <w:t xml:space="preserve"> (as the case may be) (the </w:t>
      </w:r>
      <w:r w:rsidRPr="00C7122C">
        <w:rPr>
          <w:b/>
          <w:sz w:val="20"/>
          <w:szCs w:val="20"/>
        </w:rPr>
        <w:t>Company Purchase Period</w:t>
      </w:r>
      <w:r w:rsidRPr="00C7122C">
        <w:rPr>
          <w:sz w:val="20"/>
          <w:szCs w:val="20"/>
        </w:rPr>
        <w:t>)</w:t>
      </w:r>
      <w:r w:rsidRPr="00C7122C">
        <w:rPr>
          <w:i/>
          <w:iCs/>
          <w:sz w:val="20"/>
          <w:szCs w:val="20"/>
        </w:rPr>
        <w:t xml:space="preserve"> </w:t>
      </w:r>
      <w:r w:rsidRPr="00C7122C">
        <w:rPr>
          <w:sz w:val="20"/>
          <w:szCs w:val="20"/>
        </w:rPr>
        <w:t xml:space="preserve">purchase such of the Sale Shares as were not accepted by the </w:t>
      </w:r>
      <w:r w:rsidR="009B5143" w:rsidRPr="00C7122C">
        <w:rPr>
          <w:sz w:val="20"/>
          <w:szCs w:val="20"/>
        </w:rPr>
        <w:t xml:space="preserve">holders of </w:t>
      </w:r>
      <w:r w:rsidR="00092D22">
        <w:rPr>
          <w:sz w:val="20"/>
          <w:szCs w:val="20"/>
        </w:rPr>
        <w:t>Ordinary Shares</w:t>
      </w:r>
      <w:r w:rsidRPr="00C7122C">
        <w:rPr>
          <w:sz w:val="20"/>
          <w:szCs w:val="20"/>
        </w:rPr>
        <w:t xml:space="preserve"> or in respect of which the sale was not completed as aforesaid at the Price (if already determined under article </w:t>
      </w:r>
      <w:r w:rsidR="009B5143" w:rsidRPr="00C7122C">
        <w:rPr>
          <w:sz w:val="20"/>
          <w:szCs w:val="20"/>
          <w:highlight w:val="yellow"/>
        </w:rPr>
        <w:fldChar w:fldCharType="begin"/>
      </w:r>
      <w:r w:rsidR="009B5143" w:rsidRPr="00C7122C">
        <w:rPr>
          <w:sz w:val="20"/>
          <w:szCs w:val="20"/>
        </w:rPr>
        <w:instrText xml:space="preserve"> REF _Ref142319380 \r \h </w:instrText>
      </w:r>
      <w:r w:rsidR="00C7122C">
        <w:rPr>
          <w:sz w:val="20"/>
          <w:szCs w:val="20"/>
          <w:highlight w:val="yellow"/>
        </w:rPr>
        <w:instrText xml:space="preserve"> \* MERGEFORMAT </w:instrText>
      </w:r>
      <w:r w:rsidR="009B5143" w:rsidRPr="00C7122C">
        <w:rPr>
          <w:sz w:val="20"/>
          <w:szCs w:val="20"/>
          <w:highlight w:val="yellow"/>
        </w:rPr>
      </w:r>
      <w:r w:rsidR="009B5143" w:rsidRPr="00C7122C">
        <w:rPr>
          <w:sz w:val="20"/>
          <w:szCs w:val="20"/>
          <w:highlight w:val="yellow"/>
        </w:rPr>
        <w:fldChar w:fldCharType="separate"/>
      </w:r>
      <w:r w:rsidR="0017407B">
        <w:rPr>
          <w:sz w:val="20"/>
          <w:szCs w:val="20"/>
        </w:rPr>
        <w:t>17</w:t>
      </w:r>
      <w:r w:rsidR="009B5143" w:rsidRPr="00C7122C">
        <w:rPr>
          <w:sz w:val="20"/>
          <w:szCs w:val="20"/>
          <w:highlight w:val="yellow"/>
        </w:rPr>
        <w:fldChar w:fldCharType="end"/>
      </w:r>
      <w:r w:rsidRPr="00C7122C">
        <w:rPr>
          <w:sz w:val="20"/>
          <w:szCs w:val="20"/>
        </w:rPr>
        <w:t xml:space="preserve">) or, if not already so determined, the provisions of article </w:t>
      </w:r>
      <w:r w:rsidR="009B5143" w:rsidRPr="00C7122C">
        <w:rPr>
          <w:sz w:val="20"/>
          <w:szCs w:val="20"/>
        </w:rPr>
        <w:fldChar w:fldCharType="begin"/>
      </w:r>
      <w:r w:rsidR="009B5143" w:rsidRPr="00C7122C">
        <w:rPr>
          <w:sz w:val="20"/>
          <w:szCs w:val="20"/>
        </w:rPr>
        <w:instrText xml:space="preserve"> REF _Ref142319390 \r \h </w:instrText>
      </w:r>
      <w:r w:rsidR="00C7122C">
        <w:rPr>
          <w:sz w:val="20"/>
          <w:szCs w:val="20"/>
        </w:rPr>
        <w:instrText xml:space="preserve"> \* MERGEFORMAT </w:instrText>
      </w:r>
      <w:r w:rsidR="009B5143" w:rsidRPr="00C7122C">
        <w:rPr>
          <w:sz w:val="20"/>
          <w:szCs w:val="20"/>
        </w:rPr>
      </w:r>
      <w:r w:rsidR="009B5143" w:rsidRPr="00C7122C">
        <w:rPr>
          <w:sz w:val="20"/>
          <w:szCs w:val="20"/>
        </w:rPr>
        <w:fldChar w:fldCharType="separate"/>
      </w:r>
      <w:r w:rsidR="0017407B">
        <w:rPr>
          <w:sz w:val="20"/>
          <w:szCs w:val="20"/>
        </w:rPr>
        <w:t>17</w:t>
      </w:r>
      <w:r w:rsidR="009B5143" w:rsidRPr="00C7122C">
        <w:rPr>
          <w:sz w:val="20"/>
          <w:szCs w:val="20"/>
        </w:rPr>
        <w:fldChar w:fldCharType="end"/>
      </w:r>
      <w:r w:rsidR="0017407B">
        <w:rPr>
          <w:sz w:val="20"/>
          <w:szCs w:val="20"/>
        </w:rPr>
        <w:t xml:space="preserve"> </w:t>
      </w:r>
      <w:r w:rsidRPr="00C7122C">
        <w:rPr>
          <w:sz w:val="20"/>
          <w:szCs w:val="20"/>
        </w:rPr>
        <w:t xml:space="preserve">shall apply mutatis mutandis and the time period in article </w:t>
      </w:r>
      <w:r w:rsidRPr="00C7122C">
        <w:rPr>
          <w:sz w:val="20"/>
          <w:szCs w:val="20"/>
          <w:highlight w:val="yellow"/>
        </w:rPr>
        <w:fldChar w:fldCharType="begin"/>
      </w:r>
      <w:r w:rsidRPr="00C7122C">
        <w:rPr>
          <w:sz w:val="20"/>
          <w:szCs w:val="20"/>
        </w:rPr>
        <w:instrText xml:space="preserve"> REF a635429 \r \h </w:instrText>
      </w:r>
      <w:r w:rsidR="00D90415" w:rsidRPr="00C7122C">
        <w:rPr>
          <w:sz w:val="20"/>
          <w:szCs w:val="20"/>
          <w:highlight w:val="yellow"/>
        </w:rPr>
        <w:instrText xml:space="preserve"> \* MERGEFORMAT </w:instrText>
      </w:r>
      <w:r w:rsidRPr="00C7122C">
        <w:rPr>
          <w:sz w:val="20"/>
          <w:szCs w:val="20"/>
          <w:highlight w:val="yellow"/>
        </w:rPr>
      </w:r>
      <w:r w:rsidRPr="00C7122C">
        <w:rPr>
          <w:sz w:val="20"/>
          <w:szCs w:val="20"/>
          <w:highlight w:val="yellow"/>
        </w:rPr>
        <w:fldChar w:fldCharType="separate"/>
      </w:r>
      <w:r w:rsidR="0017407B">
        <w:rPr>
          <w:sz w:val="20"/>
          <w:szCs w:val="20"/>
        </w:rPr>
        <w:t>17.1</w:t>
      </w:r>
      <w:r w:rsidRPr="00C7122C">
        <w:rPr>
          <w:sz w:val="20"/>
          <w:szCs w:val="20"/>
          <w:highlight w:val="yellow"/>
        </w:rPr>
        <w:fldChar w:fldCharType="end"/>
      </w:r>
      <w:r w:rsidRPr="00C7122C">
        <w:rPr>
          <w:sz w:val="20"/>
          <w:szCs w:val="20"/>
        </w:rPr>
        <w:t xml:space="preserve"> shall be “within twenty-eight days of the commencement of the Company Purchase Period (or such longer period as may be agreed between the Seller and the Company)”. The Seller and the Company shall be bound to complete the said sale and purchase at the registered office of the Company within seven days of the later of (a) the agreement or determination of the Price and (b) the obtaining of such tax clearances as the directors consider appropriate and the passing of all necessary resolutions required to enable the purchase to take place.</w:t>
      </w:r>
      <w:bookmarkEnd w:id="196"/>
    </w:p>
    <w:p w14:paraId="65222694" w14:textId="6356815A" w:rsidR="00C7122C" w:rsidRPr="00C7122C" w:rsidRDefault="00C7122C" w:rsidP="00C7122C">
      <w:pPr>
        <w:pStyle w:val="Level2"/>
        <w:rPr>
          <w:sz w:val="20"/>
          <w:szCs w:val="20"/>
        </w:rPr>
      </w:pPr>
      <w:bookmarkStart w:id="197" w:name="_Ref142580204"/>
      <w:r w:rsidRPr="00C7122C">
        <w:rPr>
          <w:sz w:val="20"/>
          <w:szCs w:val="20"/>
        </w:rPr>
        <w:t xml:space="preserve">If the relevant provisions of this Article 16 have been exhausted and some or all of the Sale Shares comprised in the Sale Notice have through no default of the Seller not been sold then and in such event the Seller (or his personal representatives, as applicable) shall be at liberty at any time within sixty days after the expiry of the Company Purchase Period to transfer any such Sale Shares as were not accepted by purchasing shareholders or in respect of which the sale was not completed </w:t>
      </w:r>
      <w:r w:rsidRPr="00C7122C">
        <w:rPr>
          <w:sz w:val="20"/>
          <w:szCs w:val="20"/>
        </w:rPr>
        <w:lastRenderedPageBreak/>
        <w:t xml:space="preserve">as aforesaid or which were not purchased by the Company within the Company Purchase Period as follows to any person approved by the </w:t>
      </w:r>
      <w:r w:rsidR="00945022">
        <w:rPr>
          <w:sz w:val="20"/>
          <w:szCs w:val="20"/>
        </w:rPr>
        <w:t>Directors</w:t>
      </w:r>
      <w:r w:rsidRPr="00C7122C">
        <w:rPr>
          <w:sz w:val="20"/>
          <w:szCs w:val="20"/>
        </w:rPr>
        <w:t xml:space="preserve"> in writing at a price per Sale Share not less than the Price (without any deduction, rebate or allowance to the proposed purchaser) and on terms as to payment of the price for such Sale Shares no more favourable to the proposed purchaser than those offered to the Company and the holders of </w:t>
      </w:r>
      <w:r w:rsidR="00092D22">
        <w:rPr>
          <w:sz w:val="20"/>
          <w:szCs w:val="20"/>
        </w:rPr>
        <w:t>Ordinary Shares</w:t>
      </w:r>
      <w:r w:rsidRPr="00C7122C">
        <w:rPr>
          <w:sz w:val="20"/>
          <w:szCs w:val="20"/>
        </w:rPr>
        <w:t xml:space="preserve"> (as applicable). Before approving any transfer the Directors may require the Seller and the purchaser to make statutory declarations that the price payable per Sale Share is not less than the Price and is not subject to any deduction, rebate or allowance and the terms as to payment of the price for such Sale Shares are no more favourable to the proposed purchaser than those offered to the Company and the holders of </w:t>
      </w:r>
      <w:r w:rsidR="00092D22">
        <w:rPr>
          <w:sz w:val="20"/>
          <w:szCs w:val="20"/>
        </w:rPr>
        <w:t>Ordinary Shares</w:t>
      </w:r>
      <w:r w:rsidRPr="00C7122C">
        <w:rPr>
          <w:sz w:val="20"/>
          <w:szCs w:val="20"/>
        </w:rPr>
        <w:t xml:space="preserve"> (as applicable).</w:t>
      </w:r>
      <w:bookmarkEnd w:id="197"/>
    </w:p>
    <w:p w14:paraId="6A2ED980" w14:textId="77777777" w:rsidR="009B5143" w:rsidRPr="00C7122C" w:rsidRDefault="00C7122C" w:rsidP="00C7122C">
      <w:pPr>
        <w:pStyle w:val="Level2"/>
        <w:rPr>
          <w:sz w:val="20"/>
          <w:szCs w:val="20"/>
        </w:rPr>
      </w:pPr>
      <w:bookmarkStart w:id="198" w:name="_Ref142580143"/>
      <w:r w:rsidRPr="00C7122C">
        <w:rPr>
          <w:sz w:val="20"/>
          <w:szCs w:val="20"/>
        </w:rPr>
        <w:t>If a Seller fails to carry out the sale of any of the Sale Shares after he has become bound to do so under these Articles then and in any such event the Directors may authorise some person to execute as agent for and on behalf of the defaulting Shareholder a transfer of the Sale Shares to the purchasing Shareholders or the Company (as the case may be) and the Company may give a good receipt for the Price and, in respect of any purchasing Shareholders, may enter in the register of members the purchasing and/or Shareholders (as applicable) as holders thereof and issue to them certificates for the same whereupon the purchasing Shareholders (as applicable) shall become indefeasibly entitled thereto, and in the case of a purchase by the Company cancel such shares in accordance with the provisions of the Companies Acts. The Seller shall in such case be bound to deliver up to the Company his certificate(s) (or an express indemnity in a form satisfactory to the Company (acting by the directors) in the case of any certificates found to be missing) for the Sale Shares whereupon the Seller shall be entitled to receive the Price which shall in the meantime be held by the Company on trust for the Seller but without interest. If such certificate shall comprise any Shares which the Seller has not become bound to transfer as aforesaid the Company shall issue to the Seller a balance certificate for such Shares.</w:t>
      </w:r>
      <w:bookmarkEnd w:id="198"/>
    </w:p>
    <w:p w14:paraId="225AE642" w14:textId="2A5AB527" w:rsidR="00EF29B2" w:rsidRDefault="00A35BEC" w:rsidP="00E12420">
      <w:pPr>
        <w:pStyle w:val="Level1"/>
        <w:rPr>
          <w:sz w:val="20"/>
          <w:szCs w:val="20"/>
        </w:rPr>
      </w:pPr>
      <w:bookmarkStart w:id="199" w:name="_Toc256000019"/>
      <w:bookmarkStart w:id="200" w:name="a1026593"/>
      <w:bookmarkStart w:id="201" w:name="_Ref142318912"/>
      <w:bookmarkStart w:id="202" w:name="_Ref142319380"/>
      <w:bookmarkStart w:id="203" w:name="_Ref142319390"/>
      <w:bookmarkStart w:id="204" w:name="_Toc144907425"/>
      <w:bookmarkStart w:id="205" w:name="_Ref142580100"/>
      <w:r w:rsidRPr="00C7122C">
        <w:rPr>
          <w:sz w:val="20"/>
          <w:szCs w:val="20"/>
        </w:rPr>
        <w:t>Valuation</w:t>
      </w:r>
      <w:bookmarkEnd w:id="199"/>
      <w:bookmarkEnd w:id="200"/>
      <w:bookmarkEnd w:id="201"/>
      <w:bookmarkEnd w:id="202"/>
      <w:bookmarkEnd w:id="203"/>
      <w:bookmarkEnd w:id="204"/>
      <w:r w:rsidR="001E3EBA">
        <w:rPr>
          <w:sz w:val="20"/>
          <w:szCs w:val="20"/>
        </w:rPr>
        <w:t xml:space="preserve"> </w:t>
      </w:r>
    </w:p>
    <w:p w14:paraId="144034E4" w14:textId="77777777" w:rsidR="007F2EF3" w:rsidRPr="00C7122C" w:rsidRDefault="007F2EF3" w:rsidP="007F2EF3">
      <w:pPr>
        <w:pStyle w:val="Level2"/>
        <w:rPr>
          <w:sz w:val="20"/>
          <w:szCs w:val="20"/>
        </w:rPr>
      </w:pPr>
      <w:bookmarkStart w:id="206" w:name="a635429"/>
      <w:bookmarkEnd w:id="205"/>
      <w:r w:rsidRPr="00C7122C">
        <w:rPr>
          <w:sz w:val="20"/>
          <w:szCs w:val="20"/>
        </w:rPr>
        <w:t xml:space="preserve">The Price for each Sale Share the subject of a Sale Notice (or Deemed Sale Notice) shall, save where expressly provided otherwise in these Articles, be the price per Sale Share (in cash) agreed between the </w:t>
      </w:r>
      <w:r w:rsidR="00C7122C">
        <w:rPr>
          <w:sz w:val="20"/>
          <w:szCs w:val="20"/>
        </w:rPr>
        <w:t>Directors</w:t>
      </w:r>
      <w:r w:rsidRPr="00C7122C">
        <w:rPr>
          <w:sz w:val="20"/>
          <w:szCs w:val="20"/>
        </w:rPr>
        <w:t xml:space="preserve">, and the Seller or, in default of agreement within 20 Business Days of the date of service of the Sale Notice (or, in the case of a Deemed Sale Notice, the date on which the </w:t>
      </w:r>
      <w:r w:rsidR="00C7122C">
        <w:rPr>
          <w:sz w:val="20"/>
          <w:szCs w:val="20"/>
        </w:rPr>
        <w:t xml:space="preserve">Directors </w:t>
      </w:r>
      <w:r w:rsidRPr="00C7122C">
        <w:rPr>
          <w:sz w:val="20"/>
          <w:szCs w:val="20"/>
        </w:rPr>
        <w:t>first have actual knowledge of the facts giving rise to such deemed service), the Fair Value of each Sale Share.</w:t>
      </w:r>
      <w:bookmarkEnd w:id="206"/>
    </w:p>
    <w:p w14:paraId="7E39CA2B" w14:textId="77777777" w:rsidR="007F2EF3" w:rsidRPr="00C7122C" w:rsidRDefault="007F2EF3" w:rsidP="007F2EF3">
      <w:pPr>
        <w:pStyle w:val="Level2"/>
        <w:rPr>
          <w:sz w:val="20"/>
          <w:szCs w:val="20"/>
        </w:rPr>
      </w:pPr>
      <w:bookmarkStart w:id="207" w:name="a635387"/>
      <w:r w:rsidRPr="00C7122C">
        <w:rPr>
          <w:sz w:val="20"/>
          <w:szCs w:val="20"/>
        </w:rPr>
        <w:t xml:space="preserve">If the accountants for the time being of the Company decline an instruction to make a certification or a determination in accordance with these Articles, the Company and the Seller shall use all reasonable endeavours to reach agreement regarding the identity of the person to be appointed as the Independent Expert and to agree terms of appointment with the Independent Expert. </w:t>
      </w:r>
      <w:bookmarkEnd w:id="207"/>
    </w:p>
    <w:p w14:paraId="0A0DCE6F" w14:textId="77777777" w:rsidR="007F2EF3" w:rsidRPr="00C7122C" w:rsidRDefault="007F2EF3" w:rsidP="007F2EF3">
      <w:pPr>
        <w:pStyle w:val="Level2"/>
        <w:rPr>
          <w:sz w:val="20"/>
          <w:szCs w:val="20"/>
        </w:rPr>
      </w:pPr>
      <w:bookmarkStart w:id="208" w:name="a136035"/>
      <w:r w:rsidRPr="00C7122C">
        <w:rPr>
          <w:sz w:val="20"/>
          <w:szCs w:val="20"/>
        </w:rPr>
        <w:t>If the parties fail to agree on an Independent Expert and the terms of their appointment within 20 Business Days of either party serving details of a proposed Independent Expert on the other then either party shall be entitled to request The Institute of Chartered Accountants to appoint the Independent Expert</w:t>
      </w:r>
      <w:bookmarkEnd w:id="208"/>
      <w:r w:rsidRPr="00C7122C">
        <w:rPr>
          <w:sz w:val="20"/>
          <w:szCs w:val="20"/>
        </w:rPr>
        <w:t>.</w:t>
      </w:r>
    </w:p>
    <w:p w14:paraId="4EB520B6" w14:textId="77777777" w:rsidR="007F2EF3" w:rsidRPr="00C7122C" w:rsidRDefault="007F2EF3" w:rsidP="007F2EF3">
      <w:pPr>
        <w:pStyle w:val="Level2"/>
        <w:rPr>
          <w:sz w:val="20"/>
          <w:szCs w:val="20"/>
        </w:rPr>
      </w:pPr>
      <w:bookmarkStart w:id="209" w:name="a472853"/>
      <w:r w:rsidRPr="00C7122C">
        <w:rPr>
          <w:sz w:val="20"/>
          <w:szCs w:val="20"/>
        </w:rPr>
        <w:t>The Fair Value shall be the price per Sale Share determined by the Independent Expert on the following bases and assumptions:</w:t>
      </w:r>
      <w:bookmarkEnd w:id="209"/>
    </w:p>
    <w:p w14:paraId="15B4BC4A" w14:textId="77777777" w:rsidR="007F2EF3" w:rsidRPr="00C7122C" w:rsidRDefault="007F2EF3" w:rsidP="007F2EF3">
      <w:pPr>
        <w:pStyle w:val="Level3"/>
        <w:rPr>
          <w:sz w:val="20"/>
          <w:szCs w:val="20"/>
        </w:rPr>
      </w:pPr>
      <w:bookmarkStart w:id="210" w:name="a999947"/>
      <w:r w:rsidRPr="00C7122C">
        <w:rPr>
          <w:sz w:val="20"/>
          <w:szCs w:val="20"/>
        </w:rPr>
        <w:lastRenderedPageBreak/>
        <w:t>valuing the Sale Shares as on an arm's-length sale between a willing seller and a willing buyer as at the date the Sale Notice was served (or deemed served);</w:t>
      </w:r>
      <w:bookmarkEnd w:id="210"/>
    </w:p>
    <w:p w14:paraId="51A81203" w14:textId="77777777" w:rsidR="007F2EF3" w:rsidRPr="00C7122C" w:rsidRDefault="007F2EF3" w:rsidP="007F2EF3">
      <w:pPr>
        <w:pStyle w:val="Level3"/>
        <w:rPr>
          <w:sz w:val="20"/>
          <w:szCs w:val="20"/>
        </w:rPr>
      </w:pPr>
      <w:bookmarkStart w:id="211" w:name="a985220"/>
      <w:r w:rsidRPr="00C7122C">
        <w:rPr>
          <w:sz w:val="20"/>
          <w:szCs w:val="20"/>
        </w:rPr>
        <w:t>if the Company is then carrying on business as a going concern, on the assumption that it will continue to do so;</w:t>
      </w:r>
      <w:bookmarkEnd w:id="211"/>
    </w:p>
    <w:p w14:paraId="37C7E098" w14:textId="77777777" w:rsidR="007F2EF3" w:rsidRPr="0017407B" w:rsidRDefault="007F2EF3" w:rsidP="007F2EF3">
      <w:pPr>
        <w:pStyle w:val="Level3"/>
        <w:rPr>
          <w:sz w:val="20"/>
          <w:szCs w:val="20"/>
        </w:rPr>
      </w:pPr>
      <w:bookmarkStart w:id="212" w:name="a294980"/>
      <w:r w:rsidRPr="00C7122C">
        <w:rPr>
          <w:sz w:val="20"/>
          <w:szCs w:val="20"/>
        </w:rPr>
        <w:t xml:space="preserve">that </w:t>
      </w:r>
      <w:r w:rsidRPr="0017407B">
        <w:rPr>
          <w:sz w:val="20"/>
          <w:szCs w:val="20"/>
        </w:rPr>
        <w:t>the Sale Shares are capable of being transferred without restriction;</w:t>
      </w:r>
      <w:bookmarkEnd w:id="212"/>
    </w:p>
    <w:p w14:paraId="0A000974" w14:textId="23E1C1F9" w:rsidR="007F2EF3" w:rsidRPr="0017407B" w:rsidRDefault="007F2EF3" w:rsidP="007F2EF3">
      <w:pPr>
        <w:pStyle w:val="Level3"/>
        <w:rPr>
          <w:sz w:val="20"/>
          <w:szCs w:val="20"/>
        </w:rPr>
      </w:pPr>
      <w:bookmarkStart w:id="213" w:name="a365704"/>
      <w:r w:rsidRPr="0017407B">
        <w:rPr>
          <w:sz w:val="20"/>
          <w:szCs w:val="20"/>
        </w:rPr>
        <w:t>valuing the Sale Shares as a rateable proportion of the total value of all the issued Shares without any premium or discount being attributable to the percentage of the issued share capital of the Company which they represent; and</w:t>
      </w:r>
      <w:bookmarkEnd w:id="213"/>
      <w:r w:rsidRPr="0017407B">
        <w:rPr>
          <w:sz w:val="20"/>
          <w:szCs w:val="20"/>
        </w:rPr>
        <w:t xml:space="preserve"> </w:t>
      </w:r>
    </w:p>
    <w:p w14:paraId="3E775FA3" w14:textId="77777777" w:rsidR="007F2EF3" w:rsidRPr="00C7122C" w:rsidRDefault="007F2EF3" w:rsidP="007F2EF3">
      <w:pPr>
        <w:pStyle w:val="Level3"/>
        <w:rPr>
          <w:sz w:val="20"/>
          <w:szCs w:val="20"/>
        </w:rPr>
      </w:pPr>
      <w:bookmarkStart w:id="214" w:name="a419110"/>
      <w:r w:rsidRPr="00C7122C">
        <w:rPr>
          <w:sz w:val="20"/>
          <w:szCs w:val="20"/>
        </w:rPr>
        <w:t>reflecting any other factors which the Independent Expert reasonably believes should be taken into account.</w:t>
      </w:r>
      <w:bookmarkEnd w:id="214"/>
    </w:p>
    <w:p w14:paraId="049CC869" w14:textId="77777777" w:rsidR="007F2EF3" w:rsidRPr="00C7122C" w:rsidRDefault="007F2EF3" w:rsidP="007F2EF3">
      <w:pPr>
        <w:pStyle w:val="Level2"/>
        <w:rPr>
          <w:sz w:val="20"/>
          <w:szCs w:val="20"/>
        </w:rPr>
      </w:pPr>
      <w:bookmarkStart w:id="215" w:name="a258890"/>
      <w:r w:rsidRPr="00C7122C">
        <w:rPr>
          <w:sz w:val="20"/>
          <w:szCs w:val="20"/>
        </w:rPr>
        <w:t>If any difficulty arises in applying any of these assumptions or bases then the Independent Expert shall resolve that difficulty in whatever manner it shall in its absolute discretion think fit.</w:t>
      </w:r>
      <w:bookmarkEnd w:id="215"/>
    </w:p>
    <w:p w14:paraId="0DC10F9B" w14:textId="77777777" w:rsidR="007F2EF3" w:rsidRPr="00C7122C" w:rsidRDefault="007F2EF3" w:rsidP="007F2EF3">
      <w:pPr>
        <w:pStyle w:val="Level2"/>
        <w:rPr>
          <w:sz w:val="20"/>
          <w:szCs w:val="20"/>
        </w:rPr>
      </w:pPr>
      <w:bookmarkStart w:id="216" w:name="a739550"/>
      <w:r w:rsidRPr="00C7122C">
        <w:rPr>
          <w:sz w:val="20"/>
          <w:szCs w:val="20"/>
        </w:rPr>
        <w:t xml:space="preserve">The Directors will give the Independent Expert access to all accounting records or other relevant documents of the </w:t>
      </w:r>
      <w:r w:rsidR="00C7122C">
        <w:rPr>
          <w:sz w:val="20"/>
          <w:szCs w:val="20"/>
        </w:rPr>
        <w:t>Company</w:t>
      </w:r>
      <w:r w:rsidRPr="00C7122C">
        <w:rPr>
          <w:sz w:val="20"/>
          <w:szCs w:val="20"/>
        </w:rPr>
        <w:t>, subject to it agreeing such confidentiality provisions as the Directors may reasonably impose.</w:t>
      </w:r>
      <w:bookmarkEnd w:id="216"/>
    </w:p>
    <w:p w14:paraId="42806E46" w14:textId="77777777" w:rsidR="007F2EF3" w:rsidRPr="00C7122C" w:rsidRDefault="007F2EF3" w:rsidP="007F2EF3">
      <w:pPr>
        <w:pStyle w:val="Level2"/>
        <w:rPr>
          <w:sz w:val="20"/>
          <w:szCs w:val="20"/>
        </w:rPr>
      </w:pPr>
      <w:r w:rsidRPr="00C7122C">
        <w:rPr>
          <w:sz w:val="20"/>
          <w:szCs w:val="20"/>
        </w:rPr>
        <w:fldChar w:fldCharType="begin"/>
      </w:r>
      <w:r w:rsidRPr="00C7122C">
        <w:rPr>
          <w:sz w:val="20"/>
          <w:szCs w:val="20"/>
        </w:rPr>
        <w:fldChar w:fldCharType="end"/>
      </w:r>
      <w:bookmarkStart w:id="217" w:name="a1031991"/>
      <w:r w:rsidRPr="00C7122C">
        <w:rPr>
          <w:sz w:val="20"/>
          <w:szCs w:val="20"/>
        </w:rPr>
        <w:t>The parties are entitled to make submissions to the Independent Expert and shall provide (or procure that others provide) the Independent Expert with such assistance and documents as the Independent Expert may reasonably require for the purpose of reaching a decision.</w:t>
      </w:r>
      <w:bookmarkEnd w:id="217"/>
    </w:p>
    <w:p w14:paraId="54133969" w14:textId="77777777" w:rsidR="007F2EF3" w:rsidRPr="00C7122C" w:rsidRDefault="007F2EF3" w:rsidP="007F2EF3">
      <w:pPr>
        <w:pStyle w:val="Level2"/>
        <w:rPr>
          <w:sz w:val="20"/>
          <w:szCs w:val="20"/>
        </w:rPr>
      </w:pPr>
      <w:bookmarkStart w:id="218" w:name="a76040"/>
      <w:r w:rsidRPr="00C7122C">
        <w:rPr>
          <w:sz w:val="20"/>
          <w:szCs w:val="20"/>
        </w:rPr>
        <w:t>The Independent Expert shall act as expert and not as arbitrator and its determination shall be final and binding on the parties (in the absence of fraud or manifest error).</w:t>
      </w:r>
      <w:bookmarkEnd w:id="218"/>
    </w:p>
    <w:p w14:paraId="008E6404" w14:textId="77777777" w:rsidR="007F2EF3" w:rsidRPr="00C7122C" w:rsidRDefault="007F2EF3" w:rsidP="007F2EF3">
      <w:pPr>
        <w:pStyle w:val="Level2"/>
        <w:rPr>
          <w:sz w:val="20"/>
          <w:szCs w:val="20"/>
        </w:rPr>
      </w:pPr>
      <w:bookmarkStart w:id="219" w:name="a770326"/>
      <w:r w:rsidRPr="00C7122C">
        <w:rPr>
          <w:sz w:val="20"/>
          <w:szCs w:val="20"/>
        </w:rPr>
        <w:t>The Independent Expert shall be requested to determine the Fair Value within 20 Business Days of its appointment and to deliver its certificate to the Company. Forthwith upon receipt, the Company shall deliver a copy of the certificate to the Seller.</w:t>
      </w:r>
      <w:bookmarkEnd w:id="219"/>
    </w:p>
    <w:p w14:paraId="719F8C05" w14:textId="77777777" w:rsidR="007F2EF3" w:rsidRPr="00C7122C" w:rsidRDefault="007F2EF3" w:rsidP="007F2EF3">
      <w:pPr>
        <w:pStyle w:val="Level2"/>
        <w:rPr>
          <w:sz w:val="20"/>
          <w:szCs w:val="20"/>
        </w:rPr>
      </w:pPr>
      <w:bookmarkStart w:id="220" w:name="a467204"/>
      <w:r w:rsidRPr="00C7122C">
        <w:rPr>
          <w:sz w:val="20"/>
          <w:szCs w:val="20"/>
        </w:rPr>
        <w:t>The cost of obtaining the Independent Expert’s certificate shall be borne by the parties in such other proportions as the Independent Expert directs</w:t>
      </w:r>
      <w:bookmarkEnd w:id="220"/>
      <w:r w:rsidRPr="00C7122C">
        <w:rPr>
          <w:sz w:val="20"/>
          <w:szCs w:val="20"/>
        </w:rPr>
        <w:t>.</w:t>
      </w:r>
    </w:p>
    <w:p w14:paraId="10CBA038" w14:textId="77777777" w:rsidR="00000000" w:rsidRPr="0017407B" w:rsidRDefault="00A35BEC" w:rsidP="00E12420">
      <w:pPr>
        <w:pStyle w:val="Level1"/>
        <w:rPr>
          <w:sz w:val="20"/>
          <w:szCs w:val="20"/>
        </w:rPr>
      </w:pPr>
      <w:bookmarkStart w:id="221" w:name="_Toc256000020"/>
      <w:bookmarkStart w:id="222" w:name="a599340"/>
      <w:bookmarkStart w:id="223" w:name="_Toc144907426"/>
      <w:r w:rsidRPr="0017407B">
        <w:rPr>
          <w:sz w:val="20"/>
          <w:szCs w:val="20"/>
        </w:rPr>
        <w:t>Compulsory transfers</w:t>
      </w:r>
      <w:bookmarkEnd w:id="221"/>
      <w:bookmarkEnd w:id="222"/>
      <w:bookmarkEnd w:id="223"/>
    </w:p>
    <w:p w14:paraId="6ECE41B5" w14:textId="41F82690" w:rsidR="00000000" w:rsidRPr="0017407B" w:rsidRDefault="00A35BEC" w:rsidP="008E1CEF">
      <w:pPr>
        <w:pStyle w:val="Level2"/>
        <w:rPr>
          <w:sz w:val="20"/>
          <w:szCs w:val="20"/>
        </w:rPr>
      </w:pPr>
      <w:bookmarkStart w:id="224" w:name="a499248"/>
      <w:r w:rsidRPr="0017407B">
        <w:rPr>
          <w:sz w:val="20"/>
          <w:szCs w:val="20"/>
        </w:rPr>
        <w:t xml:space="preserve">A person entitled to a Share in consequence of the bankruptcy of a Shareholder (or equivalent procedure in any jurisdiction outside England and Wales) shall be deemed to have given a </w:t>
      </w:r>
      <w:r w:rsidR="00C7122C" w:rsidRPr="0017407B">
        <w:rPr>
          <w:sz w:val="20"/>
          <w:szCs w:val="20"/>
        </w:rPr>
        <w:t xml:space="preserve">Sale Notice </w:t>
      </w:r>
      <w:r w:rsidRPr="0017407B">
        <w:rPr>
          <w:sz w:val="20"/>
          <w:szCs w:val="20"/>
        </w:rPr>
        <w:t xml:space="preserve">in respect of that Share at such time as the Directors may determine. </w:t>
      </w:r>
      <w:bookmarkStart w:id="225" w:name="a368481"/>
      <w:bookmarkEnd w:id="224"/>
      <w:r w:rsidRPr="0017407B">
        <w:rPr>
          <w:sz w:val="20"/>
          <w:szCs w:val="20"/>
        </w:rPr>
        <w:t xml:space="preserve"> </w:t>
      </w:r>
      <w:bookmarkEnd w:id="225"/>
    </w:p>
    <w:p w14:paraId="79BBB3E3" w14:textId="77777777" w:rsidR="00000000" w:rsidRPr="00C7122C" w:rsidRDefault="00A35BEC" w:rsidP="00E12420">
      <w:pPr>
        <w:pStyle w:val="Level2"/>
        <w:rPr>
          <w:sz w:val="20"/>
          <w:szCs w:val="20"/>
        </w:rPr>
      </w:pPr>
      <w:bookmarkStart w:id="226" w:name="a890822"/>
      <w:r w:rsidRPr="00C7122C">
        <w:rPr>
          <w:sz w:val="20"/>
          <w:szCs w:val="20"/>
        </w:rPr>
        <w:t xml:space="preserve">Forthwith upon a </w:t>
      </w:r>
      <w:r w:rsidR="00C7122C">
        <w:rPr>
          <w:sz w:val="20"/>
          <w:szCs w:val="20"/>
        </w:rPr>
        <w:t xml:space="preserve">Sale </w:t>
      </w:r>
      <w:r w:rsidRPr="00C7122C">
        <w:rPr>
          <w:sz w:val="20"/>
          <w:szCs w:val="20"/>
        </w:rPr>
        <w:t xml:space="preserve">Notice being deemed to be served under article </w:t>
      </w:r>
      <w:r w:rsidRPr="00C7122C">
        <w:rPr>
          <w:sz w:val="20"/>
          <w:szCs w:val="20"/>
        </w:rPr>
        <w:fldChar w:fldCharType="begin"/>
      </w:r>
      <w:r w:rsidRPr="00C7122C">
        <w:rPr>
          <w:sz w:val="20"/>
          <w:szCs w:val="20"/>
          <w:highlight w:val="lightGray"/>
        </w:rPr>
        <w:instrText>REF a599340 \h \w</w:instrText>
      </w:r>
      <w:r w:rsidR="00A35855"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18</w:t>
      </w:r>
      <w:r w:rsidRPr="00C7122C">
        <w:rPr>
          <w:sz w:val="20"/>
          <w:szCs w:val="20"/>
        </w:rPr>
        <w:fldChar w:fldCharType="end"/>
      </w:r>
      <w:r w:rsidRPr="00C7122C">
        <w:rPr>
          <w:sz w:val="20"/>
          <w:szCs w:val="20"/>
        </w:rPr>
        <w:t xml:space="preserve"> the Shares subject to the relevant Deemed </w:t>
      </w:r>
      <w:r w:rsidR="00C7122C">
        <w:rPr>
          <w:sz w:val="20"/>
          <w:szCs w:val="20"/>
        </w:rPr>
        <w:t xml:space="preserve">Sale </w:t>
      </w:r>
      <w:r w:rsidRPr="00C7122C">
        <w:rPr>
          <w:sz w:val="20"/>
          <w:szCs w:val="20"/>
        </w:rPr>
        <w:t>Notice (</w:t>
      </w:r>
      <w:r w:rsidRPr="00C7122C">
        <w:rPr>
          <w:b/>
          <w:bCs/>
          <w:sz w:val="20"/>
          <w:szCs w:val="20"/>
        </w:rPr>
        <w:t>Restricted Shares</w:t>
      </w:r>
      <w:r w:rsidRPr="00C7122C">
        <w:rPr>
          <w:sz w:val="20"/>
          <w:szCs w:val="20"/>
        </w:rPr>
        <w:t>) shall cease to confer on the holder of them any rights:</w:t>
      </w:r>
      <w:bookmarkEnd w:id="226"/>
    </w:p>
    <w:p w14:paraId="30F10453" w14:textId="77777777" w:rsidR="00000000" w:rsidRPr="00C7122C" w:rsidRDefault="00A35BEC" w:rsidP="00E12420">
      <w:pPr>
        <w:pStyle w:val="Level3"/>
        <w:rPr>
          <w:sz w:val="20"/>
          <w:szCs w:val="20"/>
        </w:rPr>
      </w:pPr>
      <w:bookmarkStart w:id="227" w:name="a884186"/>
      <w:r w:rsidRPr="00C7122C">
        <w:rPr>
          <w:sz w:val="20"/>
          <w:szCs w:val="20"/>
        </w:rPr>
        <w:t>to vote (whether on a show of hands, on a poll or otherwise and whether in person, by proxy or otherwise), including in respect of any resolution of any class of Shares;</w:t>
      </w:r>
      <w:bookmarkEnd w:id="227"/>
    </w:p>
    <w:p w14:paraId="293FBD8B" w14:textId="77777777" w:rsidR="00000000" w:rsidRPr="00C7122C" w:rsidRDefault="00A35BEC" w:rsidP="00E12420">
      <w:pPr>
        <w:pStyle w:val="Level3"/>
        <w:rPr>
          <w:sz w:val="20"/>
          <w:szCs w:val="20"/>
        </w:rPr>
      </w:pPr>
      <w:bookmarkStart w:id="228" w:name="a638516"/>
      <w:r w:rsidRPr="00C7122C">
        <w:rPr>
          <w:sz w:val="20"/>
          <w:szCs w:val="20"/>
        </w:rPr>
        <w:t>to receive dividends or other distributions otherwise attaching to those Shares; or</w:t>
      </w:r>
      <w:bookmarkEnd w:id="228"/>
    </w:p>
    <w:p w14:paraId="0D574BBA" w14:textId="77777777" w:rsidR="00000000" w:rsidRPr="00C7122C" w:rsidRDefault="00A35BEC" w:rsidP="00E12420">
      <w:pPr>
        <w:pStyle w:val="Level3"/>
        <w:rPr>
          <w:sz w:val="20"/>
          <w:szCs w:val="20"/>
        </w:rPr>
      </w:pPr>
      <w:r w:rsidRPr="00C7122C">
        <w:rPr>
          <w:sz w:val="20"/>
          <w:szCs w:val="20"/>
        </w:rPr>
        <w:fldChar w:fldCharType="begin"/>
      </w:r>
      <w:r w:rsidRPr="00C7122C">
        <w:rPr>
          <w:sz w:val="20"/>
          <w:szCs w:val="20"/>
        </w:rPr>
        <w:fldChar w:fldCharType="end"/>
      </w:r>
      <w:bookmarkStart w:id="229" w:name="a375528"/>
      <w:r w:rsidRPr="00C7122C">
        <w:rPr>
          <w:sz w:val="20"/>
          <w:szCs w:val="20"/>
        </w:rPr>
        <w:t>to participate in any future issue of Shares.</w:t>
      </w:r>
      <w:bookmarkEnd w:id="229"/>
    </w:p>
    <w:p w14:paraId="6900C3F5" w14:textId="6B904410" w:rsidR="00000000" w:rsidRPr="0017407B" w:rsidRDefault="00A35BEC" w:rsidP="00A35855">
      <w:pPr>
        <w:pStyle w:val="Body2"/>
        <w:rPr>
          <w:sz w:val="20"/>
          <w:szCs w:val="20"/>
        </w:rPr>
      </w:pPr>
      <w:r w:rsidRPr="00C7122C">
        <w:rPr>
          <w:sz w:val="20"/>
          <w:szCs w:val="20"/>
        </w:rPr>
        <w:lastRenderedPageBreak/>
        <w:t xml:space="preserve">The Directors may reinstate the rights referred to in </w:t>
      </w:r>
      <w:r w:rsidRPr="00C7122C">
        <w:rPr>
          <w:sz w:val="20"/>
          <w:szCs w:val="20"/>
        </w:rPr>
        <w:fldChar w:fldCharType="begin"/>
      </w:r>
      <w:r w:rsidRPr="00C7122C">
        <w:rPr>
          <w:sz w:val="20"/>
          <w:szCs w:val="20"/>
        </w:rPr>
        <w:instrText>PAGEREF a890822\#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a890822 \h \w</w:instrText>
      </w:r>
      <w:r w:rsidR="00A35855"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18.2</w:t>
      </w:r>
      <w:r w:rsidRPr="00C7122C">
        <w:rPr>
          <w:sz w:val="20"/>
          <w:szCs w:val="20"/>
        </w:rPr>
        <w:fldChar w:fldCharType="end"/>
      </w:r>
      <w:r w:rsidRPr="00C7122C">
        <w:rPr>
          <w:sz w:val="20"/>
          <w:szCs w:val="20"/>
        </w:rPr>
        <w:t xml:space="preserve"> at any time and, in any event, such rights shall be reinstated in respect of any Shares transferred pursuant to </w:t>
      </w:r>
      <w:r w:rsidRPr="00C7122C">
        <w:rPr>
          <w:sz w:val="20"/>
          <w:szCs w:val="20"/>
        </w:rPr>
        <w:fldChar w:fldCharType="begin"/>
      </w:r>
      <w:r w:rsidRPr="00C7122C">
        <w:rPr>
          <w:sz w:val="20"/>
          <w:szCs w:val="20"/>
        </w:rPr>
        <w:instrText>PAGEREF a599340\#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a599340 \h \w</w:instrText>
      </w:r>
      <w:r w:rsidR="00A35855"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18</w:t>
      </w:r>
      <w:r w:rsidRPr="00C7122C">
        <w:rPr>
          <w:sz w:val="20"/>
          <w:szCs w:val="20"/>
        </w:rPr>
        <w:fldChar w:fldCharType="end"/>
      </w:r>
      <w:r w:rsidRPr="00C7122C">
        <w:rPr>
          <w:sz w:val="20"/>
          <w:szCs w:val="20"/>
        </w:rPr>
        <w:t xml:space="preserve"> on completion </w:t>
      </w:r>
      <w:r w:rsidRPr="0017407B">
        <w:rPr>
          <w:sz w:val="20"/>
          <w:szCs w:val="20"/>
        </w:rPr>
        <w:t>of such transfer</w:t>
      </w:r>
      <w:r w:rsidR="008E1CEF" w:rsidRPr="0017407B">
        <w:rPr>
          <w:sz w:val="20"/>
          <w:szCs w:val="20"/>
        </w:rPr>
        <w:t>.</w:t>
      </w:r>
    </w:p>
    <w:p w14:paraId="59CA90DA" w14:textId="77777777" w:rsidR="00000000" w:rsidRPr="0017407B" w:rsidRDefault="00C7122C" w:rsidP="00E12420">
      <w:pPr>
        <w:pStyle w:val="Level1"/>
        <w:rPr>
          <w:sz w:val="20"/>
          <w:szCs w:val="20"/>
        </w:rPr>
      </w:pPr>
      <w:bookmarkStart w:id="230" w:name="_Ref142319831"/>
      <w:bookmarkStart w:id="231" w:name="_Toc144907427"/>
      <w:r w:rsidRPr="0017407B">
        <w:rPr>
          <w:sz w:val="20"/>
          <w:szCs w:val="20"/>
        </w:rPr>
        <w:t>Tag Along</w:t>
      </w:r>
      <w:bookmarkEnd w:id="230"/>
      <w:bookmarkEnd w:id="231"/>
    </w:p>
    <w:p w14:paraId="4B23CFB7" w14:textId="329A72A2" w:rsidR="00D54FE8" w:rsidRPr="0017407B" w:rsidRDefault="00D54FE8" w:rsidP="00D54FE8">
      <w:pPr>
        <w:pStyle w:val="Level2"/>
        <w:rPr>
          <w:sz w:val="20"/>
          <w:szCs w:val="20"/>
        </w:rPr>
      </w:pPr>
      <w:bookmarkStart w:id="232" w:name="a293627"/>
      <w:r w:rsidRPr="0017407B">
        <w:rPr>
          <w:sz w:val="20"/>
          <w:szCs w:val="20"/>
        </w:rPr>
        <w:t xml:space="preserve">In the event that a proposed transfer of Shares (other than a transfer of Shares made pursuant to </w:t>
      </w:r>
      <w:r w:rsidRPr="0017407B">
        <w:rPr>
          <w:sz w:val="20"/>
          <w:szCs w:val="20"/>
        </w:rPr>
        <w:fldChar w:fldCharType="begin"/>
      </w:r>
      <w:r w:rsidRPr="0017407B">
        <w:rPr>
          <w:sz w:val="20"/>
          <w:szCs w:val="20"/>
        </w:rPr>
        <w:instrText>PAGEREF a817012\# "'article '"  \h</w:instrText>
      </w:r>
      <w:r w:rsidRPr="0017407B">
        <w:rPr>
          <w:sz w:val="20"/>
          <w:szCs w:val="20"/>
        </w:rPr>
      </w:r>
      <w:r w:rsidRPr="0017407B">
        <w:rPr>
          <w:sz w:val="20"/>
          <w:szCs w:val="20"/>
        </w:rPr>
        <w:fldChar w:fldCharType="separate"/>
      </w:r>
      <w:r w:rsidR="0017407B" w:rsidRPr="0017407B">
        <w:rPr>
          <w:noProof/>
          <w:sz w:val="20"/>
          <w:szCs w:val="20"/>
        </w:rPr>
        <w:t xml:space="preserve">article </w:t>
      </w:r>
      <w:r w:rsidRPr="0017407B">
        <w:rPr>
          <w:sz w:val="20"/>
          <w:szCs w:val="20"/>
        </w:rPr>
        <w:fldChar w:fldCharType="end"/>
      </w:r>
      <w:r w:rsidRPr="0017407B">
        <w:rPr>
          <w:sz w:val="20"/>
          <w:szCs w:val="20"/>
        </w:rPr>
        <w:fldChar w:fldCharType="begin"/>
      </w:r>
      <w:r w:rsidRPr="0017407B">
        <w:rPr>
          <w:sz w:val="20"/>
          <w:szCs w:val="20"/>
        </w:rPr>
        <w:instrText xml:space="preserve">REF a817012 \h \w \* MERGEFORMAT </w:instrText>
      </w:r>
      <w:r w:rsidRPr="0017407B">
        <w:rPr>
          <w:sz w:val="20"/>
          <w:szCs w:val="20"/>
        </w:rPr>
      </w:r>
      <w:r w:rsidRPr="0017407B">
        <w:rPr>
          <w:sz w:val="20"/>
          <w:szCs w:val="20"/>
        </w:rPr>
        <w:fldChar w:fldCharType="separate"/>
      </w:r>
      <w:r w:rsidR="0017407B" w:rsidRPr="0017407B">
        <w:rPr>
          <w:sz w:val="20"/>
          <w:szCs w:val="20"/>
        </w:rPr>
        <w:t>15</w:t>
      </w:r>
      <w:r w:rsidRPr="0017407B">
        <w:rPr>
          <w:sz w:val="20"/>
          <w:szCs w:val="20"/>
        </w:rPr>
        <w:fldChar w:fldCharType="end"/>
      </w:r>
      <w:r w:rsidRPr="0017407B">
        <w:rPr>
          <w:sz w:val="20"/>
          <w:szCs w:val="20"/>
        </w:rPr>
        <w:t xml:space="preserve"> (Permitted Transfers) and article </w:t>
      </w:r>
      <w:r w:rsidRPr="0017407B">
        <w:rPr>
          <w:sz w:val="20"/>
          <w:szCs w:val="20"/>
        </w:rPr>
        <w:fldChar w:fldCharType="begin"/>
      </w:r>
      <w:r w:rsidRPr="0017407B">
        <w:rPr>
          <w:sz w:val="20"/>
          <w:szCs w:val="20"/>
        </w:rPr>
        <w:instrText xml:space="preserve">REF a599340 \h \w \* MERGEFORMAT </w:instrText>
      </w:r>
      <w:r w:rsidRPr="0017407B">
        <w:rPr>
          <w:sz w:val="20"/>
          <w:szCs w:val="20"/>
        </w:rPr>
      </w:r>
      <w:r w:rsidRPr="0017407B">
        <w:rPr>
          <w:sz w:val="20"/>
          <w:szCs w:val="20"/>
        </w:rPr>
        <w:fldChar w:fldCharType="separate"/>
      </w:r>
      <w:r w:rsidR="0017407B" w:rsidRPr="0017407B">
        <w:rPr>
          <w:sz w:val="20"/>
          <w:szCs w:val="20"/>
        </w:rPr>
        <w:t>18</w:t>
      </w:r>
      <w:r w:rsidRPr="0017407B">
        <w:rPr>
          <w:sz w:val="20"/>
          <w:szCs w:val="20"/>
        </w:rPr>
        <w:fldChar w:fldCharType="end"/>
      </w:r>
      <w:r w:rsidRPr="0017407B">
        <w:rPr>
          <w:sz w:val="20"/>
          <w:szCs w:val="20"/>
        </w:rPr>
        <w:t xml:space="preserve"> (Compulsory Transfers), but after the operation of the pre-emption procedure set out in </w:t>
      </w:r>
      <w:r w:rsidRPr="0017407B">
        <w:rPr>
          <w:sz w:val="20"/>
          <w:szCs w:val="20"/>
        </w:rPr>
        <w:fldChar w:fldCharType="begin"/>
      </w:r>
      <w:r w:rsidRPr="0017407B">
        <w:rPr>
          <w:sz w:val="20"/>
          <w:szCs w:val="20"/>
        </w:rPr>
        <w:instrText>PAGEREF a73365\# "'article '"  \h</w:instrText>
      </w:r>
      <w:r w:rsidRPr="0017407B">
        <w:rPr>
          <w:sz w:val="20"/>
          <w:szCs w:val="20"/>
        </w:rPr>
      </w:r>
      <w:r w:rsidRPr="0017407B">
        <w:rPr>
          <w:sz w:val="20"/>
          <w:szCs w:val="20"/>
        </w:rPr>
        <w:fldChar w:fldCharType="separate"/>
      </w:r>
      <w:r w:rsidR="0017407B" w:rsidRPr="0017407B">
        <w:rPr>
          <w:noProof/>
          <w:sz w:val="20"/>
          <w:szCs w:val="20"/>
        </w:rPr>
        <w:t xml:space="preserve">article </w:t>
      </w:r>
      <w:r w:rsidRPr="0017407B">
        <w:rPr>
          <w:sz w:val="20"/>
          <w:szCs w:val="20"/>
        </w:rPr>
        <w:fldChar w:fldCharType="end"/>
      </w:r>
      <w:r w:rsidRPr="0017407B">
        <w:rPr>
          <w:sz w:val="20"/>
          <w:szCs w:val="20"/>
        </w:rPr>
        <w:fldChar w:fldCharType="begin"/>
      </w:r>
      <w:r w:rsidRPr="0017407B">
        <w:rPr>
          <w:sz w:val="20"/>
          <w:szCs w:val="20"/>
        </w:rPr>
        <w:instrText xml:space="preserve">REF a73365 \h \w \* MERGEFORMAT </w:instrText>
      </w:r>
      <w:r w:rsidRPr="0017407B">
        <w:rPr>
          <w:sz w:val="20"/>
          <w:szCs w:val="20"/>
        </w:rPr>
      </w:r>
      <w:r w:rsidRPr="0017407B">
        <w:rPr>
          <w:sz w:val="20"/>
          <w:szCs w:val="20"/>
        </w:rPr>
        <w:fldChar w:fldCharType="separate"/>
      </w:r>
      <w:r w:rsidR="0017407B" w:rsidRPr="0017407B">
        <w:rPr>
          <w:sz w:val="20"/>
          <w:szCs w:val="20"/>
        </w:rPr>
        <w:t>16</w:t>
      </w:r>
      <w:r w:rsidRPr="0017407B">
        <w:rPr>
          <w:sz w:val="20"/>
          <w:szCs w:val="20"/>
        </w:rPr>
        <w:fldChar w:fldCharType="end"/>
      </w:r>
      <w:r w:rsidRPr="0017407B">
        <w:rPr>
          <w:sz w:val="20"/>
          <w:szCs w:val="20"/>
        </w:rPr>
        <w:t xml:space="preserve">), whether made as one or as a series of transactions (a </w:t>
      </w:r>
      <w:r w:rsidRPr="0017407B">
        <w:rPr>
          <w:rFonts w:eastAsia="Arial"/>
          <w:b/>
          <w:bCs/>
          <w:color w:val="000000"/>
          <w:sz w:val="20"/>
          <w:szCs w:val="20"/>
        </w:rPr>
        <w:t>Proposed Transfer</w:t>
      </w:r>
      <w:r w:rsidRPr="0017407B">
        <w:rPr>
          <w:sz w:val="20"/>
          <w:szCs w:val="20"/>
        </w:rPr>
        <w:t xml:space="preserve">) would, if completed, result in any person other than an existing Shareholder (the </w:t>
      </w:r>
      <w:r w:rsidRPr="0017407B">
        <w:rPr>
          <w:rFonts w:eastAsia="Arial"/>
          <w:b/>
          <w:bCs/>
          <w:color w:val="000000"/>
          <w:sz w:val="20"/>
          <w:szCs w:val="20"/>
        </w:rPr>
        <w:t>Buyer</w:t>
      </w:r>
      <w:r w:rsidRPr="0017407B">
        <w:rPr>
          <w:sz w:val="20"/>
          <w:szCs w:val="20"/>
        </w:rPr>
        <w:t xml:space="preserve">), together with any person acting in concert with the Buyer, acquiring a Controlling Interest, the remaining provisions of this article </w:t>
      </w:r>
      <w:r w:rsidR="00C7122C" w:rsidRPr="0017407B">
        <w:rPr>
          <w:sz w:val="20"/>
          <w:szCs w:val="20"/>
        </w:rPr>
        <w:fldChar w:fldCharType="begin"/>
      </w:r>
      <w:r w:rsidR="00C7122C" w:rsidRPr="0017407B">
        <w:rPr>
          <w:sz w:val="20"/>
          <w:szCs w:val="20"/>
        </w:rPr>
        <w:instrText xml:space="preserve"> REF _Ref142319831 \r \h </w:instrText>
      </w:r>
      <w:r w:rsidR="0017407B">
        <w:rPr>
          <w:sz w:val="20"/>
          <w:szCs w:val="20"/>
        </w:rPr>
        <w:instrText xml:space="preserve"> \* MERGEFORMAT </w:instrText>
      </w:r>
      <w:r w:rsidR="00C7122C" w:rsidRPr="0017407B">
        <w:rPr>
          <w:sz w:val="20"/>
          <w:szCs w:val="20"/>
        </w:rPr>
      </w:r>
      <w:r w:rsidR="00C7122C" w:rsidRPr="0017407B">
        <w:rPr>
          <w:sz w:val="20"/>
          <w:szCs w:val="20"/>
        </w:rPr>
        <w:fldChar w:fldCharType="separate"/>
      </w:r>
      <w:r w:rsidR="0017407B" w:rsidRPr="0017407B">
        <w:rPr>
          <w:sz w:val="20"/>
          <w:szCs w:val="20"/>
        </w:rPr>
        <w:t>19</w:t>
      </w:r>
      <w:r w:rsidR="00C7122C" w:rsidRPr="0017407B">
        <w:rPr>
          <w:sz w:val="20"/>
          <w:szCs w:val="20"/>
        </w:rPr>
        <w:fldChar w:fldCharType="end"/>
      </w:r>
      <w:r w:rsidRPr="0017407B">
        <w:rPr>
          <w:sz w:val="20"/>
          <w:szCs w:val="20"/>
        </w:rPr>
        <w:t xml:space="preserve"> shall apply.</w:t>
      </w:r>
      <w:bookmarkEnd w:id="232"/>
      <w:r w:rsidR="00CA4B1C" w:rsidRPr="0017407B">
        <w:rPr>
          <w:sz w:val="20"/>
          <w:szCs w:val="20"/>
        </w:rPr>
        <w:t xml:space="preserve">  </w:t>
      </w:r>
    </w:p>
    <w:p w14:paraId="37E47520" w14:textId="473697FA" w:rsidR="00D54FE8" w:rsidRPr="00C7122C" w:rsidRDefault="00D54FE8" w:rsidP="00D54FE8">
      <w:pPr>
        <w:pStyle w:val="Level2"/>
        <w:rPr>
          <w:sz w:val="20"/>
          <w:szCs w:val="20"/>
        </w:rPr>
      </w:pPr>
      <w:bookmarkStart w:id="233" w:name="a834329"/>
      <w:bookmarkStart w:id="234" w:name="_Ref142576284"/>
      <w:r w:rsidRPr="00C7122C">
        <w:rPr>
          <w:sz w:val="20"/>
          <w:szCs w:val="20"/>
        </w:rPr>
        <w:t xml:space="preserve">The Company shall procure that, prior to the completion of the Proposed Transfer, the Buyer shall make an offer (the </w:t>
      </w:r>
      <w:r w:rsidRPr="00C7122C">
        <w:rPr>
          <w:rFonts w:eastAsia="Arial"/>
          <w:b/>
          <w:bCs/>
          <w:color w:val="000000"/>
          <w:sz w:val="20"/>
          <w:szCs w:val="20"/>
        </w:rPr>
        <w:t>Offer</w:t>
      </w:r>
      <w:r w:rsidRPr="00C7122C">
        <w:rPr>
          <w:sz w:val="20"/>
          <w:szCs w:val="20"/>
        </w:rPr>
        <w:t xml:space="preserve">) to each Shareholder (each an </w:t>
      </w:r>
      <w:r w:rsidRPr="00C7122C">
        <w:rPr>
          <w:b/>
          <w:sz w:val="20"/>
          <w:szCs w:val="20"/>
        </w:rPr>
        <w:t>Offeree</w:t>
      </w:r>
      <w:r w:rsidRPr="00C7122C">
        <w:rPr>
          <w:sz w:val="20"/>
          <w:szCs w:val="20"/>
        </w:rPr>
        <w:t xml:space="preserve">) on the date of the Offer other than any holder(s) of Restricted Shares, to buy all of the </w:t>
      </w:r>
      <w:r w:rsidR="00092D22">
        <w:rPr>
          <w:sz w:val="20"/>
          <w:szCs w:val="20"/>
        </w:rPr>
        <w:t>Ordinary Shares</w:t>
      </w:r>
      <w:r w:rsidRPr="00C7122C">
        <w:rPr>
          <w:sz w:val="20"/>
          <w:szCs w:val="20"/>
        </w:rPr>
        <w:t xml:space="preserve"> held by such Offerees on the date of the Offer for a consideration in cash per Equity Share (the </w:t>
      </w:r>
      <w:r w:rsidRPr="00C7122C">
        <w:rPr>
          <w:rFonts w:eastAsia="Arial"/>
          <w:b/>
          <w:bCs/>
          <w:color w:val="000000"/>
          <w:sz w:val="20"/>
          <w:szCs w:val="20"/>
        </w:rPr>
        <w:t>Offer Price</w:t>
      </w:r>
      <w:r w:rsidRPr="00C7122C">
        <w:rPr>
          <w:sz w:val="20"/>
          <w:szCs w:val="20"/>
        </w:rPr>
        <w:t xml:space="preserve">) which is equal to the highest price per Equity Share offered, paid or to be paid by the Buyer, or any person acting in concert with the Buyer, for any </w:t>
      </w:r>
      <w:r w:rsidR="00092D22">
        <w:rPr>
          <w:sz w:val="20"/>
          <w:szCs w:val="20"/>
        </w:rPr>
        <w:t>Ordinary Shares</w:t>
      </w:r>
      <w:r w:rsidRPr="00C7122C">
        <w:rPr>
          <w:sz w:val="20"/>
          <w:szCs w:val="20"/>
        </w:rPr>
        <w:t xml:space="preserve"> in connection with the Proposed Transfer</w:t>
      </w:r>
      <w:bookmarkEnd w:id="233"/>
      <w:r w:rsidRPr="00C7122C">
        <w:rPr>
          <w:sz w:val="20"/>
          <w:szCs w:val="20"/>
        </w:rPr>
        <w:t>.</w:t>
      </w:r>
      <w:bookmarkEnd w:id="234"/>
    </w:p>
    <w:p w14:paraId="526E17B4" w14:textId="77777777" w:rsidR="00D54FE8" w:rsidRPr="00C7122C" w:rsidRDefault="00D54FE8" w:rsidP="00D54FE8">
      <w:pPr>
        <w:pStyle w:val="Level2"/>
        <w:rPr>
          <w:sz w:val="20"/>
          <w:szCs w:val="20"/>
        </w:rPr>
      </w:pPr>
      <w:bookmarkStart w:id="235" w:name="a212222"/>
      <w:r w:rsidRPr="00C7122C">
        <w:rPr>
          <w:sz w:val="20"/>
          <w:szCs w:val="20"/>
        </w:rPr>
        <w:t xml:space="preserve">The Offer shall be made by notice in writing (an </w:t>
      </w:r>
      <w:r w:rsidRPr="00C7122C">
        <w:rPr>
          <w:rFonts w:eastAsia="Arial"/>
          <w:b/>
          <w:bCs/>
          <w:color w:val="000000"/>
          <w:sz w:val="20"/>
          <w:szCs w:val="20"/>
        </w:rPr>
        <w:t>Offer Notice</w:t>
      </w:r>
      <w:r w:rsidRPr="00C7122C">
        <w:rPr>
          <w:sz w:val="20"/>
          <w:szCs w:val="20"/>
        </w:rPr>
        <w:t xml:space="preserve">) addressed to each Offeree on the date of the Offer at least 20 Business Days (the </w:t>
      </w:r>
      <w:r w:rsidRPr="00C7122C">
        <w:rPr>
          <w:rFonts w:eastAsia="Arial"/>
          <w:b/>
          <w:bCs/>
          <w:color w:val="000000"/>
          <w:sz w:val="20"/>
          <w:szCs w:val="20"/>
        </w:rPr>
        <w:t>Offer Period</w:t>
      </w:r>
      <w:r w:rsidRPr="00C7122C">
        <w:rPr>
          <w:sz w:val="20"/>
          <w:szCs w:val="20"/>
        </w:rPr>
        <w:t xml:space="preserve">) before the date fixed for completion of the Proposed Transfer (the </w:t>
      </w:r>
      <w:r w:rsidRPr="00C7122C">
        <w:rPr>
          <w:rFonts w:eastAsia="Arial"/>
          <w:b/>
          <w:bCs/>
          <w:color w:val="000000"/>
          <w:sz w:val="20"/>
          <w:szCs w:val="20"/>
        </w:rPr>
        <w:t>Sale Date</w:t>
      </w:r>
      <w:r w:rsidRPr="00C7122C">
        <w:rPr>
          <w:sz w:val="20"/>
          <w:szCs w:val="20"/>
        </w:rPr>
        <w:t>). The Offer Notice shall specify:</w:t>
      </w:r>
      <w:bookmarkEnd w:id="235"/>
    </w:p>
    <w:p w14:paraId="64902E61" w14:textId="77777777" w:rsidR="00D54FE8" w:rsidRPr="00C7122C" w:rsidRDefault="00D54FE8" w:rsidP="00D54FE8">
      <w:pPr>
        <w:pStyle w:val="Level3"/>
        <w:rPr>
          <w:sz w:val="20"/>
          <w:szCs w:val="20"/>
        </w:rPr>
      </w:pPr>
      <w:bookmarkStart w:id="236" w:name="a812967"/>
      <w:r w:rsidRPr="00C7122C">
        <w:rPr>
          <w:sz w:val="20"/>
          <w:szCs w:val="20"/>
        </w:rPr>
        <w:t>the identity of the Buyer (and any person(s) acting in concert with the Buyer);</w:t>
      </w:r>
      <w:bookmarkEnd w:id="236"/>
    </w:p>
    <w:p w14:paraId="0A501EDA" w14:textId="77777777" w:rsidR="00D54FE8" w:rsidRPr="00C7122C" w:rsidRDefault="00D54FE8" w:rsidP="00D54FE8">
      <w:pPr>
        <w:pStyle w:val="Level3"/>
        <w:rPr>
          <w:sz w:val="20"/>
          <w:szCs w:val="20"/>
        </w:rPr>
      </w:pPr>
      <w:bookmarkStart w:id="237" w:name="a276310"/>
      <w:r w:rsidRPr="00C7122C">
        <w:rPr>
          <w:sz w:val="20"/>
          <w:szCs w:val="20"/>
        </w:rPr>
        <w:t>the Offer Price and any other terms and conditions of the Offer;</w:t>
      </w:r>
      <w:bookmarkEnd w:id="237"/>
    </w:p>
    <w:p w14:paraId="3EBC3BFB" w14:textId="77777777" w:rsidR="00D54FE8" w:rsidRPr="00C7122C" w:rsidRDefault="00D54FE8" w:rsidP="00D54FE8">
      <w:pPr>
        <w:pStyle w:val="Level3"/>
        <w:rPr>
          <w:sz w:val="20"/>
          <w:szCs w:val="20"/>
        </w:rPr>
      </w:pPr>
      <w:bookmarkStart w:id="238" w:name="a620703"/>
      <w:r w:rsidRPr="00C7122C">
        <w:rPr>
          <w:sz w:val="20"/>
          <w:szCs w:val="20"/>
        </w:rPr>
        <w:t>the Sale Date; and</w:t>
      </w:r>
      <w:bookmarkEnd w:id="238"/>
    </w:p>
    <w:p w14:paraId="5655DB28" w14:textId="5B6EF484" w:rsidR="00D54FE8" w:rsidRPr="00C7122C" w:rsidRDefault="00D54FE8" w:rsidP="00D54FE8">
      <w:pPr>
        <w:pStyle w:val="Level3"/>
        <w:rPr>
          <w:sz w:val="20"/>
          <w:szCs w:val="20"/>
        </w:rPr>
      </w:pPr>
      <w:bookmarkStart w:id="239" w:name="a381394"/>
      <w:r w:rsidRPr="00C7122C">
        <w:rPr>
          <w:sz w:val="20"/>
          <w:szCs w:val="20"/>
        </w:rPr>
        <w:t xml:space="preserve">the number of </w:t>
      </w:r>
      <w:r w:rsidR="00092D22">
        <w:rPr>
          <w:sz w:val="20"/>
          <w:szCs w:val="20"/>
        </w:rPr>
        <w:t>Ordinary Shares</w:t>
      </w:r>
      <w:r w:rsidRPr="00C7122C">
        <w:rPr>
          <w:sz w:val="20"/>
          <w:szCs w:val="20"/>
        </w:rPr>
        <w:t xml:space="preserve"> which would be held by the Buyer (and persons acting in concert with the Buyer) on completion of the Proposed Transfer.</w:t>
      </w:r>
      <w:bookmarkEnd w:id="239"/>
    </w:p>
    <w:p w14:paraId="36C5789B" w14:textId="77777777" w:rsidR="00D54FE8" w:rsidRPr="00C7122C" w:rsidRDefault="00D54FE8" w:rsidP="00D54FE8">
      <w:pPr>
        <w:pStyle w:val="Level2"/>
        <w:rPr>
          <w:sz w:val="20"/>
          <w:szCs w:val="20"/>
        </w:rPr>
      </w:pPr>
      <w:bookmarkStart w:id="240" w:name="a853101"/>
      <w:r w:rsidRPr="00C7122C">
        <w:rPr>
          <w:sz w:val="20"/>
          <w:szCs w:val="20"/>
        </w:rPr>
        <w:t>The completion of the Proposed Transfer shall be conditional in all respects on:</w:t>
      </w:r>
      <w:bookmarkEnd w:id="240"/>
    </w:p>
    <w:p w14:paraId="50B09B70" w14:textId="33D1BE91" w:rsidR="00D54FE8" w:rsidRPr="00C7122C" w:rsidRDefault="00D54FE8" w:rsidP="00D54FE8">
      <w:pPr>
        <w:pStyle w:val="Level3"/>
        <w:rPr>
          <w:sz w:val="20"/>
          <w:szCs w:val="20"/>
        </w:rPr>
      </w:pPr>
      <w:bookmarkStart w:id="241" w:name="a624748"/>
      <w:r w:rsidRPr="00C7122C">
        <w:rPr>
          <w:sz w:val="20"/>
          <w:szCs w:val="20"/>
        </w:rPr>
        <w:t xml:space="preserve">the making of an Offer in accordance with article </w:t>
      </w:r>
      <w:r w:rsidR="00CA4B1C">
        <w:rPr>
          <w:sz w:val="20"/>
          <w:szCs w:val="20"/>
        </w:rPr>
        <w:fldChar w:fldCharType="begin"/>
      </w:r>
      <w:r w:rsidR="00CA4B1C">
        <w:rPr>
          <w:sz w:val="20"/>
          <w:szCs w:val="20"/>
        </w:rPr>
        <w:instrText xml:space="preserve"> REF _Ref142576284 \r \h </w:instrText>
      </w:r>
      <w:r w:rsidR="00CA4B1C">
        <w:rPr>
          <w:sz w:val="20"/>
          <w:szCs w:val="20"/>
        </w:rPr>
      </w:r>
      <w:r w:rsidR="00CA4B1C">
        <w:rPr>
          <w:sz w:val="20"/>
          <w:szCs w:val="20"/>
        </w:rPr>
        <w:fldChar w:fldCharType="separate"/>
      </w:r>
      <w:r w:rsidR="0017407B">
        <w:rPr>
          <w:sz w:val="20"/>
          <w:szCs w:val="20"/>
        </w:rPr>
        <w:t>19.2</w:t>
      </w:r>
      <w:r w:rsidR="00CA4B1C">
        <w:rPr>
          <w:sz w:val="20"/>
          <w:szCs w:val="20"/>
        </w:rPr>
        <w:fldChar w:fldCharType="end"/>
      </w:r>
      <w:r w:rsidRPr="00C7122C">
        <w:rPr>
          <w:sz w:val="20"/>
          <w:szCs w:val="20"/>
        </w:rPr>
        <w:fldChar w:fldCharType="begin"/>
      </w:r>
      <w:r w:rsidRPr="00C7122C">
        <w:rPr>
          <w:sz w:val="20"/>
          <w:szCs w:val="20"/>
        </w:rPr>
        <w:instrText xml:space="preserve"> REF _Ref112941105 \r \h </w:instrText>
      </w:r>
      <w:r w:rsidR="00D90415" w:rsidRPr="00C7122C">
        <w:rPr>
          <w:sz w:val="20"/>
          <w:szCs w:val="20"/>
        </w:rPr>
        <w:instrText xml:space="preserve"> \* MERGEFORMAT </w:instrText>
      </w:r>
      <w:r w:rsidRPr="00C7122C">
        <w:rPr>
          <w:sz w:val="20"/>
          <w:szCs w:val="20"/>
        </w:rPr>
      </w:r>
      <w:r w:rsidR="00000000">
        <w:rPr>
          <w:sz w:val="20"/>
          <w:szCs w:val="20"/>
        </w:rPr>
        <w:fldChar w:fldCharType="separate"/>
      </w:r>
      <w:r w:rsidRPr="00C7122C">
        <w:rPr>
          <w:sz w:val="20"/>
          <w:szCs w:val="20"/>
        </w:rPr>
        <w:fldChar w:fldCharType="end"/>
      </w:r>
      <w:r w:rsidRPr="00C7122C">
        <w:rPr>
          <w:sz w:val="20"/>
          <w:szCs w:val="20"/>
        </w:rPr>
        <w:t>; and</w:t>
      </w:r>
      <w:bookmarkEnd w:id="241"/>
    </w:p>
    <w:p w14:paraId="2247FC51" w14:textId="758F8EBD" w:rsidR="00D54FE8" w:rsidRPr="00C7122C" w:rsidRDefault="00D54FE8" w:rsidP="00D54FE8">
      <w:pPr>
        <w:pStyle w:val="Level3"/>
        <w:rPr>
          <w:sz w:val="20"/>
          <w:szCs w:val="20"/>
        </w:rPr>
      </w:pPr>
      <w:bookmarkStart w:id="242" w:name="a575387"/>
      <w:r w:rsidRPr="00C7122C">
        <w:rPr>
          <w:sz w:val="20"/>
          <w:szCs w:val="20"/>
        </w:rPr>
        <w:t xml:space="preserve">the completion of the transfer of any </w:t>
      </w:r>
      <w:r w:rsidR="00092D22">
        <w:rPr>
          <w:sz w:val="20"/>
          <w:szCs w:val="20"/>
        </w:rPr>
        <w:t>Ordinary Shares</w:t>
      </w:r>
      <w:r w:rsidRPr="00C7122C">
        <w:rPr>
          <w:sz w:val="20"/>
          <w:szCs w:val="20"/>
        </w:rPr>
        <w:t xml:space="preserve"> by any Offeree (each an </w:t>
      </w:r>
      <w:r w:rsidRPr="00C7122C">
        <w:rPr>
          <w:rFonts w:eastAsia="Arial"/>
          <w:color w:val="000000"/>
          <w:sz w:val="20"/>
          <w:szCs w:val="20"/>
        </w:rPr>
        <w:t>Accepting Offeree</w:t>
      </w:r>
      <w:r w:rsidRPr="00C7122C">
        <w:rPr>
          <w:sz w:val="20"/>
          <w:szCs w:val="20"/>
        </w:rPr>
        <w:t>) who accepts the Offer within the Offer Period</w:t>
      </w:r>
      <w:bookmarkEnd w:id="242"/>
      <w:r w:rsidRPr="00C7122C">
        <w:rPr>
          <w:sz w:val="20"/>
          <w:szCs w:val="20"/>
        </w:rPr>
        <w:t>; and</w:t>
      </w:r>
    </w:p>
    <w:p w14:paraId="3EA78718" w14:textId="77777777" w:rsidR="00D54FE8" w:rsidRPr="00C7122C" w:rsidRDefault="00D54FE8" w:rsidP="00D54FE8">
      <w:pPr>
        <w:pStyle w:val="Level3"/>
        <w:numPr>
          <w:ilvl w:val="0"/>
          <w:numId w:val="0"/>
        </w:numPr>
        <w:ind w:left="1474"/>
        <w:rPr>
          <w:sz w:val="20"/>
          <w:szCs w:val="20"/>
        </w:rPr>
      </w:pPr>
      <w:r w:rsidRPr="00C7122C">
        <w:rPr>
          <w:sz w:val="20"/>
          <w:szCs w:val="20"/>
        </w:rPr>
        <w:t xml:space="preserve">the Directors shall refuse to register any Proposed Transfer made in breach of this </w:t>
      </w:r>
      <w:r w:rsidRPr="00C7122C">
        <w:rPr>
          <w:sz w:val="20"/>
          <w:szCs w:val="20"/>
        </w:rPr>
        <w:fldChar w:fldCharType="begin"/>
      </w:r>
      <w:r w:rsidRPr="00C7122C">
        <w:rPr>
          <w:sz w:val="20"/>
          <w:szCs w:val="20"/>
        </w:rPr>
        <w:instrText>PAGEREF a853101\#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a853101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19.4</w:t>
      </w:r>
      <w:r w:rsidRPr="00C7122C">
        <w:rPr>
          <w:sz w:val="20"/>
          <w:szCs w:val="20"/>
        </w:rPr>
        <w:fldChar w:fldCharType="end"/>
      </w:r>
      <w:r w:rsidRPr="00C7122C">
        <w:rPr>
          <w:sz w:val="20"/>
          <w:szCs w:val="20"/>
        </w:rPr>
        <w:t>.</w:t>
      </w:r>
    </w:p>
    <w:p w14:paraId="3BF66B20" w14:textId="77777777" w:rsidR="00D54FE8" w:rsidRPr="00C7122C" w:rsidRDefault="00D54FE8" w:rsidP="00D54FE8">
      <w:pPr>
        <w:pStyle w:val="Level2"/>
        <w:rPr>
          <w:sz w:val="20"/>
          <w:szCs w:val="20"/>
        </w:rPr>
      </w:pPr>
      <w:bookmarkStart w:id="243" w:name="a298535"/>
      <w:r w:rsidRPr="00C7122C">
        <w:rPr>
          <w:sz w:val="20"/>
          <w:szCs w:val="20"/>
        </w:rPr>
        <w:t xml:space="preserve">The Proposed Transfer is, but the purchase of Shares from Accepting Offerees pursuant to an Offer made under this article </w:t>
      </w:r>
      <w:r w:rsidR="003D1ED0">
        <w:rPr>
          <w:sz w:val="20"/>
          <w:szCs w:val="20"/>
        </w:rPr>
        <w:fldChar w:fldCharType="begin"/>
      </w:r>
      <w:r w:rsidR="003D1ED0">
        <w:rPr>
          <w:sz w:val="20"/>
          <w:szCs w:val="20"/>
        </w:rPr>
        <w:instrText xml:space="preserve"> REF _Ref142319831 \r \h </w:instrText>
      </w:r>
      <w:r w:rsidR="003D1ED0">
        <w:rPr>
          <w:sz w:val="20"/>
          <w:szCs w:val="20"/>
        </w:rPr>
      </w:r>
      <w:r w:rsidR="003D1ED0">
        <w:rPr>
          <w:sz w:val="20"/>
          <w:szCs w:val="20"/>
        </w:rPr>
        <w:fldChar w:fldCharType="separate"/>
      </w:r>
      <w:r w:rsidR="0017407B">
        <w:rPr>
          <w:sz w:val="20"/>
          <w:szCs w:val="20"/>
        </w:rPr>
        <w:t>19</w:t>
      </w:r>
      <w:r w:rsidR="003D1ED0">
        <w:rPr>
          <w:sz w:val="20"/>
          <w:szCs w:val="20"/>
        </w:rPr>
        <w:fldChar w:fldCharType="end"/>
      </w:r>
      <w:r w:rsidR="003D1ED0">
        <w:rPr>
          <w:sz w:val="20"/>
          <w:szCs w:val="20"/>
        </w:rPr>
        <w:t xml:space="preserve"> </w:t>
      </w:r>
      <w:r w:rsidRPr="00C7122C">
        <w:rPr>
          <w:sz w:val="20"/>
          <w:szCs w:val="20"/>
        </w:rPr>
        <w:t xml:space="preserve">shall not be, subject to the pre-emption provisions of </w:t>
      </w:r>
      <w:r w:rsidRPr="00C7122C">
        <w:rPr>
          <w:sz w:val="20"/>
          <w:szCs w:val="20"/>
        </w:rPr>
        <w:fldChar w:fldCharType="begin"/>
      </w:r>
      <w:r w:rsidRPr="00C7122C">
        <w:rPr>
          <w:sz w:val="20"/>
          <w:szCs w:val="20"/>
        </w:rPr>
        <w:instrText>PAGEREF a73365\#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a73365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16</w:t>
      </w:r>
      <w:r w:rsidRPr="00C7122C">
        <w:rPr>
          <w:sz w:val="20"/>
          <w:szCs w:val="20"/>
        </w:rPr>
        <w:fldChar w:fldCharType="end"/>
      </w:r>
      <w:r w:rsidRPr="00C7122C">
        <w:rPr>
          <w:sz w:val="20"/>
          <w:szCs w:val="20"/>
        </w:rPr>
        <w:t>.</w:t>
      </w:r>
      <w:bookmarkEnd w:id="243"/>
    </w:p>
    <w:p w14:paraId="7778886F" w14:textId="77777777" w:rsidR="00000000" w:rsidRPr="00C7122C" w:rsidRDefault="00A35BEC" w:rsidP="00E12420">
      <w:pPr>
        <w:pStyle w:val="Level1"/>
        <w:rPr>
          <w:sz w:val="20"/>
          <w:szCs w:val="20"/>
        </w:rPr>
      </w:pPr>
      <w:bookmarkStart w:id="244" w:name="_Toc256000022"/>
      <w:bookmarkStart w:id="245" w:name="a457892"/>
      <w:bookmarkStart w:id="246" w:name="_Toc144907428"/>
      <w:r w:rsidRPr="00C7122C">
        <w:rPr>
          <w:sz w:val="20"/>
          <w:szCs w:val="20"/>
        </w:rPr>
        <w:t>Drag along</w:t>
      </w:r>
      <w:bookmarkEnd w:id="244"/>
      <w:bookmarkEnd w:id="245"/>
      <w:bookmarkEnd w:id="246"/>
    </w:p>
    <w:p w14:paraId="6616F40C" w14:textId="1DF6617E" w:rsidR="00D54FE8" w:rsidRPr="00C7122C" w:rsidRDefault="00D54FE8" w:rsidP="00D54FE8">
      <w:pPr>
        <w:pStyle w:val="Level2"/>
        <w:rPr>
          <w:sz w:val="20"/>
          <w:szCs w:val="20"/>
        </w:rPr>
      </w:pPr>
      <w:bookmarkStart w:id="247" w:name="a78272"/>
      <w:r w:rsidRPr="00C7122C">
        <w:rPr>
          <w:sz w:val="20"/>
          <w:szCs w:val="20"/>
        </w:rPr>
        <w:t xml:space="preserve">If Shareholders </w:t>
      </w:r>
      <w:r w:rsidR="003D1ED0">
        <w:rPr>
          <w:sz w:val="20"/>
          <w:szCs w:val="20"/>
        </w:rPr>
        <w:t xml:space="preserve">holding 75% of the </w:t>
      </w:r>
      <w:r w:rsidR="00092D22">
        <w:rPr>
          <w:sz w:val="20"/>
          <w:szCs w:val="20"/>
        </w:rPr>
        <w:t>Ordinary Shares</w:t>
      </w:r>
      <w:r w:rsidR="003D1ED0">
        <w:rPr>
          <w:sz w:val="20"/>
          <w:szCs w:val="20"/>
        </w:rPr>
        <w:t xml:space="preserve"> </w:t>
      </w:r>
      <w:r w:rsidRPr="00C7122C">
        <w:rPr>
          <w:sz w:val="20"/>
          <w:szCs w:val="20"/>
        </w:rPr>
        <w:t xml:space="preserve">(the </w:t>
      </w:r>
      <w:r w:rsidRPr="003D1ED0">
        <w:rPr>
          <w:rFonts w:eastAsia="Arial"/>
          <w:b/>
          <w:bCs/>
          <w:color w:val="000000"/>
          <w:sz w:val="20"/>
          <w:szCs w:val="20"/>
        </w:rPr>
        <w:t>Selling Shareholders</w:t>
      </w:r>
      <w:r w:rsidRPr="00C7122C">
        <w:rPr>
          <w:sz w:val="20"/>
          <w:szCs w:val="20"/>
        </w:rPr>
        <w:t xml:space="preserve">) wish to transfer all of their interest in </w:t>
      </w:r>
      <w:r w:rsidR="003D1ED0">
        <w:rPr>
          <w:sz w:val="20"/>
          <w:szCs w:val="20"/>
        </w:rPr>
        <w:t xml:space="preserve">the </w:t>
      </w:r>
      <w:r w:rsidR="00092D22">
        <w:rPr>
          <w:sz w:val="20"/>
          <w:szCs w:val="20"/>
        </w:rPr>
        <w:t>Ordinary Shares</w:t>
      </w:r>
      <w:r w:rsidRPr="00C7122C">
        <w:rPr>
          <w:sz w:val="20"/>
          <w:szCs w:val="20"/>
        </w:rPr>
        <w:t xml:space="preserve"> (</w:t>
      </w:r>
      <w:r w:rsidRPr="003D1ED0">
        <w:rPr>
          <w:rFonts w:eastAsia="Arial"/>
          <w:b/>
          <w:bCs/>
          <w:color w:val="000000"/>
          <w:sz w:val="20"/>
          <w:szCs w:val="20"/>
        </w:rPr>
        <w:t>Sellers’ Shares</w:t>
      </w:r>
      <w:r w:rsidRPr="00C7122C">
        <w:rPr>
          <w:sz w:val="20"/>
          <w:szCs w:val="20"/>
        </w:rPr>
        <w:t>) to a bona fide purchaser on arm's-length terms (</w:t>
      </w:r>
      <w:r w:rsidRPr="003D1ED0">
        <w:rPr>
          <w:rFonts w:eastAsia="Arial"/>
          <w:b/>
          <w:bCs/>
          <w:color w:val="000000"/>
          <w:sz w:val="20"/>
          <w:szCs w:val="20"/>
        </w:rPr>
        <w:t>Proposed Buyer</w:t>
      </w:r>
      <w:r w:rsidRPr="00C7122C">
        <w:rPr>
          <w:sz w:val="20"/>
          <w:szCs w:val="20"/>
        </w:rPr>
        <w:t>), the Selling Shareholders shall have the option (</w:t>
      </w:r>
      <w:r w:rsidRPr="003D1ED0">
        <w:rPr>
          <w:rFonts w:eastAsia="Arial"/>
          <w:b/>
          <w:bCs/>
          <w:color w:val="000000"/>
          <w:sz w:val="20"/>
          <w:szCs w:val="20"/>
        </w:rPr>
        <w:t>Drag Along Option</w:t>
      </w:r>
      <w:r w:rsidRPr="00C7122C">
        <w:rPr>
          <w:sz w:val="20"/>
          <w:szCs w:val="20"/>
        </w:rPr>
        <w:t xml:space="preserve">) to require all the other holders of </w:t>
      </w:r>
      <w:r w:rsidR="00092D22">
        <w:rPr>
          <w:sz w:val="20"/>
          <w:szCs w:val="20"/>
        </w:rPr>
        <w:t>Ordinary Shares</w:t>
      </w:r>
      <w:r w:rsidRPr="00C7122C">
        <w:rPr>
          <w:sz w:val="20"/>
          <w:szCs w:val="20"/>
        </w:rPr>
        <w:t xml:space="preserve"> on the date of the request (</w:t>
      </w:r>
      <w:r w:rsidRPr="003D1ED0">
        <w:rPr>
          <w:rFonts w:eastAsia="Arial"/>
          <w:b/>
          <w:bCs/>
          <w:color w:val="000000"/>
          <w:sz w:val="20"/>
          <w:szCs w:val="20"/>
        </w:rPr>
        <w:t>Called Shareholders</w:t>
      </w:r>
      <w:r w:rsidRPr="00C7122C">
        <w:rPr>
          <w:sz w:val="20"/>
          <w:szCs w:val="20"/>
        </w:rPr>
        <w:t xml:space="preserve">) to sell and transfer all their interest in </w:t>
      </w:r>
      <w:r w:rsidR="00092D22">
        <w:rPr>
          <w:sz w:val="20"/>
          <w:szCs w:val="20"/>
        </w:rPr>
        <w:t>Ordinary Shares</w:t>
      </w:r>
      <w:r w:rsidRPr="00C7122C">
        <w:rPr>
          <w:sz w:val="20"/>
          <w:szCs w:val="20"/>
        </w:rPr>
        <w:t xml:space="preserve"> to the Proposed Buyer (or as the Proposed Buyer may direct) in accordance with the provisions of this </w:t>
      </w:r>
      <w:r w:rsidRPr="00C7122C">
        <w:rPr>
          <w:sz w:val="20"/>
          <w:szCs w:val="20"/>
        </w:rPr>
        <w:fldChar w:fldCharType="begin"/>
      </w:r>
      <w:r w:rsidRPr="00C7122C">
        <w:rPr>
          <w:sz w:val="20"/>
          <w:szCs w:val="20"/>
        </w:rPr>
        <w:instrText>PAGEREF a457892\#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a457892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w:t>
      </w:r>
      <w:r w:rsidRPr="00C7122C">
        <w:rPr>
          <w:sz w:val="20"/>
          <w:szCs w:val="20"/>
        </w:rPr>
        <w:fldChar w:fldCharType="end"/>
      </w:r>
      <w:bookmarkEnd w:id="247"/>
      <w:r w:rsidR="0017407B">
        <w:rPr>
          <w:sz w:val="20"/>
          <w:szCs w:val="20"/>
        </w:rPr>
        <w:t>.</w:t>
      </w:r>
    </w:p>
    <w:p w14:paraId="199D5597" w14:textId="77777777" w:rsidR="00D54FE8" w:rsidRPr="00C7122C" w:rsidRDefault="00D54FE8" w:rsidP="00D54FE8">
      <w:pPr>
        <w:pStyle w:val="Level2"/>
        <w:rPr>
          <w:sz w:val="20"/>
          <w:szCs w:val="20"/>
        </w:rPr>
      </w:pPr>
      <w:bookmarkStart w:id="248" w:name="a722748"/>
      <w:r w:rsidRPr="00C7122C">
        <w:rPr>
          <w:sz w:val="20"/>
          <w:szCs w:val="20"/>
        </w:rPr>
        <w:lastRenderedPageBreak/>
        <w:t xml:space="preserve">The Selling Shareholders may exercise the Drag Along Option by giving notice in writing to that effect (a </w:t>
      </w:r>
      <w:r w:rsidRPr="003D1ED0">
        <w:rPr>
          <w:rFonts w:eastAsia="Arial"/>
          <w:b/>
          <w:bCs/>
          <w:color w:val="000000"/>
          <w:sz w:val="20"/>
          <w:szCs w:val="20"/>
        </w:rPr>
        <w:t>Drag Along Notice</w:t>
      </w:r>
      <w:r w:rsidRPr="00C7122C">
        <w:rPr>
          <w:sz w:val="20"/>
          <w:szCs w:val="20"/>
        </w:rPr>
        <w:t>), at any time before the completion of the transfer of the Sellers' Shares, to the Proposed Buyer and each Called Shareholder. A Drag Along Notice shall specify:</w:t>
      </w:r>
      <w:bookmarkEnd w:id="248"/>
    </w:p>
    <w:p w14:paraId="43E9448B" w14:textId="1006D087" w:rsidR="00D54FE8" w:rsidRPr="00C7122C" w:rsidRDefault="00D54FE8" w:rsidP="00D54FE8">
      <w:pPr>
        <w:pStyle w:val="Level3"/>
        <w:rPr>
          <w:sz w:val="20"/>
          <w:szCs w:val="20"/>
        </w:rPr>
      </w:pPr>
      <w:bookmarkStart w:id="249" w:name="a786388"/>
      <w:r w:rsidRPr="00C7122C">
        <w:rPr>
          <w:sz w:val="20"/>
          <w:szCs w:val="20"/>
        </w:rPr>
        <w:t xml:space="preserve">that the Called Shareholders are required to transfer all their </w:t>
      </w:r>
      <w:r w:rsidR="00092D22">
        <w:rPr>
          <w:sz w:val="20"/>
          <w:szCs w:val="20"/>
        </w:rPr>
        <w:t>Ordinary Shares</w:t>
      </w:r>
      <w:r w:rsidRPr="00C7122C">
        <w:rPr>
          <w:sz w:val="20"/>
          <w:szCs w:val="20"/>
        </w:rPr>
        <w:t xml:space="preserve"> (</w:t>
      </w:r>
      <w:r w:rsidRPr="003D1ED0">
        <w:rPr>
          <w:rFonts w:eastAsia="Arial"/>
          <w:b/>
          <w:bCs/>
          <w:color w:val="000000"/>
          <w:sz w:val="20"/>
          <w:szCs w:val="20"/>
        </w:rPr>
        <w:t>Called Shares</w:t>
      </w:r>
      <w:r w:rsidRPr="00C7122C">
        <w:rPr>
          <w:sz w:val="20"/>
          <w:szCs w:val="20"/>
        </w:rPr>
        <w:t xml:space="preserve">) pursuant to this </w:t>
      </w:r>
      <w:r w:rsidRPr="00C7122C">
        <w:rPr>
          <w:sz w:val="20"/>
          <w:szCs w:val="20"/>
        </w:rPr>
        <w:fldChar w:fldCharType="begin"/>
      </w:r>
      <w:r w:rsidRPr="00C7122C">
        <w:rPr>
          <w:sz w:val="20"/>
          <w:szCs w:val="20"/>
        </w:rPr>
        <w:instrText>PAGEREF a457892\#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a457892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w:t>
      </w:r>
      <w:r w:rsidRPr="00C7122C">
        <w:rPr>
          <w:sz w:val="20"/>
          <w:szCs w:val="20"/>
        </w:rPr>
        <w:fldChar w:fldCharType="end"/>
      </w:r>
      <w:r w:rsidRPr="00C7122C">
        <w:rPr>
          <w:sz w:val="20"/>
          <w:szCs w:val="20"/>
        </w:rPr>
        <w:t>;</w:t>
      </w:r>
      <w:bookmarkEnd w:id="249"/>
    </w:p>
    <w:p w14:paraId="66F7554C" w14:textId="77777777" w:rsidR="00D54FE8" w:rsidRPr="00C7122C" w:rsidRDefault="00D54FE8" w:rsidP="00D54FE8">
      <w:pPr>
        <w:pStyle w:val="Level3"/>
        <w:rPr>
          <w:sz w:val="20"/>
          <w:szCs w:val="20"/>
        </w:rPr>
      </w:pPr>
      <w:bookmarkStart w:id="250" w:name="a421900"/>
      <w:r w:rsidRPr="00C7122C">
        <w:rPr>
          <w:sz w:val="20"/>
          <w:szCs w:val="20"/>
        </w:rPr>
        <w:t>the identity of the Proposed Buyer (and, if relevant, the transferee(s) nominated by the Proposed Buyer);</w:t>
      </w:r>
      <w:bookmarkEnd w:id="250"/>
    </w:p>
    <w:p w14:paraId="3990256B" w14:textId="77777777" w:rsidR="00D54FE8" w:rsidRPr="00C7122C" w:rsidRDefault="00D54FE8" w:rsidP="00D54FE8">
      <w:pPr>
        <w:pStyle w:val="Level3"/>
        <w:rPr>
          <w:sz w:val="20"/>
          <w:szCs w:val="20"/>
        </w:rPr>
      </w:pPr>
      <w:bookmarkStart w:id="251" w:name="a193328"/>
      <w:r w:rsidRPr="00C7122C">
        <w:rPr>
          <w:sz w:val="20"/>
          <w:szCs w:val="20"/>
        </w:rPr>
        <w:t xml:space="preserve">the consideration payable for the Called Shares calculated in accordance with </w:t>
      </w:r>
      <w:r w:rsidRPr="00C7122C">
        <w:rPr>
          <w:sz w:val="20"/>
          <w:szCs w:val="20"/>
        </w:rPr>
        <w:fldChar w:fldCharType="begin"/>
      </w:r>
      <w:r w:rsidRPr="00C7122C">
        <w:rPr>
          <w:sz w:val="20"/>
          <w:szCs w:val="20"/>
        </w:rPr>
        <w:instrText>PAGEREF a193754\#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a193754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20.4</w:t>
      </w:r>
      <w:r w:rsidRPr="00C7122C">
        <w:rPr>
          <w:sz w:val="20"/>
          <w:szCs w:val="20"/>
        </w:rPr>
        <w:fldChar w:fldCharType="end"/>
      </w:r>
      <w:r w:rsidRPr="00C7122C">
        <w:rPr>
          <w:sz w:val="20"/>
          <w:szCs w:val="20"/>
        </w:rPr>
        <w:t>;</w:t>
      </w:r>
      <w:bookmarkEnd w:id="251"/>
    </w:p>
    <w:p w14:paraId="69F8476B" w14:textId="77777777" w:rsidR="00D54FE8" w:rsidRPr="00C7122C" w:rsidRDefault="00D54FE8" w:rsidP="00D54FE8">
      <w:pPr>
        <w:pStyle w:val="Level3"/>
        <w:rPr>
          <w:sz w:val="20"/>
          <w:szCs w:val="20"/>
        </w:rPr>
      </w:pPr>
      <w:bookmarkStart w:id="252" w:name="a703812"/>
      <w:r w:rsidRPr="00C7122C">
        <w:rPr>
          <w:sz w:val="20"/>
          <w:szCs w:val="20"/>
        </w:rPr>
        <w:t>the proposed date of completion of transfer of the Called Shares.</w:t>
      </w:r>
      <w:bookmarkEnd w:id="252"/>
    </w:p>
    <w:p w14:paraId="74D8D3FF" w14:textId="77777777" w:rsidR="00D54FE8" w:rsidRPr="00C7122C" w:rsidRDefault="00D54FE8" w:rsidP="00D54FE8">
      <w:pPr>
        <w:pStyle w:val="Level2"/>
        <w:rPr>
          <w:sz w:val="20"/>
          <w:szCs w:val="20"/>
        </w:rPr>
      </w:pPr>
      <w:bookmarkStart w:id="253" w:name="a933543"/>
      <w:r w:rsidRPr="00C7122C">
        <w:rPr>
          <w:sz w:val="20"/>
          <w:szCs w:val="20"/>
        </w:rPr>
        <w:t>Once given, a Drag Along Notice may not be revoked. However, a Drag Along Notice shall lapse if, for any reason, the Selling Shareholders have not completed the transfer of all the Sellers' Shares to the Proposed Buyer (or as the Proposed Buyer may direct) within 20 Business Days of serving the Drag Along Notice. The Selling Shareholders may serve further Drag Along Notices following the lapse of any particular Drag Along Notice.</w:t>
      </w:r>
      <w:bookmarkEnd w:id="253"/>
    </w:p>
    <w:p w14:paraId="3D49CEB4" w14:textId="77777777" w:rsidR="00D54FE8" w:rsidRPr="00C7122C" w:rsidRDefault="00D54FE8" w:rsidP="00D54FE8">
      <w:pPr>
        <w:pStyle w:val="Level2"/>
        <w:rPr>
          <w:sz w:val="20"/>
          <w:szCs w:val="20"/>
        </w:rPr>
      </w:pPr>
      <w:bookmarkStart w:id="254" w:name="a193754"/>
      <w:r w:rsidRPr="00C7122C">
        <w:rPr>
          <w:sz w:val="20"/>
          <w:szCs w:val="20"/>
        </w:rPr>
        <w:t>The consideration (in cash or otherwise) for which the Called Shareholders shall be obliged to sell each of the Called Shares shall be that to which they would be entitled if the total consideration proposed to be paid by the Proposed Buyer were distributed to the holders of the Called Shares and the Sellers' Shares in accordance with the provisions of article</w:t>
      </w:r>
      <w:r w:rsidR="003D1ED0">
        <w:rPr>
          <w:sz w:val="20"/>
          <w:szCs w:val="20"/>
        </w:rPr>
        <w:t xml:space="preserve"> </w:t>
      </w:r>
      <w:r w:rsidR="003D1ED0">
        <w:rPr>
          <w:sz w:val="20"/>
          <w:szCs w:val="20"/>
        </w:rPr>
        <w:fldChar w:fldCharType="begin"/>
      </w:r>
      <w:r w:rsidR="003D1ED0">
        <w:rPr>
          <w:sz w:val="20"/>
          <w:szCs w:val="20"/>
        </w:rPr>
        <w:instrText xml:space="preserve"> REF _Ref142319988 \r \h </w:instrText>
      </w:r>
      <w:r w:rsidR="003D1ED0">
        <w:rPr>
          <w:sz w:val="20"/>
          <w:szCs w:val="20"/>
        </w:rPr>
      </w:r>
      <w:r w:rsidR="003D1ED0">
        <w:rPr>
          <w:sz w:val="20"/>
          <w:szCs w:val="20"/>
        </w:rPr>
        <w:fldChar w:fldCharType="separate"/>
      </w:r>
      <w:r w:rsidR="0017407B">
        <w:rPr>
          <w:sz w:val="20"/>
          <w:szCs w:val="20"/>
        </w:rPr>
        <w:t>10</w:t>
      </w:r>
      <w:r w:rsidR="003D1ED0">
        <w:rPr>
          <w:sz w:val="20"/>
          <w:szCs w:val="20"/>
        </w:rPr>
        <w:fldChar w:fldCharType="end"/>
      </w:r>
      <w:r w:rsidRPr="00C7122C">
        <w:rPr>
          <w:sz w:val="20"/>
          <w:szCs w:val="20"/>
        </w:rPr>
        <w:t>.</w:t>
      </w:r>
      <w:bookmarkEnd w:id="254"/>
    </w:p>
    <w:p w14:paraId="538BACFA" w14:textId="77777777" w:rsidR="00D54FE8" w:rsidRPr="00C7122C" w:rsidRDefault="00D54FE8" w:rsidP="00D54FE8">
      <w:pPr>
        <w:pStyle w:val="Level2"/>
        <w:rPr>
          <w:sz w:val="20"/>
          <w:szCs w:val="20"/>
        </w:rPr>
      </w:pPr>
      <w:bookmarkStart w:id="255" w:name="a508935"/>
      <w:r w:rsidRPr="00C7122C">
        <w:rPr>
          <w:sz w:val="20"/>
          <w:szCs w:val="20"/>
        </w:rPr>
        <w:t xml:space="preserve">No Drag Along Notice shall require a Called Shareholder to agree to any terms except those specifically set out in this </w:t>
      </w:r>
      <w:r w:rsidRPr="00C7122C">
        <w:rPr>
          <w:sz w:val="20"/>
          <w:szCs w:val="20"/>
        </w:rPr>
        <w:fldChar w:fldCharType="begin"/>
      </w:r>
      <w:r w:rsidRPr="00C7122C">
        <w:rPr>
          <w:sz w:val="20"/>
          <w:szCs w:val="20"/>
        </w:rPr>
        <w:instrText>PAGEREF a457892\#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a457892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w:t>
      </w:r>
      <w:r w:rsidRPr="00C7122C">
        <w:rPr>
          <w:sz w:val="20"/>
          <w:szCs w:val="20"/>
        </w:rPr>
        <w:fldChar w:fldCharType="end"/>
      </w:r>
      <w:r w:rsidRPr="00C7122C">
        <w:rPr>
          <w:sz w:val="20"/>
          <w:szCs w:val="20"/>
        </w:rPr>
        <w:t>.</w:t>
      </w:r>
      <w:bookmarkEnd w:id="255"/>
    </w:p>
    <w:p w14:paraId="3077C7A4" w14:textId="77777777" w:rsidR="00D54FE8" w:rsidRPr="00C7122C" w:rsidRDefault="00D54FE8" w:rsidP="00D54FE8">
      <w:pPr>
        <w:pStyle w:val="Level2"/>
        <w:rPr>
          <w:sz w:val="20"/>
          <w:szCs w:val="20"/>
        </w:rPr>
      </w:pPr>
      <w:bookmarkStart w:id="256" w:name="a58997"/>
      <w:r w:rsidRPr="00C7122C">
        <w:rPr>
          <w:sz w:val="20"/>
          <w:szCs w:val="20"/>
        </w:rPr>
        <w:t>Completion of the sale and purchase of the Called Shares shall take place on the same date as, and conditional upon the completion of, the sale and purchase of the Sellers' Shares unless:</w:t>
      </w:r>
      <w:bookmarkEnd w:id="256"/>
    </w:p>
    <w:p w14:paraId="7E32A9BA" w14:textId="77777777" w:rsidR="00D54FE8" w:rsidRPr="00C7122C" w:rsidRDefault="00D54FE8" w:rsidP="00D54FE8">
      <w:pPr>
        <w:pStyle w:val="Level3"/>
        <w:rPr>
          <w:sz w:val="20"/>
          <w:szCs w:val="20"/>
        </w:rPr>
      </w:pPr>
      <w:bookmarkStart w:id="257" w:name="a86777"/>
      <w:r w:rsidRPr="00C7122C">
        <w:rPr>
          <w:sz w:val="20"/>
          <w:szCs w:val="20"/>
        </w:rPr>
        <w:t>all of the Called Shareholders and the Selling Shareholders otherwise agree; or</w:t>
      </w:r>
      <w:bookmarkEnd w:id="257"/>
    </w:p>
    <w:p w14:paraId="78A64BE3" w14:textId="77777777" w:rsidR="00D54FE8" w:rsidRPr="00C7122C" w:rsidRDefault="00D54FE8" w:rsidP="00D54FE8">
      <w:pPr>
        <w:pStyle w:val="Level3"/>
        <w:rPr>
          <w:sz w:val="20"/>
          <w:szCs w:val="20"/>
        </w:rPr>
      </w:pPr>
      <w:bookmarkStart w:id="258" w:name="a828205"/>
      <w:r w:rsidRPr="00C7122C">
        <w:rPr>
          <w:sz w:val="20"/>
          <w:szCs w:val="20"/>
        </w:rPr>
        <w:t>that date is less than 5 Business Days after the date of service of the Drag Along Notice, in which case completion of the sale and purchase of the Called Shares shall take place 20 Business Days after the date of service of the Drag Along Notice.</w:t>
      </w:r>
      <w:bookmarkEnd w:id="258"/>
    </w:p>
    <w:p w14:paraId="1EBA4551" w14:textId="6BA25966" w:rsidR="00D54FE8" w:rsidRPr="00C7122C" w:rsidRDefault="00D54FE8" w:rsidP="00D54FE8">
      <w:pPr>
        <w:pStyle w:val="Level2"/>
        <w:rPr>
          <w:sz w:val="20"/>
          <w:szCs w:val="20"/>
        </w:rPr>
      </w:pPr>
      <w:bookmarkStart w:id="259" w:name="a630682"/>
      <w:r w:rsidRPr="00C7122C">
        <w:rPr>
          <w:sz w:val="20"/>
          <w:szCs w:val="20"/>
        </w:rPr>
        <w:t xml:space="preserve">Within 20 Business Days of the Selling Shareholders serving a Drag Along Notice on the Called Shareholders, the Called Shareholders shall deliver stock transfer forms for their </w:t>
      </w:r>
      <w:r w:rsidR="00092D22">
        <w:rPr>
          <w:sz w:val="20"/>
          <w:szCs w:val="20"/>
        </w:rPr>
        <w:t>Ordinary Shares</w:t>
      </w:r>
      <w:r w:rsidRPr="00C7122C">
        <w:rPr>
          <w:sz w:val="20"/>
          <w:szCs w:val="20"/>
        </w:rPr>
        <w:t xml:space="preserve"> in favour of the Proposed Buyer (or as the Proposed Buyer may direct), together with the share certificate(s) in respect of those </w:t>
      </w:r>
      <w:r w:rsidR="00092D22">
        <w:rPr>
          <w:sz w:val="20"/>
          <w:szCs w:val="20"/>
        </w:rPr>
        <w:t>Ordinary Shares</w:t>
      </w:r>
      <w:r w:rsidRPr="00C7122C">
        <w:rPr>
          <w:sz w:val="20"/>
          <w:szCs w:val="20"/>
        </w:rPr>
        <w:t xml:space="preserve"> (or a suitable indemnity in respect thereof) to the Company.  On the expiration of that 20 Business Day period the Company shall pay the Called Shareholders, on behalf of the Proposed Buyer, the amounts they are respectively due pursuant to </w:t>
      </w:r>
      <w:r w:rsidRPr="00C7122C">
        <w:rPr>
          <w:sz w:val="20"/>
          <w:szCs w:val="20"/>
        </w:rPr>
        <w:fldChar w:fldCharType="begin"/>
      </w:r>
      <w:r w:rsidRPr="00C7122C">
        <w:rPr>
          <w:sz w:val="20"/>
          <w:szCs w:val="20"/>
        </w:rPr>
        <w:instrText>PAGEREF a193754\#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a193754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20.4</w:t>
      </w:r>
      <w:r w:rsidRPr="00C7122C">
        <w:rPr>
          <w:sz w:val="20"/>
          <w:szCs w:val="20"/>
        </w:rPr>
        <w:fldChar w:fldCharType="end"/>
      </w:r>
      <w:r w:rsidRPr="00C7122C">
        <w:rPr>
          <w:sz w:val="20"/>
          <w:szCs w:val="20"/>
        </w:rPr>
        <w:t xml:space="preserve"> to the extent the Proposed Buyer has put the Company in the requisite funds.  The Company's receipt for the amounts due pursuant to </w:t>
      </w:r>
      <w:r w:rsidRPr="00C7122C">
        <w:rPr>
          <w:sz w:val="20"/>
          <w:szCs w:val="20"/>
        </w:rPr>
        <w:fldChar w:fldCharType="begin"/>
      </w:r>
      <w:r w:rsidRPr="00C7122C">
        <w:rPr>
          <w:sz w:val="20"/>
          <w:szCs w:val="20"/>
        </w:rPr>
        <w:instrText>PAGEREF a193754\#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a193754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20.4</w:t>
      </w:r>
      <w:r w:rsidRPr="00C7122C">
        <w:rPr>
          <w:sz w:val="20"/>
          <w:szCs w:val="20"/>
        </w:rPr>
        <w:fldChar w:fldCharType="end"/>
      </w:r>
      <w:r w:rsidRPr="00C7122C">
        <w:rPr>
          <w:sz w:val="20"/>
          <w:szCs w:val="20"/>
        </w:rPr>
        <w:t xml:space="preserve"> shall be a good discharge to the Proposed Buyer. The Company shall hold the amounts due to the Called Shareholders pursuant to </w:t>
      </w:r>
      <w:r w:rsidRPr="00C7122C">
        <w:rPr>
          <w:sz w:val="20"/>
          <w:szCs w:val="20"/>
        </w:rPr>
        <w:fldChar w:fldCharType="begin"/>
      </w:r>
      <w:r w:rsidRPr="00C7122C">
        <w:rPr>
          <w:sz w:val="20"/>
          <w:szCs w:val="20"/>
        </w:rPr>
        <w:instrText>PAGEREF a193754\#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a193754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20.4</w:t>
      </w:r>
      <w:r w:rsidRPr="00C7122C">
        <w:rPr>
          <w:sz w:val="20"/>
          <w:szCs w:val="20"/>
        </w:rPr>
        <w:fldChar w:fldCharType="end"/>
      </w:r>
      <w:r w:rsidRPr="00C7122C">
        <w:rPr>
          <w:sz w:val="20"/>
          <w:szCs w:val="20"/>
        </w:rPr>
        <w:t xml:space="preserve"> in trust for the Called Shareholders without any obligation to pay interest.</w:t>
      </w:r>
      <w:bookmarkEnd w:id="259"/>
    </w:p>
    <w:p w14:paraId="6B020605" w14:textId="4367800A" w:rsidR="00D54FE8" w:rsidRPr="00C7122C" w:rsidRDefault="00D54FE8" w:rsidP="00D54FE8">
      <w:pPr>
        <w:pStyle w:val="Level2"/>
        <w:rPr>
          <w:sz w:val="20"/>
          <w:szCs w:val="20"/>
        </w:rPr>
      </w:pPr>
      <w:bookmarkStart w:id="260" w:name="a211532"/>
      <w:r w:rsidRPr="00C7122C">
        <w:rPr>
          <w:sz w:val="20"/>
          <w:szCs w:val="20"/>
        </w:rPr>
        <w:t xml:space="preserve">To the extent that the Proposed Buyer has not, on the expiration of the 20 Business Day period, put the Company in funds to pay the amounts due pursuant to </w:t>
      </w:r>
      <w:r w:rsidRPr="00C7122C">
        <w:rPr>
          <w:sz w:val="20"/>
          <w:szCs w:val="20"/>
        </w:rPr>
        <w:fldChar w:fldCharType="begin"/>
      </w:r>
      <w:r w:rsidRPr="00C7122C">
        <w:rPr>
          <w:sz w:val="20"/>
          <w:szCs w:val="20"/>
        </w:rPr>
        <w:instrText>PAGEREF a193754\#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a193754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20.4</w:t>
      </w:r>
      <w:r w:rsidRPr="00C7122C">
        <w:rPr>
          <w:sz w:val="20"/>
          <w:szCs w:val="20"/>
        </w:rPr>
        <w:fldChar w:fldCharType="end"/>
      </w:r>
      <w:r w:rsidRPr="00C7122C">
        <w:rPr>
          <w:sz w:val="20"/>
          <w:szCs w:val="20"/>
        </w:rPr>
        <w:t xml:space="preserve">, the Called Shareholders shall be entitled to the return of the stock transfer forms and share certificate(s) (or suitable </w:t>
      </w:r>
      <w:r w:rsidRPr="00C7122C">
        <w:rPr>
          <w:sz w:val="20"/>
          <w:szCs w:val="20"/>
        </w:rPr>
        <w:lastRenderedPageBreak/>
        <w:t xml:space="preserve">indemnity) for the relevant </w:t>
      </w:r>
      <w:r w:rsidR="00092D22">
        <w:rPr>
          <w:sz w:val="20"/>
          <w:szCs w:val="20"/>
        </w:rPr>
        <w:t>Ordinary Shares</w:t>
      </w:r>
      <w:r w:rsidRPr="00C7122C">
        <w:rPr>
          <w:sz w:val="20"/>
          <w:szCs w:val="20"/>
        </w:rPr>
        <w:t xml:space="preserve"> and the Called Shareholders shall have no further rights or obligations under this </w:t>
      </w:r>
      <w:r w:rsidRPr="00C7122C">
        <w:rPr>
          <w:sz w:val="20"/>
          <w:szCs w:val="20"/>
        </w:rPr>
        <w:fldChar w:fldCharType="begin"/>
      </w:r>
      <w:r w:rsidRPr="00C7122C">
        <w:rPr>
          <w:sz w:val="20"/>
          <w:szCs w:val="20"/>
        </w:rPr>
        <w:instrText>PAGEREF a457892\#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a457892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w:t>
      </w:r>
      <w:r w:rsidRPr="00C7122C">
        <w:rPr>
          <w:sz w:val="20"/>
          <w:szCs w:val="20"/>
        </w:rPr>
        <w:fldChar w:fldCharType="end"/>
      </w:r>
      <w:r w:rsidRPr="00C7122C">
        <w:rPr>
          <w:sz w:val="20"/>
          <w:szCs w:val="20"/>
        </w:rPr>
        <w:t xml:space="preserve"> in respect of their </w:t>
      </w:r>
      <w:r w:rsidR="00092D22">
        <w:rPr>
          <w:sz w:val="20"/>
          <w:szCs w:val="20"/>
        </w:rPr>
        <w:t>Ordinary Shares</w:t>
      </w:r>
      <w:r w:rsidRPr="00C7122C">
        <w:rPr>
          <w:sz w:val="20"/>
          <w:szCs w:val="20"/>
        </w:rPr>
        <w:t>.</w:t>
      </w:r>
      <w:bookmarkEnd w:id="260"/>
    </w:p>
    <w:p w14:paraId="47ADE69A" w14:textId="77777777" w:rsidR="00D54FE8" w:rsidRPr="00C7122C" w:rsidRDefault="00D54FE8" w:rsidP="00D54FE8">
      <w:pPr>
        <w:pStyle w:val="Level2"/>
        <w:rPr>
          <w:sz w:val="20"/>
          <w:szCs w:val="20"/>
        </w:rPr>
      </w:pPr>
      <w:bookmarkStart w:id="261" w:name="a353537"/>
      <w:r w:rsidRPr="00C7122C">
        <w:rPr>
          <w:sz w:val="20"/>
          <w:szCs w:val="20"/>
        </w:rPr>
        <w:t xml:space="preserve">If any Called Shareholder fails to deliver to the Company a duly executed stock transfer form (or forms) in respect of the Called Shares held by them (together with the share certificate(s) in respect of those Called Shares (or a suitable indemnity in respect thereof)) the defaulting Called Shareholder shall be deemed to have appointed any person nominated for the purpose by the Selling Shareholders to be their agent and attorney to execute and deliver all necessary transfers on their behalf, against receipt by the Company (on trust for such holder) of the consideration payable for the Called Shares. After the Proposed Buyer (or person(s) nominated by the Proposed Buyer) has been registered as the holder of any such Called Shares, the validity of such proceedings shall not be questioned by any person. Failure to produce a share certificate shall not impede the registration of any transfer of Shares under this </w:t>
      </w:r>
      <w:r w:rsidRPr="00C7122C">
        <w:rPr>
          <w:sz w:val="20"/>
          <w:szCs w:val="20"/>
        </w:rPr>
        <w:fldChar w:fldCharType="begin"/>
      </w:r>
      <w:r w:rsidRPr="00C7122C">
        <w:rPr>
          <w:sz w:val="20"/>
          <w:szCs w:val="20"/>
        </w:rPr>
        <w:instrText>PAGEREF a457892\#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a457892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w:t>
      </w:r>
      <w:r w:rsidRPr="00C7122C">
        <w:rPr>
          <w:sz w:val="20"/>
          <w:szCs w:val="20"/>
        </w:rPr>
        <w:fldChar w:fldCharType="end"/>
      </w:r>
      <w:r w:rsidRPr="00C7122C">
        <w:rPr>
          <w:sz w:val="20"/>
          <w:szCs w:val="20"/>
        </w:rPr>
        <w:t>.</w:t>
      </w:r>
      <w:bookmarkEnd w:id="261"/>
    </w:p>
    <w:p w14:paraId="7574744A" w14:textId="12B789C4" w:rsidR="00D54FE8" w:rsidRPr="00C7122C" w:rsidRDefault="00D54FE8" w:rsidP="00D54FE8">
      <w:pPr>
        <w:pStyle w:val="Level2"/>
        <w:rPr>
          <w:sz w:val="20"/>
          <w:szCs w:val="20"/>
        </w:rPr>
      </w:pPr>
      <w:bookmarkStart w:id="262" w:name="a501753"/>
      <w:r w:rsidRPr="00C7122C">
        <w:rPr>
          <w:sz w:val="20"/>
          <w:szCs w:val="20"/>
        </w:rPr>
        <w:t xml:space="preserve">Upon any person, following the issue of a Drag Along Notice, becoming a Shareholder (or increasing an existing shareholding) including, without limitation, pursuant to the exercise of any option, warrant or other right to acquire or subscribe for, or to convert any security into, </w:t>
      </w:r>
      <w:r w:rsidR="00092D22">
        <w:rPr>
          <w:sz w:val="20"/>
          <w:szCs w:val="20"/>
        </w:rPr>
        <w:t>Ordinary Shares</w:t>
      </w:r>
      <w:r w:rsidRPr="00C7122C">
        <w:rPr>
          <w:sz w:val="20"/>
          <w:szCs w:val="20"/>
        </w:rPr>
        <w:t xml:space="preserve">, (a </w:t>
      </w:r>
      <w:r w:rsidRPr="003D1ED0">
        <w:rPr>
          <w:rFonts w:eastAsia="Arial"/>
          <w:b/>
          <w:bCs/>
          <w:color w:val="000000"/>
          <w:sz w:val="20"/>
          <w:szCs w:val="20"/>
        </w:rPr>
        <w:t>New Shareholder</w:t>
      </w:r>
      <w:r w:rsidRPr="00C7122C">
        <w:rPr>
          <w:sz w:val="20"/>
          <w:szCs w:val="20"/>
        </w:rPr>
        <w:t xml:space="preserve">), a Drag Along Notice shall be deemed to have been served upon the New Shareholder, on the same terms as the previous Drag Along Notice, who shall then be bound to sell and transfer all such </w:t>
      </w:r>
      <w:r w:rsidR="00092D22">
        <w:rPr>
          <w:sz w:val="20"/>
          <w:szCs w:val="20"/>
        </w:rPr>
        <w:t>Ordinary Shares</w:t>
      </w:r>
      <w:r w:rsidRPr="00C7122C">
        <w:rPr>
          <w:sz w:val="20"/>
          <w:szCs w:val="20"/>
        </w:rPr>
        <w:t xml:space="preserve"> acquired by them to the Proposed Buyer (or as the Proposed Buyer may direct) and the provisions of this </w:t>
      </w:r>
      <w:r w:rsidRPr="00C7122C">
        <w:rPr>
          <w:sz w:val="20"/>
          <w:szCs w:val="20"/>
        </w:rPr>
        <w:fldChar w:fldCharType="begin"/>
      </w:r>
      <w:r w:rsidRPr="00C7122C">
        <w:rPr>
          <w:sz w:val="20"/>
          <w:szCs w:val="20"/>
        </w:rPr>
        <w:instrText>PAGEREF a457892\#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a457892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w:t>
      </w:r>
      <w:r w:rsidRPr="00C7122C">
        <w:rPr>
          <w:sz w:val="20"/>
          <w:szCs w:val="20"/>
        </w:rPr>
        <w:fldChar w:fldCharType="end"/>
      </w:r>
      <w:r w:rsidRPr="00C7122C">
        <w:rPr>
          <w:sz w:val="20"/>
          <w:szCs w:val="20"/>
        </w:rPr>
        <w:t xml:space="preserve"> shall apply mutatis mutandis to the New Shareholder, save that completion of the sale of such </w:t>
      </w:r>
      <w:r w:rsidR="00092D22">
        <w:rPr>
          <w:sz w:val="20"/>
          <w:szCs w:val="20"/>
        </w:rPr>
        <w:t>Ordinary Shares</w:t>
      </w:r>
      <w:r w:rsidRPr="00C7122C">
        <w:rPr>
          <w:sz w:val="20"/>
          <w:szCs w:val="20"/>
        </w:rPr>
        <w:t xml:space="preserve"> shall take place forthwith upon the later of the Drag Along Notice being deemed served on the New Shareholder and the date of completion of the sale of the Called Shares. References in this </w:t>
      </w:r>
      <w:r w:rsidRPr="00C7122C">
        <w:rPr>
          <w:sz w:val="20"/>
          <w:szCs w:val="20"/>
        </w:rPr>
        <w:fldChar w:fldCharType="begin"/>
      </w:r>
      <w:r w:rsidRPr="00C7122C">
        <w:rPr>
          <w:sz w:val="20"/>
          <w:szCs w:val="20"/>
        </w:rPr>
        <w:instrText>PAGEREF a797386\#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a797386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20.11</w:t>
      </w:r>
      <w:r w:rsidRPr="00C7122C">
        <w:rPr>
          <w:sz w:val="20"/>
          <w:szCs w:val="20"/>
        </w:rPr>
        <w:fldChar w:fldCharType="end"/>
      </w:r>
      <w:r w:rsidRPr="00C7122C">
        <w:rPr>
          <w:sz w:val="20"/>
          <w:szCs w:val="20"/>
        </w:rPr>
        <w:t xml:space="preserve"> to a person becoming a Shareholder (or increasing an existing shareholding) shall include the Company, in respect of the acquisition of any of its own </w:t>
      </w:r>
      <w:r w:rsidR="00092D22">
        <w:rPr>
          <w:sz w:val="20"/>
          <w:szCs w:val="20"/>
        </w:rPr>
        <w:t>Ordinary Shares</w:t>
      </w:r>
      <w:r w:rsidRPr="00C7122C">
        <w:rPr>
          <w:sz w:val="20"/>
          <w:szCs w:val="20"/>
        </w:rPr>
        <w:t>.</w:t>
      </w:r>
      <w:bookmarkEnd w:id="262"/>
    </w:p>
    <w:p w14:paraId="0F9E2CA1" w14:textId="77777777" w:rsidR="00D54FE8" w:rsidRPr="00C7122C" w:rsidRDefault="00D54FE8" w:rsidP="00D54FE8">
      <w:pPr>
        <w:pStyle w:val="Level2"/>
        <w:rPr>
          <w:sz w:val="20"/>
          <w:szCs w:val="20"/>
        </w:rPr>
      </w:pPr>
      <w:bookmarkStart w:id="263" w:name="a797386"/>
      <w:r w:rsidRPr="00C7122C">
        <w:rPr>
          <w:sz w:val="20"/>
          <w:szCs w:val="20"/>
        </w:rPr>
        <w:t xml:space="preserve">A transfer of Called Shares to a Proposed Buyer (or as the Proposed Buyer may direct) pursuant to a sale in respect of which a Drag Along Notice has been duly served shall not be subject to the pre-emption provisions of </w:t>
      </w:r>
      <w:r w:rsidRPr="00C7122C">
        <w:rPr>
          <w:sz w:val="20"/>
          <w:szCs w:val="20"/>
        </w:rPr>
        <w:fldChar w:fldCharType="begin"/>
      </w:r>
      <w:r w:rsidRPr="00C7122C">
        <w:rPr>
          <w:sz w:val="20"/>
          <w:szCs w:val="20"/>
        </w:rPr>
        <w:instrText>PAGEREF a73365\#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a73365 \h \w</w:instrText>
      </w:r>
      <w:r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16</w:t>
      </w:r>
      <w:r w:rsidRPr="00C7122C">
        <w:rPr>
          <w:sz w:val="20"/>
          <w:szCs w:val="20"/>
        </w:rPr>
        <w:fldChar w:fldCharType="end"/>
      </w:r>
      <w:bookmarkEnd w:id="263"/>
      <w:r w:rsidRPr="00C7122C">
        <w:rPr>
          <w:sz w:val="20"/>
          <w:szCs w:val="20"/>
        </w:rPr>
        <w:t>.</w:t>
      </w:r>
    </w:p>
    <w:p w14:paraId="4222C5A0" w14:textId="77777777" w:rsidR="00D54FE8" w:rsidRPr="00C7122C" w:rsidRDefault="00D54FE8" w:rsidP="00D54FE8">
      <w:pPr>
        <w:pStyle w:val="Level2"/>
        <w:rPr>
          <w:sz w:val="20"/>
          <w:szCs w:val="20"/>
        </w:rPr>
      </w:pPr>
      <w:bookmarkStart w:id="264" w:name="a239830"/>
      <w:r w:rsidRPr="00C7122C">
        <w:rPr>
          <w:sz w:val="20"/>
          <w:szCs w:val="20"/>
        </w:rPr>
        <w:t>Any Sale Notice or Deemed Sale Notice served in respect of the transfer of any Share which has not completed before the date of service of a Drag Along Notice shall automatically be revoked by the service of a Drag Along Notice.</w:t>
      </w:r>
      <w:bookmarkEnd w:id="264"/>
    </w:p>
    <w:p w14:paraId="4B045A40" w14:textId="6B1F9E92" w:rsidR="00000000" w:rsidRPr="00C7122C" w:rsidRDefault="00A35BEC" w:rsidP="00A211F7">
      <w:pPr>
        <w:pStyle w:val="Subtitle"/>
        <w:rPr>
          <w:sz w:val="20"/>
          <w:szCs w:val="20"/>
        </w:rPr>
      </w:pPr>
      <w:r w:rsidRPr="00C7122C">
        <w:rPr>
          <w:sz w:val="20"/>
          <w:szCs w:val="20"/>
        </w:rPr>
        <w:t>DECISION-MAKING BY SHAREHOLDERS</w:t>
      </w:r>
      <w:r w:rsidR="008A3D38">
        <w:rPr>
          <w:sz w:val="20"/>
          <w:szCs w:val="20"/>
        </w:rPr>
        <w:t xml:space="preserve"> </w:t>
      </w:r>
    </w:p>
    <w:p w14:paraId="01071BE6" w14:textId="77777777" w:rsidR="00000000" w:rsidRPr="00C7122C" w:rsidRDefault="00A35BEC" w:rsidP="00E12420">
      <w:pPr>
        <w:pStyle w:val="Level1"/>
        <w:rPr>
          <w:sz w:val="20"/>
          <w:szCs w:val="20"/>
        </w:rPr>
      </w:pPr>
      <w:bookmarkStart w:id="265" w:name="_Toc256000023"/>
      <w:bookmarkStart w:id="266" w:name="a272265"/>
      <w:bookmarkStart w:id="267" w:name="_Toc144907429"/>
      <w:r w:rsidRPr="00C7122C">
        <w:rPr>
          <w:sz w:val="20"/>
          <w:szCs w:val="20"/>
        </w:rPr>
        <w:t>General meetings</w:t>
      </w:r>
      <w:bookmarkEnd w:id="265"/>
      <w:bookmarkEnd w:id="266"/>
      <w:bookmarkEnd w:id="267"/>
    </w:p>
    <w:p w14:paraId="08C60772" w14:textId="77777777" w:rsidR="00000000" w:rsidRPr="00C7122C" w:rsidRDefault="00A35BEC" w:rsidP="00E12420">
      <w:pPr>
        <w:pStyle w:val="Level2"/>
        <w:rPr>
          <w:sz w:val="20"/>
          <w:szCs w:val="20"/>
        </w:rPr>
      </w:pPr>
      <w:bookmarkStart w:id="268" w:name="a898417"/>
      <w:r w:rsidRPr="00C7122C">
        <w:rPr>
          <w:sz w:val="20"/>
          <w:szCs w:val="20"/>
        </w:rPr>
        <w:t xml:space="preserve">No business other than, subject to </w:t>
      </w:r>
      <w:r w:rsidRPr="00C7122C">
        <w:rPr>
          <w:sz w:val="20"/>
          <w:szCs w:val="20"/>
        </w:rPr>
        <w:fldChar w:fldCharType="begin"/>
      </w:r>
      <w:r w:rsidRPr="00C7122C">
        <w:rPr>
          <w:sz w:val="20"/>
          <w:szCs w:val="20"/>
        </w:rPr>
        <w:instrText>PAGEREF a561265\#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a561265 \h \w</w:instrText>
      </w:r>
      <w:r w:rsidR="00E12420"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21.2</w:t>
      </w:r>
      <w:r w:rsidRPr="00C7122C">
        <w:rPr>
          <w:sz w:val="20"/>
          <w:szCs w:val="20"/>
        </w:rPr>
        <w:fldChar w:fldCharType="end"/>
      </w:r>
      <w:r w:rsidRPr="00C7122C">
        <w:rPr>
          <w:sz w:val="20"/>
          <w:szCs w:val="20"/>
        </w:rPr>
        <w:t>, the appointment of the chair of the meeting</w:t>
      </w:r>
      <w:r w:rsidR="00DF0B5F" w:rsidRPr="00C7122C">
        <w:rPr>
          <w:sz w:val="20"/>
          <w:szCs w:val="20"/>
        </w:rPr>
        <w:t xml:space="preserve"> (</w:t>
      </w:r>
      <w:r w:rsidR="00DF0B5F" w:rsidRPr="00C7122C">
        <w:rPr>
          <w:b/>
          <w:bCs/>
          <w:sz w:val="20"/>
          <w:szCs w:val="20"/>
        </w:rPr>
        <w:t>Chair</w:t>
      </w:r>
      <w:r w:rsidR="00DF0B5F" w:rsidRPr="00C7122C">
        <w:rPr>
          <w:sz w:val="20"/>
          <w:szCs w:val="20"/>
        </w:rPr>
        <w:t>)</w:t>
      </w:r>
      <w:r w:rsidRPr="00C7122C">
        <w:rPr>
          <w:sz w:val="20"/>
          <w:szCs w:val="20"/>
        </w:rPr>
        <w:t xml:space="preserve"> is to be transacted at a general meeting unless a quorum is present at the commencement of the meeting and also when that business is voted on.</w:t>
      </w:r>
      <w:bookmarkEnd w:id="268"/>
    </w:p>
    <w:p w14:paraId="30185F6E" w14:textId="77777777" w:rsidR="00000000" w:rsidRPr="00C7122C" w:rsidRDefault="00A35BEC" w:rsidP="00E12420">
      <w:pPr>
        <w:pStyle w:val="Level2"/>
        <w:rPr>
          <w:sz w:val="20"/>
          <w:szCs w:val="20"/>
        </w:rPr>
      </w:pPr>
      <w:bookmarkStart w:id="269" w:name="a561265"/>
      <w:r w:rsidRPr="00C7122C">
        <w:rPr>
          <w:sz w:val="20"/>
          <w:szCs w:val="20"/>
        </w:rPr>
        <w:t>The Chair shall chair general meetings. If there is no Chair in office for the time being, or the Chair is unable to attend any general meeting, the Directors present (or, if no Directors are present, the meeting) must appoint another Director present at the meeting (or, if no Directors are present, a Shareholder) to chair the meeting and the appointment of the chair of the meeting must be the first business of the meeting.</w:t>
      </w:r>
      <w:bookmarkEnd w:id="269"/>
    </w:p>
    <w:p w14:paraId="3211DB16" w14:textId="77777777" w:rsidR="00000000" w:rsidRPr="00C7122C" w:rsidRDefault="00A35BEC" w:rsidP="00E12420">
      <w:pPr>
        <w:pStyle w:val="Level1"/>
        <w:rPr>
          <w:sz w:val="20"/>
          <w:szCs w:val="20"/>
        </w:rPr>
      </w:pPr>
      <w:bookmarkStart w:id="270" w:name="_Toc256000024"/>
      <w:bookmarkStart w:id="271" w:name="a1019957"/>
      <w:bookmarkStart w:id="272" w:name="_Toc144907430"/>
      <w:r w:rsidRPr="00C7122C">
        <w:rPr>
          <w:sz w:val="20"/>
          <w:szCs w:val="20"/>
        </w:rPr>
        <w:lastRenderedPageBreak/>
        <w:t>Voting</w:t>
      </w:r>
      <w:bookmarkEnd w:id="270"/>
      <w:bookmarkEnd w:id="271"/>
      <w:bookmarkEnd w:id="272"/>
    </w:p>
    <w:p w14:paraId="720EAE33" w14:textId="77777777" w:rsidR="00000000" w:rsidRPr="00C7122C" w:rsidRDefault="00A35BEC" w:rsidP="00E12420">
      <w:pPr>
        <w:pStyle w:val="Level2"/>
        <w:rPr>
          <w:sz w:val="20"/>
          <w:szCs w:val="20"/>
        </w:rPr>
      </w:pPr>
      <w:bookmarkStart w:id="273" w:name="a461088"/>
      <w:r w:rsidRPr="00C7122C">
        <w:rPr>
          <w:sz w:val="20"/>
          <w:szCs w:val="20"/>
        </w:rPr>
        <w:t>A poll may be demanded at any general meeting by any qualifying person (as defined in section 318 of the Act) present and entitled to vote at the meeting.</w:t>
      </w:r>
      <w:r w:rsidRPr="00C7122C">
        <w:rPr>
          <w:sz w:val="20"/>
          <w:szCs w:val="20"/>
        </w:rPr>
        <w:fldChar w:fldCharType="begin"/>
      </w:r>
      <w:r w:rsidRPr="00C7122C">
        <w:rPr>
          <w:sz w:val="20"/>
          <w:szCs w:val="20"/>
        </w:rPr>
        <w:fldChar w:fldCharType="end"/>
      </w:r>
      <w:bookmarkEnd w:id="273"/>
    </w:p>
    <w:p w14:paraId="383DBC7F" w14:textId="77777777" w:rsidR="00000000" w:rsidRPr="00C7122C" w:rsidRDefault="00A35BEC" w:rsidP="00E12420">
      <w:pPr>
        <w:pStyle w:val="Level2"/>
        <w:rPr>
          <w:sz w:val="20"/>
          <w:szCs w:val="20"/>
        </w:rPr>
      </w:pPr>
      <w:bookmarkStart w:id="274" w:name="a1027198"/>
      <w:r w:rsidRPr="00C7122C">
        <w:rPr>
          <w:sz w:val="20"/>
          <w:szCs w:val="20"/>
        </w:rPr>
        <w:t>Model article 44(3) shall be amended by the insertion of the words "A demand so withdrawn shall not invalidate the result of a show of hands declared before the demand was made" as a new paragraph at the end of that model article.</w:t>
      </w:r>
      <w:bookmarkEnd w:id="274"/>
    </w:p>
    <w:p w14:paraId="33752DD4" w14:textId="77777777" w:rsidR="00000000" w:rsidRPr="00C7122C" w:rsidRDefault="00A35BEC" w:rsidP="00E12420">
      <w:pPr>
        <w:pStyle w:val="Level2"/>
        <w:rPr>
          <w:sz w:val="20"/>
          <w:szCs w:val="20"/>
        </w:rPr>
      </w:pPr>
      <w:bookmarkStart w:id="275" w:name="a328867"/>
      <w:r w:rsidRPr="00C7122C">
        <w:rPr>
          <w:sz w:val="20"/>
          <w:szCs w:val="20"/>
        </w:rPr>
        <w:t>Model article 45(1) shall be amended by:</w:t>
      </w:r>
      <w:bookmarkEnd w:id="275"/>
    </w:p>
    <w:p w14:paraId="316BE1C1" w14:textId="77777777" w:rsidR="00000000" w:rsidRPr="00C7122C" w:rsidRDefault="00A35BEC" w:rsidP="00E12420">
      <w:pPr>
        <w:pStyle w:val="Level3"/>
        <w:rPr>
          <w:sz w:val="20"/>
          <w:szCs w:val="20"/>
        </w:rPr>
      </w:pPr>
      <w:bookmarkStart w:id="276" w:name="a689441"/>
      <w:r w:rsidRPr="00C7122C">
        <w:rPr>
          <w:sz w:val="20"/>
          <w:szCs w:val="20"/>
        </w:rPr>
        <w:t>the deletion of model article 45(1)(d) and its replacement with the words "is delivered to the company in accordance with the Articles not less than 48 hours before the time appointed for holding the meeting or adjourned meeting at which the right to vote is to be exercised and in accordance with any instructions contained in the notice of the general meeting (or adjourned meeting) to which they relate"; and</w:t>
      </w:r>
      <w:bookmarkEnd w:id="276"/>
    </w:p>
    <w:p w14:paraId="12C06462" w14:textId="77777777" w:rsidR="00000000" w:rsidRPr="00C7122C" w:rsidRDefault="00A35BEC" w:rsidP="00E12420">
      <w:pPr>
        <w:pStyle w:val="Level3"/>
        <w:rPr>
          <w:sz w:val="20"/>
          <w:szCs w:val="20"/>
        </w:rPr>
      </w:pPr>
      <w:bookmarkStart w:id="277" w:name="a76561"/>
      <w:r w:rsidRPr="00C7122C">
        <w:rPr>
          <w:sz w:val="20"/>
          <w:szCs w:val="20"/>
        </w:rPr>
        <w:t>the insertion of the words "and a proxy notice which is not delivered in such manner shall be invalid ,unless the Directors, in their discretion, accept the notice at any time before the meeting" as a new paragraph at the end of that model article.</w:t>
      </w:r>
      <w:bookmarkEnd w:id="277"/>
    </w:p>
    <w:p w14:paraId="79D7D113" w14:textId="77777777" w:rsidR="00000000" w:rsidRPr="00C7122C" w:rsidRDefault="00A35BEC" w:rsidP="00E12420">
      <w:pPr>
        <w:pStyle w:val="Level1"/>
        <w:rPr>
          <w:sz w:val="20"/>
          <w:szCs w:val="20"/>
        </w:rPr>
      </w:pPr>
      <w:bookmarkStart w:id="278" w:name="_Toc256000025"/>
      <w:bookmarkStart w:id="279" w:name="a638953"/>
      <w:bookmarkStart w:id="280" w:name="_Toc144907431"/>
      <w:r w:rsidRPr="00C7122C">
        <w:rPr>
          <w:sz w:val="20"/>
          <w:szCs w:val="20"/>
        </w:rPr>
        <w:t>Purchase of own shares</w:t>
      </w:r>
      <w:bookmarkEnd w:id="278"/>
      <w:bookmarkEnd w:id="279"/>
      <w:bookmarkEnd w:id="280"/>
    </w:p>
    <w:p w14:paraId="677CBF0F" w14:textId="77777777" w:rsidR="00D54FE8" w:rsidRPr="00C7122C" w:rsidRDefault="00D54FE8" w:rsidP="00DF0B5F">
      <w:pPr>
        <w:pStyle w:val="Level2"/>
        <w:numPr>
          <w:ilvl w:val="0"/>
          <w:numId w:val="0"/>
        </w:numPr>
        <w:ind w:left="680"/>
        <w:rPr>
          <w:sz w:val="20"/>
          <w:szCs w:val="20"/>
        </w:rPr>
      </w:pPr>
      <w:bookmarkStart w:id="281" w:name="a152157"/>
      <w:r w:rsidRPr="00C7122C">
        <w:rPr>
          <w:sz w:val="20"/>
          <w:szCs w:val="20"/>
        </w:rPr>
        <w:t>Nothing in these Articles shall restrict or prohibit the Company purchasing its own Shares</w:t>
      </w:r>
      <w:r w:rsidR="00DF0B5F" w:rsidRPr="00C7122C">
        <w:rPr>
          <w:sz w:val="20"/>
          <w:szCs w:val="20"/>
        </w:rPr>
        <w:t>.</w:t>
      </w:r>
      <w:r w:rsidRPr="00C7122C">
        <w:rPr>
          <w:sz w:val="20"/>
          <w:szCs w:val="20"/>
        </w:rPr>
        <w:t xml:space="preserve">  </w:t>
      </w:r>
      <w:bookmarkEnd w:id="281"/>
    </w:p>
    <w:p w14:paraId="37BA97B6" w14:textId="77777777" w:rsidR="00000000" w:rsidRPr="00C7122C" w:rsidRDefault="00A35BEC" w:rsidP="00E12420">
      <w:pPr>
        <w:pStyle w:val="Level1"/>
        <w:rPr>
          <w:sz w:val="20"/>
          <w:szCs w:val="20"/>
        </w:rPr>
      </w:pPr>
      <w:bookmarkStart w:id="282" w:name="_Toc256000026"/>
      <w:bookmarkStart w:id="283" w:name="a545934"/>
      <w:bookmarkStart w:id="284" w:name="_Toc144907432"/>
      <w:r w:rsidRPr="00C7122C">
        <w:rPr>
          <w:sz w:val="20"/>
          <w:szCs w:val="20"/>
        </w:rPr>
        <w:t>Company's Lien over Shares</w:t>
      </w:r>
      <w:bookmarkEnd w:id="282"/>
      <w:bookmarkEnd w:id="283"/>
      <w:bookmarkEnd w:id="284"/>
    </w:p>
    <w:p w14:paraId="0C5B053A" w14:textId="77777777" w:rsidR="00000000" w:rsidRPr="00C7122C" w:rsidRDefault="00A35BEC" w:rsidP="00E12420">
      <w:pPr>
        <w:pStyle w:val="Level2"/>
        <w:rPr>
          <w:sz w:val="20"/>
          <w:szCs w:val="20"/>
        </w:rPr>
      </w:pPr>
      <w:bookmarkStart w:id="285" w:name="a342989"/>
      <w:r w:rsidRPr="00C7122C">
        <w:rPr>
          <w:sz w:val="20"/>
          <w:szCs w:val="20"/>
        </w:rPr>
        <w:t xml:space="preserve">The Company has a lien (the </w:t>
      </w:r>
      <w:r w:rsidRPr="00C7122C">
        <w:rPr>
          <w:b/>
          <w:sz w:val="20"/>
          <w:szCs w:val="20"/>
        </w:rPr>
        <w:t>Company's Lien</w:t>
      </w:r>
      <w:r w:rsidRPr="00C7122C">
        <w:rPr>
          <w:sz w:val="20"/>
          <w:szCs w:val="20"/>
        </w:rPr>
        <w:t>) over every Share which is registered in the name of a person indebted or under any liability to the Company, whether they are the sole registered holder of the Share or one of several joint holders, for all monies payable by them (either alone or jointly with any other person) to the Company, whether payable immediately or at some time in the future.</w:t>
      </w:r>
      <w:bookmarkEnd w:id="285"/>
    </w:p>
    <w:p w14:paraId="1AE428F6" w14:textId="77777777" w:rsidR="00000000" w:rsidRPr="00C7122C" w:rsidRDefault="00A35BEC" w:rsidP="00E12420">
      <w:pPr>
        <w:pStyle w:val="Level2"/>
        <w:rPr>
          <w:sz w:val="20"/>
          <w:szCs w:val="20"/>
        </w:rPr>
      </w:pPr>
      <w:bookmarkStart w:id="286" w:name="a569055"/>
      <w:r w:rsidRPr="00C7122C">
        <w:rPr>
          <w:sz w:val="20"/>
          <w:szCs w:val="20"/>
        </w:rPr>
        <w:t>The Company's Lien over a share:</w:t>
      </w:r>
      <w:bookmarkEnd w:id="286"/>
    </w:p>
    <w:p w14:paraId="3E042342" w14:textId="77777777" w:rsidR="00000000" w:rsidRPr="00C7122C" w:rsidRDefault="00A35BEC" w:rsidP="00E12420">
      <w:pPr>
        <w:pStyle w:val="Level3"/>
        <w:rPr>
          <w:sz w:val="20"/>
          <w:szCs w:val="20"/>
        </w:rPr>
      </w:pPr>
      <w:bookmarkStart w:id="287" w:name="a844178"/>
      <w:r w:rsidRPr="00C7122C">
        <w:rPr>
          <w:sz w:val="20"/>
          <w:szCs w:val="20"/>
        </w:rPr>
        <w:t>takes priority over any third party's interest in that Share; and</w:t>
      </w:r>
      <w:bookmarkEnd w:id="287"/>
    </w:p>
    <w:p w14:paraId="3FC9762A" w14:textId="77777777" w:rsidR="00000000" w:rsidRPr="00C7122C" w:rsidRDefault="00A35BEC" w:rsidP="00E12420">
      <w:pPr>
        <w:pStyle w:val="Level3"/>
        <w:rPr>
          <w:sz w:val="20"/>
          <w:szCs w:val="20"/>
        </w:rPr>
      </w:pPr>
      <w:bookmarkStart w:id="288" w:name="a487649"/>
      <w:r w:rsidRPr="00C7122C">
        <w:rPr>
          <w:sz w:val="20"/>
          <w:szCs w:val="20"/>
        </w:rPr>
        <w:t>extends to any dividend or other money payable by the Company in respect of that Share and (if the lien is enforced and the Share is sold by the Company) the proceeds of sale of that Share.</w:t>
      </w:r>
      <w:bookmarkEnd w:id="288"/>
    </w:p>
    <w:p w14:paraId="2EC70545" w14:textId="77777777" w:rsidR="00000000" w:rsidRPr="00C7122C" w:rsidRDefault="00A35BEC" w:rsidP="00E12420">
      <w:pPr>
        <w:pStyle w:val="Level2"/>
        <w:rPr>
          <w:sz w:val="20"/>
          <w:szCs w:val="20"/>
        </w:rPr>
      </w:pPr>
      <w:bookmarkStart w:id="289" w:name="a822815"/>
      <w:r w:rsidRPr="00C7122C">
        <w:rPr>
          <w:sz w:val="20"/>
          <w:szCs w:val="20"/>
        </w:rPr>
        <w:t>The Directors may at any time decide that a Share which is or would otherwise be subject to the Company's Lien shall not be subject to it, either wholly or in part.</w:t>
      </w:r>
      <w:bookmarkEnd w:id="289"/>
    </w:p>
    <w:p w14:paraId="24220401" w14:textId="77777777" w:rsidR="00000000" w:rsidRPr="00C7122C" w:rsidRDefault="00A35BEC" w:rsidP="00E12420">
      <w:pPr>
        <w:pStyle w:val="Level1"/>
        <w:rPr>
          <w:sz w:val="20"/>
          <w:szCs w:val="20"/>
        </w:rPr>
      </w:pPr>
      <w:bookmarkStart w:id="290" w:name="_Toc256000027"/>
      <w:bookmarkStart w:id="291" w:name="a913255"/>
      <w:bookmarkStart w:id="292" w:name="_Toc144907433"/>
      <w:r w:rsidRPr="00C7122C">
        <w:rPr>
          <w:sz w:val="20"/>
          <w:szCs w:val="20"/>
        </w:rPr>
        <w:t>Enforcement of the Company's Lien</w:t>
      </w:r>
      <w:bookmarkEnd w:id="290"/>
      <w:bookmarkEnd w:id="291"/>
      <w:bookmarkEnd w:id="292"/>
    </w:p>
    <w:p w14:paraId="48006F55" w14:textId="77777777" w:rsidR="00000000" w:rsidRPr="00C7122C" w:rsidRDefault="00A35BEC" w:rsidP="00E12420">
      <w:pPr>
        <w:pStyle w:val="Level2"/>
        <w:rPr>
          <w:sz w:val="20"/>
          <w:szCs w:val="20"/>
        </w:rPr>
      </w:pPr>
      <w:bookmarkStart w:id="293" w:name="a630552"/>
      <w:r w:rsidRPr="00C7122C">
        <w:rPr>
          <w:sz w:val="20"/>
          <w:szCs w:val="20"/>
        </w:rPr>
        <w:t xml:space="preserve">Subject to the provisions of this </w:t>
      </w:r>
      <w:r w:rsidRPr="00C7122C">
        <w:rPr>
          <w:sz w:val="20"/>
          <w:szCs w:val="20"/>
        </w:rPr>
        <w:fldChar w:fldCharType="begin"/>
      </w:r>
      <w:r w:rsidRPr="00C7122C">
        <w:rPr>
          <w:sz w:val="20"/>
          <w:szCs w:val="20"/>
        </w:rPr>
        <w:instrText>PAGEREF a913255\#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a913255 \h \w</w:instrText>
      </w:r>
      <w:r w:rsidR="00E8651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25</w:t>
      </w:r>
      <w:r w:rsidRPr="00C7122C">
        <w:rPr>
          <w:sz w:val="20"/>
          <w:szCs w:val="20"/>
        </w:rPr>
        <w:fldChar w:fldCharType="end"/>
      </w:r>
      <w:r w:rsidRPr="00C7122C">
        <w:rPr>
          <w:sz w:val="20"/>
          <w:szCs w:val="20"/>
        </w:rPr>
        <w:t>, if:</w:t>
      </w:r>
      <w:bookmarkEnd w:id="293"/>
    </w:p>
    <w:p w14:paraId="53BBE8F8" w14:textId="77777777" w:rsidR="00000000" w:rsidRPr="00C7122C" w:rsidRDefault="00A35BEC" w:rsidP="00E12420">
      <w:pPr>
        <w:pStyle w:val="Level3"/>
        <w:rPr>
          <w:sz w:val="20"/>
          <w:szCs w:val="20"/>
        </w:rPr>
      </w:pPr>
      <w:bookmarkStart w:id="294" w:name="a128530"/>
      <w:r w:rsidRPr="00C7122C">
        <w:rPr>
          <w:sz w:val="20"/>
          <w:szCs w:val="20"/>
        </w:rPr>
        <w:t>a Lien Enforcement Notice has been given in respect of a Share; and</w:t>
      </w:r>
      <w:bookmarkEnd w:id="294"/>
    </w:p>
    <w:p w14:paraId="6AE54ACE" w14:textId="77777777" w:rsidR="00000000" w:rsidRPr="00C7122C" w:rsidRDefault="00A35BEC" w:rsidP="00E12420">
      <w:pPr>
        <w:pStyle w:val="Level3"/>
        <w:rPr>
          <w:sz w:val="20"/>
          <w:szCs w:val="20"/>
        </w:rPr>
      </w:pPr>
      <w:bookmarkStart w:id="295" w:name="a900176"/>
      <w:r w:rsidRPr="00C7122C">
        <w:rPr>
          <w:sz w:val="20"/>
          <w:szCs w:val="20"/>
        </w:rPr>
        <w:t>the person to whom the notice was given has failed to comply with it,</w:t>
      </w:r>
      <w:bookmarkEnd w:id="295"/>
    </w:p>
    <w:p w14:paraId="7973C36F" w14:textId="77777777" w:rsidR="00000000" w:rsidRPr="00C7122C" w:rsidRDefault="00A35BEC" w:rsidP="00E86519">
      <w:pPr>
        <w:pStyle w:val="Body2"/>
        <w:rPr>
          <w:sz w:val="20"/>
          <w:szCs w:val="20"/>
        </w:rPr>
      </w:pPr>
      <w:r w:rsidRPr="00C7122C">
        <w:rPr>
          <w:sz w:val="20"/>
          <w:szCs w:val="20"/>
        </w:rPr>
        <w:t>the Company may sell that Share in such manner as the Directors decide.</w:t>
      </w:r>
    </w:p>
    <w:p w14:paraId="691D6A3D" w14:textId="77777777" w:rsidR="00000000" w:rsidRPr="00C7122C" w:rsidRDefault="00A35BEC" w:rsidP="00E12420">
      <w:pPr>
        <w:pStyle w:val="Level2"/>
        <w:rPr>
          <w:sz w:val="20"/>
          <w:szCs w:val="20"/>
        </w:rPr>
      </w:pPr>
      <w:bookmarkStart w:id="296" w:name="a850814"/>
      <w:r w:rsidRPr="00C7122C">
        <w:rPr>
          <w:sz w:val="20"/>
          <w:szCs w:val="20"/>
        </w:rPr>
        <w:t>A Lien Enforcement Notice:</w:t>
      </w:r>
      <w:bookmarkEnd w:id="296"/>
    </w:p>
    <w:p w14:paraId="28819C2D" w14:textId="77777777" w:rsidR="00000000" w:rsidRPr="00C7122C" w:rsidRDefault="00A35BEC" w:rsidP="00E12420">
      <w:pPr>
        <w:pStyle w:val="Level3"/>
        <w:rPr>
          <w:sz w:val="20"/>
          <w:szCs w:val="20"/>
        </w:rPr>
      </w:pPr>
      <w:bookmarkStart w:id="297" w:name="a733320"/>
      <w:r w:rsidRPr="00C7122C">
        <w:rPr>
          <w:sz w:val="20"/>
          <w:szCs w:val="20"/>
        </w:rPr>
        <w:lastRenderedPageBreak/>
        <w:t>may only be given in respect of a Share which is subject to the Company's Lien and in respect of a sum payable to the Company for which the due date for payment has passed;</w:t>
      </w:r>
      <w:bookmarkEnd w:id="297"/>
    </w:p>
    <w:p w14:paraId="0F51210C" w14:textId="77777777" w:rsidR="00000000" w:rsidRPr="00C7122C" w:rsidRDefault="00A35BEC" w:rsidP="00E12420">
      <w:pPr>
        <w:pStyle w:val="Level3"/>
        <w:rPr>
          <w:sz w:val="20"/>
          <w:szCs w:val="20"/>
        </w:rPr>
      </w:pPr>
      <w:bookmarkStart w:id="298" w:name="a85804"/>
      <w:r w:rsidRPr="00C7122C">
        <w:rPr>
          <w:sz w:val="20"/>
          <w:szCs w:val="20"/>
        </w:rPr>
        <w:t>must specify the Share concerned;</w:t>
      </w:r>
      <w:bookmarkEnd w:id="298"/>
    </w:p>
    <w:p w14:paraId="366D93C4" w14:textId="77777777" w:rsidR="00000000" w:rsidRPr="00C7122C" w:rsidRDefault="00A35BEC" w:rsidP="00E12420">
      <w:pPr>
        <w:pStyle w:val="Level3"/>
        <w:rPr>
          <w:sz w:val="20"/>
          <w:szCs w:val="20"/>
        </w:rPr>
      </w:pPr>
      <w:bookmarkStart w:id="299" w:name="a1028352"/>
      <w:r w:rsidRPr="00C7122C">
        <w:rPr>
          <w:sz w:val="20"/>
          <w:szCs w:val="20"/>
        </w:rPr>
        <w:t>must require payment of the sum within 14 clear days of the notice (that is, excluding the date on which the notice is given and the date on which that 14 day period expires);</w:t>
      </w:r>
      <w:bookmarkEnd w:id="299"/>
    </w:p>
    <w:p w14:paraId="24CA87D8" w14:textId="77777777" w:rsidR="00000000" w:rsidRPr="00C7122C" w:rsidRDefault="00A35BEC" w:rsidP="00E12420">
      <w:pPr>
        <w:pStyle w:val="Level3"/>
        <w:rPr>
          <w:sz w:val="20"/>
          <w:szCs w:val="20"/>
        </w:rPr>
      </w:pPr>
      <w:bookmarkStart w:id="300" w:name="a466287"/>
      <w:r w:rsidRPr="00C7122C">
        <w:rPr>
          <w:sz w:val="20"/>
          <w:szCs w:val="20"/>
        </w:rPr>
        <w:t>must be addressed either to the holder of the Share or to a transmittee of that holder; and</w:t>
      </w:r>
      <w:bookmarkEnd w:id="300"/>
    </w:p>
    <w:p w14:paraId="08CA2172" w14:textId="77777777" w:rsidR="00000000" w:rsidRPr="00C7122C" w:rsidRDefault="00A35BEC" w:rsidP="00E12420">
      <w:pPr>
        <w:pStyle w:val="Level3"/>
        <w:rPr>
          <w:sz w:val="20"/>
          <w:szCs w:val="20"/>
        </w:rPr>
      </w:pPr>
      <w:bookmarkStart w:id="301" w:name="a886903"/>
      <w:r w:rsidRPr="00C7122C">
        <w:rPr>
          <w:sz w:val="20"/>
          <w:szCs w:val="20"/>
        </w:rPr>
        <w:t>must state the Company's intention to sell the Share if the notice is not complied with.</w:t>
      </w:r>
      <w:bookmarkEnd w:id="301"/>
    </w:p>
    <w:p w14:paraId="4D71B9D3" w14:textId="77777777" w:rsidR="00000000" w:rsidRPr="00C7122C" w:rsidRDefault="00A35BEC" w:rsidP="00E12420">
      <w:pPr>
        <w:pStyle w:val="Level2"/>
        <w:rPr>
          <w:sz w:val="20"/>
          <w:szCs w:val="20"/>
        </w:rPr>
      </w:pPr>
      <w:bookmarkStart w:id="302" w:name="a398154"/>
      <w:r w:rsidRPr="00C7122C">
        <w:rPr>
          <w:sz w:val="20"/>
          <w:szCs w:val="20"/>
        </w:rPr>
        <w:t xml:space="preserve">Where Shares are sold under this </w:t>
      </w:r>
      <w:r w:rsidRPr="00C7122C">
        <w:rPr>
          <w:sz w:val="20"/>
          <w:szCs w:val="20"/>
        </w:rPr>
        <w:fldChar w:fldCharType="begin"/>
      </w:r>
      <w:r w:rsidRPr="00C7122C">
        <w:rPr>
          <w:sz w:val="20"/>
          <w:szCs w:val="20"/>
        </w:rPr>
        <w:instrText>PAGEREF a913255\#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a913255 \h \w</w:instrText>
      </w:r>
      <w:r w:rsidR="00E12420"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25</w:t>
      </w:r>
      <w:r w:rsidRPr="00C7122C">
        <w:rPr>
          <w:sz w:val="20"/>
          <w:szCs w:val="20"/>
        </w:rPr>
        <w:fldChar w:fldCharType="end"/>
      </w:r>
      <w:r w:rsidRPr="00C7122C">
        <w:rPr>
          <w:sz w:val="20"/>
          <w:szCs w:val="20"/>
        </w:rPr>
        <w:t>:</w:t>
      </w:r>
      <w:bookmarkEnd w:id="302"/>
    </w:p>
    <w:p w14:paraId="1EF2C253" w14:textId="77777777" w:rsidR="00000000" w:rsidRPr="00C7122C" w:rsidRDefault="00A35BEC" w:rsidP="00E12420">
      <w:pPr>
        <w:pStyle w:val="Level3"/>
        <w:rPr>
          <w:sz w:val="20"/>
          <w:szCs w:val="20"/>
        </w:rPr>
      </w:pPr>
      <w:bookmarkStart w:id="303" w:name="a622461"/>
      <w:r w:rsidRPr="00C7122C">
        <w:rPr>
          <w:sz w:val="20"/>
          <w:szCs w:val="20"/>
        </w:rPr>
        <w:t>the Directors may authorise any person to execute an instrument of transfer of the Shares to the purchaser or to a person nominated by the purchaser; and</w:t>
      </w:r>
      <w:bookmarkEnd w:id="303"/>
    </w:p>
    <w:p w14:paraId="6215A87E" w14:textId="77777777" w:rsidR="00000000" w:rsidRPr="00C7122C" w:rsidRDefault="00A35BEC" w:rsidP="00E12420">
      <w:pPr>
        <w:pStyle w:val="Level3"/>
        <w:rPr>
          <w:sz w:val="20"/>
          <w:szCs w:val="20"/>
        </w:rPr>
      </w:pPr>
      <w:bookmarkStart w:id="304" w:name="a683958"/>
      <w:r w:rsidRPr="00C7122C">
        <w:rPr>
          <w:sz w:val="20"/>
          <w:szCs w:val="20"/>
        </w:rPr>
        <w:t>the transferee is not bound to see to the application of the consideration, and the transferee's title is not affected by any irregularity in or invalidity of the process leading to the sale.</w:t>
      </w:r>
      <w:bookmarkEnd w:id="304"/>
    </w:p>
    <w:p w14:paraId="73EDC868" w14:textId="77777777" w:rsidR="00000000" w:rsidRPr="00C7122C" w:rsidRDefault="00A35BEC" w:rsidP="00E12420">
      <w:pPr>
        <w:pStyle w:val="Level2"/>
        <w:rPr>
          <w:sz w:val="20"/>
          <w:szCs w:val="20"/>
        </w:rPr>
      </w:pPr>
      <w:bookmarkStart w:id="305" w:name="a968309"/>
      <w:r w:rsidRPr="00C7122C">
        <w:rPr>
          <w:sz w:val="20"/>
          <w:szCs w:val="20"/>
        </w:rPr>
        <w:t>The net proceeds of any such sale (after payment of the costs of sale and any other costs of enforcing the Company's Lien) must be applied:</w:t>
      </w:r>
      <w:bookmarkEnd w:id="305"/>
    </w:p>
    <w:p w14:paraId="042E276F" w14:textId="77777777" w:rsidR="00000000" w:rsidRPr="00C7122C" w:rsidRDefault="00A35BEC" w:rsidP="00E12420">
      <w:pPr>
        <w:pStyle w:val="Level3"/>
        <w:rPr>
          <w:sz w:val="20"/>
          <w:szCs w:val="20"/>
        </w:rPr>
      </w:pPr>
      <w:bookmarkStart w:id="306" w:name="a380836"/>
      <w:r w:rsidRPr="00C7122C">
        <w:rPr>
          <w:sz w:val="20"/>
          <w:szCs w:val="20"/>
        </w:rPr>
        <w:t>first, in payment of so much of the sum for which the lien exists as was payable at the date of the Lien Enforcement Notice; and</w:t>
      </w:r>
      <w:bookmarkEnd w:id="306"/>
    </w:p>
    <w:p w14:paraId="79AB8525" w14:textId="77777777" w:rsidR="00000000" w:rsidRPr="00C7122C" w:rsidRDefault="00A35BEC" w:rsidP="00E12420">
      <w:pPr>
        <w:pStyle w:val="Level3"/>
        <w:rPr>
          <w:sz w:val="20"/>
          <w:szCs w:val="20"/>
        </w:rPr>
      </w:pPr>
      <w:bookmarkStart w:id="307" w:name="a408835"/>
      <w:r w:rsidRPr="00C7122C">
        <w:rPr>
          <w:sz w:val="20"/>
          <w:szCs w:val="20"/>
        </w:rPr>
        <w:t>second, to the person entitled to the Shares at the date of the sale, but only after the certificate for the Shares sold has been surrendered to the Company for cancellation, or an indemnity in a form reasonably satisfactory to the Directors has been given for any lost certificates, and subject to a lien equivalent to the Company's Lien over the Shares before the sale for any money payable by that person (or their estate or any joint holder of the shares) after the date of the Lien Enforcement Notice.</w:t>
      </w:r>
      <w:bookmarkEnd w:id="307"/>
    </w:p>
    <w:p w14:paraId="441FC2A5" w14:textId="77777777" w:rsidR="00000000" w:rsidRPr="00C7122C" w:rsidRDefault="00A35BEC" w:rsidP="00E12420">
      <w:pPr>
        <w:pStyle w:val="Level2"/>
        <w:rPr>
          <w:sz w:val="20"/>
          <w:szCs w:val="20"/>
        </w:rPr>
      </w:pPr>
      <w:bookmarkStart w:id="308" w:name="a590417"/>
      <w:r w:rsidRPr="00C7122C">
        <w:rPr>
          <w:sz w:val="20"/>
          <w:szCs w:val="20"/>
        </w:rPr>
        <w:t>A statutory declaration by a Director or the company secretary that the declarant is a Director or the company secretary and that a Share has been sold to satisfy the Company's Lien on a specified date:</w:t>
      </w:r>
      <w:bookmarkEnd w:id="308"/>
    </w:p>
    <w:p w14:paraId="117B047E" w14:textId="77777777" w:rsidR="00000000" w:rsidRPr="00C7122C" w:rsidRDefault="00A35BEC" w:rsidP="00E12420">
      <w:pPr>
        <w:pStyle w:val="Level3"/>
        <w:rPr>
          <w:sz w:val="20"/>
          <w:szCs w:val="20"/>
        </w:rPr>
      </w:pPr>
      <w:bookmarkStart w:id="309" w:name="a780090"/>
      <w:r w:rsidRPr="00C7122C">
        <w:rPr>
          <w:sz w:val="20"/>
          <w:szCs w:val="20"/>
        </w:rPr>
        <w:t>is conclusive evidence of the facts stated in it as against all persons claiming to be entitled to the Share; and</w:t>
      </w:r>
      <w:bookmarkEnd w:id="309"/>
    </w:p>
    <w:p w14:paraId="3768135E" w14:textId="77777777" w:rsidR="00000000" w:rsidRPr="00C7122C" w:rsidRDefault="00A35BEC" w:rsidP="00E12420">
      <w:pPr>
        <w:pStyle w:val="Level3"/>
        <w:rPr>
          <w:sz w:val="20"/>
          <w:szCs w:val="20"/>
        </w:rPr>
      </w:pPr>
      <w:bookmarkStart w:id="310" w:name="a679913"/>
      <w:r w:rsidRPr="00C7122C">
        <w:rPr>
          <w:sz w:val="20"/>
          <w:szCs w:val="20"/>
        </w:rPr>
        <w:t>subject to compliance with any other formalities of transfer required by the Articles or by law, constitutes a good title to the Share.</w:t>
      </w:r>
      <w:bookmarkEnd w:id="310"/>
    </w:p>
    <w:p w14:paraId="2EBBBC77" w14:textId="3713418C" w:rsidR="00000000" w:rsidRPr="00C7122C" w:rsidRDefault="00A35BEC" w:rsidP="00E86519">
      <w:pPr>
        <w:pStyle w:val="Subtitle"/>
        <w:rPr>
          <w:sz w:val="20"/>
          <w:szCs w:val="20"/>
        </w:rPr>
      </w:pPr>
      <w:r w:rsidRPr="00C7122C">
        <w:rPr>
          <w:sz w:val="20"/>
          <w:szCs w:val="20"/>
        </w:rPr>
        <w:t>ADMINISTRATIVE ARRANGEMENTS</w:t>
      </w:r>
    </w:p>
    <w:p w14:paraId="7339E75C" w14:textId="77777777" w:rsidR="00000000" w:rsidRPr="00C7122C" w:rsidRDefault="00A35BEC" w:rsidP="00E12420">
      <w:pPr>
        <w:pStyle w:val="Level1"/>
        <w:rPr>
          <w:sz w:val="20"/>
          <w:szCs w:val="20"/>
        </w:rPr>
      </w:pPr>
      <w:bookmarkStart w:id="311" w:name="_Toc256000028"/>
      <w:bookmarkStart w:id="312" w:name="a200960"/>
      <w:bookmarkStart w:id="313" w:name="_Toc144907434"/>
      <w:r w:rsidRPr="00C7122C">
        <w:rPr>
          <w:sz w:val="20"/>
          <w:szCs w:val="20"/>
        </w:rPr>
        <w:t>Means of communication to be used</w:t>
      </w:r>
      <w:bookmarkEnd w:id="311"/>
      <w:bookmarkEnd w:id="312"/>
      <w:bookmarkEnd w:id="313"/>
    </w:p>
    <w:p w14:paraId="0F6DB53A" w14:textId="77777777" w:rsidR="00000000" w:rsidRPr="00C7122C" w:rsidRDefault="00A35BEC" w:rsidP="00E12420">
      <w:pPr>
        <w:pStyle w:val="Level2"/>
        <w:rPr>
          <w:sz w:val="20"/>
          <w:szCs w:val="20"/>
        </w:rPr>
      </w:pPr>
      <w:bookmarkStart w:id="314" w:name="a557248"/>
      <w:r w:rsidRPr="00C7122C">
        <w:rPr>
          <w:sz w:val="20"/>
          <w:szCs w:val="20"/>
        </w:rPr>
        <w:t xml:space="preserve">Subject to </w:t>
      </w:r>
      <w:r w:rsidRPr="00C7122C">
        <w:rPr>
          <w:sz w:val="20"/>
          <w:szCs w:val="20"/>
        </w:rPr>
        <w:fldChar w:fldCharType="begin"/>
      </w:r>
      <w:r w:rsidRPr="00C7122C">
        <w:rPr>
          <w:sz w:val="20"/>
          <w:szCs w:val="20"/>
        </w:rPr>
        <w:instrText>PAGEREF a678785\#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a678785 \h \w</w:instrText>
      </w:r>
      <w:r w:rsidR="00E12420"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26.3</w:t>
      </w:r>
      <w:r w:rsidRPr="00C7122C">
        <w:rPr>
          <w:sz w:val="20"/>
          <w:szCs w:val="20"/>
        </w:rPr>
        <w:fldChar w:fldCharType="end"/>
      </w:r>
      <w:r w:rsidRPr="00C7122C">
        <w:rPr>
          <w:sz w:val="20"/>
          <w:szCs w:val="20"/>
        </w:rPr>
        <w:t>, any notice, document or other information shall be deemed received by the intended recipient:</w:t>
      </w:r>
      <w:bookmarkEnd w:id="314"/>
    </w:p>
    <w:p w14:paraId="7ECE2ED5" w14:textId="77777777" w:rsidR="00000000" w:rsidRPr="00C7122C" w:rsidRDefault="00A35BEC" w:rsidP="00E12420">
      <w:pPr>
        <w:pStyle w:val="Level3"/>
        <w:rPr>
          <w:sz w:val="20"/>
          <w:szCs w:val="20"/>
        </w:rPr>
      </w:pPr>
      <w:bookmarkStart w:id="315" w:name="a514871"/>
      <w:r w:rsidRPr="00C7122C">
        <w:rPr>
          <w:sz w:val="20"/>
          <w:szCs w:val="20"/>
        </w:rPr>
        <w:t>if delivered by hand, at the time the notice, document or other information is left at the address;</w:t>
      </w:r>
      <w:bookmarkEnd w:id="315"/>
    </w:p>
    <w:p w14:paraId="46E7AD7F" w14:textId="77777777" w:rsidR="00000000" w:rsidRPr="00C7122C" w:rsidRDefault="00A35BEC" w:rsidP="00E12420">
      <w:pPr>
        <w:pStyle w:val="Level3"/>
        <w:rPr>
          <w:sz w:val="20"/>
          <w:szCs w:val="20"/>
        </w:rPr>
      </w:pPr>
      <w:bookmarkStart w:id="316" w:name="a68179"/>
      <w:r w:rsidRPr="00C7122C">
        <w:rPr>
          <w:sz w:val="20"/>
          <w:szCs w:val="20"/>
        </w:rPr>
        <w:lastRenderedPageBreak/>
        <w:t xml:space="preserve">if sent by pre-paid first class post or other next working day delivery service providing proof of </w:t>
      </w:r>
      <w:r w:rsidR="00D54FE8" w:rsidRPr="00C7122C">
        <w:rPr>
          <w:sz w:val="20"/>
          <w:szCs w:val="20"/>
        </w:rPr>
        <w:t>postage</w:t>
      </w:r>
      <w:r w:rsidRPr="00C7122C">
        <w:rPr>
          <w:sz w:val="20"/>
          <w:szCs w:val="20"/>
        </w:rPr>
        <w:t>, at 9.00 am on the second Business Day after posting;</w:t>
      </w:r>
      <w:bookmarkEnd w:id="316"/>
    </w:p>
    <w:p w14:paraId="40F7AE3D" w14:textId="77777777" w:rsidR="00000000" w:rsidRPr="00C7122C" w:rsidRDefault="00A35BEC" w:rsidP="00E12420">
      <w:pPr>
        <w:pStyle w:val="Level3"/>
        <w:rPr>
          <w:sz w:val="20"/>
          <w:szCs w:val="20"/>
        </w:rPr>
      </w:pPr>
      <w:bookmarkStart w:id="317" w:name="a483871"/>
      <w:r w:rsidRPr="00C7122C">
        <w:rPr>
          <w:sz w:val="20"/>
          <w:szCs w:val="20"/>
        </w:rPr>
        <w:t xml:space="preserve">if sent by pre-paid airmail providing proof of </w:t>
      </w:r>
      <w:r w:rsidR="00826A32" w:rsidRPr="00C7122C">
        <w:rPr>
          <w:sz w:val="20"/>
          <w:szCs w:val="20"/>
        </w:rPr>
        <w:t>postage</w:t>
      </w:r>
      <w:r w:rsidRPr="00C7122C">
        <w:rPr>
          <w:sz w:val="20"/>
          <w:szCs w:val="20"/>
        </w:rPr>
        <w:t>, at 9.00 am on the fifth Business Day after posting;</w:t>
      </w:r>
      <w:bookmarkEnd w:id="317"/>
    </w:p>
    <w:p w14:paraId="78E43079" w14:textId="77777777" w:rsidR="00000000" w:rsidRPr="00C7122C" w:rsidRDefault="00A35BEC" w:rsidP="00E12420">
      <w:pPr>
        <w:pStyle w:val="Level3"/>
        <w:rPr>
          <w:sz w:val="20"/>
          <w:szCs w:val="20"/>
        </w:rPr>
      </w:pPr>
      <w:bookmarkStart w:id="318" w:name="a806404"/>
      <w:r w:rsidRPr="00C7122C">
        <w:rPr>
          <w:sz w:val="20"/>
          <w:szCs w:val="20"/>
        </w:rPr>
        <w:t>if sent by email, at the time of transmission</w:t>
      </w:r>
      <w:bookmarkEnd w:id="318"/>
      <w:r w:rsidR="00D54FE8" w:rsidRPr="00C7122C">
        <w:rPr>
          <w:sz w:val="20"/>
          <w:szCs w:val="20"/>
        </w:rPr>
        <w:t>.</w:t>
      </w:r>
    </w:p>
    <w:p w14:paraId="65249BC0" w14:textId="77777777" w:rsidR="00000000" w:rsidRPr="00C7122C" w:rsidRDefault="00A35BEC" w:rsidP="00E12420">
      <w:pPr>
        <w:pStyle w:val="Level2"/>
        <w:rPr>
          <w:sz w:val="20"/>
          <w:szCs w:val="20"/>
        </w:rPr>
      </w:pPr>
      <w:bookmarkStart w:id="319" w:name="a948583"/>
      <w:r w:rsidRPr="00C7122C">
        <w:rPr>
          <w:sz w:val="20"/>
          <w:szCs w:val="20"/>
        </w:rPr>
        <w:t xml:space="preserve">If deemed receipt under </w:t>
      </w:r>
      <w:r w:rsidRPr="00C7122C">
        <w:rPr>
          <w:sz w:val="20"/>
          <w:szCs w:val="20"/>
        </w:rPr>
        <w:fldChar w:fldCharType="begin"/>
      </w:r>
      <w:r w:rsidRPr="00C7122C">
        <w:rPr>
          <w:sz w:val="20"/>
          <w:szCs w:val="20"/>
        </w:rPr>
        <w:instrText>PAGEREF a557248\#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a557248 \h \w</w:instrText>
      </w:r>
      <w:r w:rsidR="00E8651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26.1</w:t>
      </w:r>
      <w:r w:rsidRPr="00C7122C">
        <w:rPr>
          <w:sz w:val="20"/>
          <w:szCs w:val="20"/>
        </w:rPr>
        <w:fldChar w:fldCharType="end"/>
      </w:r>
      <w:r w:rsidRPr="00C7122C">
        <w:rPr>
          <w:sz w:val="20"/>
          <w:szCs w:val="20"/>
        </w:rPr>
        <w:t xml:space="preserve"> would occur outside business hours in the place of receipt, it shall be deferred until business hours resume. In this </w:t>
      </w:r>
      <w:r w:rsidRPr="00C7122C">
        <w:rPr>
          <w:sz w:val="20"/>
          <w:szCs w:val="20"/>
        </w:rPr>
        <w:fldChar w:fldCharType="begin"/>
      </w:r>
      <w:r w:rsidRPr="00C7122C">
        <w:rPr>
          <w:sz w:val="20"/>
          <w:szCs w:val="20"/>
        </w:rPr>
        <w:instrText>PAGEREF a948583\#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a948583 \h \w</w:instrText>
      </w:r>
      <w:r w:rsidR="00E86519"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26.2</w:t>
      </w:r>
      <w:r w:rsidRPr="00C7122C">
        <w:rPr>
          <w:sz w:val="20"/>
          <w:szCs w:val="20"/>
        </w:rPr>
        <w:fldChar w:fldCharType="end"/>
      </w:r>
      <w:r w:rsidRPr="00C7122C">
        <w:rPr>
          <w:sz w:val="20"/>
          <w:szCs w:val="20"/>
        </w:rPr>
        <w:t>, business hours means 9.00 am to 5.00 pm Monday to Friday on a day that is not a public holiday in the place of receipt and all references to time are to local time in the place of receipt.</w:t>
      </w:r>
      <w:bookmarkEnd w:id="319"/>
    </w:p>
    <w:p w14:paraId="4877F016" w14:textId="77777777" w:rsidR="00000000" w:rsidRPr="00C7122C" w:rsidRDefault="00A35BEC" w:rsidP="00E12420">
      <w:pPr>
        <w:pStyle w:val="Level2"/>
        <w:rPr>
          <w:sz w:val="20"/>
          <w:szCs w:val="20"/>
        </w:rPr>
      </w:pPr>
      <w:bookmarkStart w:id="320" w:name="a678785"/>
      <w:r w:rsidRPr="00C7122C">
        <w:rPr>
          <w:sz w:val="20"/>
          <w:szCs w:val="20"/>
        </w:rPr>
        <w:t>To prove service, it is sufficient to prove that:</w:t>
      </w:r>
      <w:bookmarkEnd w:id="320"/>
    </w:p>
    <w:p w14:paraId="3C4265F1" w14:textId="77777777" w:rsidR="00000000" w:rsidRPr="00C7122C" w:rsidRDefault="00A35BEC" w:rsidP="00E12420">
      <w:pPr>
        <w:pStyle w:val="Level3"/>
        <w:rPr>
          <w:sz w:val="20"/>
          <w:szCs w:val="20"/>
        </w:rPr>
      </w:pPr>
      <w:bookmarkStart w:id="321" w:name="a604342"/>
      <w:r w:rsidRPr="00C7122C">
        <w:rPr>
          <w:sz w:val="20"/>
          <w:szCs w:val="20"/>
        </w:rPr>
        <w:t>if delivered by hand, the notice was delivered to the correct address; or</w:t>
      </w:r>
      <w:bookmarkEnd w:id="321"/>
    </w:p>
    <w:p w14:paraId="5A4DA23F" w14:textId="77777777" w:rsidR="00000000" w:rsidRPr="00C7122C" w:rsidRDefault="00A35BEC" w:rsidP="00E12420">
      <w:pPr>
        <w:pStyle w:val="Level3"/>
        <w:rPr>
          <w:sz w:val="20"/>
          <w:szCs w:val="20"/>
        </w:rPr>
      </w:pPr>
      <w:bookmarkStart w:id="322" w:name="a228316"/>
      <w:r w:rsidRPr="00C7122C">
        <w:rPr>
          <w:sz w:val="20"/>
          <w:szCs w:val="20"/>
        </w:rPr>
        <w:t>if sent by post or by airmail, the envelope containing the notice was properly addressed, paid for and posted;</w:t>
      </w:r>
      <w:bookmarkEnd w:id="322"/>
    </w:p>
    <w:p w14:paraId="6F56209A" w14:textId="77777777" w:rsidR="00000000" w:rsidRPr="00C7122C" w:rsidRDefault="00A35BEC" w:rsidP="00E12420">
      <w:pPr>
        <w:pStyle w:val="Level3"/>
        <w:rPr>
          <w:sz w:val="20"/>
          <w:szCs w:val="20"/>
        </w:rPr>
      </w:pPr>
      <w:bookmarkStart w:id="323" w:name="a1030703"/>
      <w:r w:rsidRPr="00C7122C">
        <w:rPr>
          <w:sz w:val="20"/>
          <w:szCs w:val="20"/>
        </w:rPr>
        <w:t>if sent by email, the notice was properly addressed and sent to the email address of the recipient.</w:t>
      </w:r>
      <w:bookmarkEnd w:id="323"/>
    </w:p>
    <w:p w14:paraId="562DAC5B" w14:textId="77777777" w:rsidR="00000000" w:rsidRPr="00C7122C" w:rsidRDefault="00A35BEC" w:rsidP="00E12420">
      <w:pPr>
        <w:pStyle w:val="Level2"/>
        <w:rPr>
          <w:sz w:val="20"/>
          <w:szCs w:val="20"/>
        </w:rPr>
      </w:pPr>
      <w:bookmarkStart w:id="324" w:name="a333010"/>
      <w:r w:rsidRPr="00C7122C">
        <w:rPr>
          <w:sz w:val="20"/>
          <w:szCs w:val="20"/>
        </w:rPr>
        <w:t>In proving that any notice, document or information was properly addressed, it will suffice to show that the notice, document or information was addressed to an address permitted for the purpose by the Act.</w:t>
      </w:r>
      <w:bookmarkEnd w:id="324"/>
    </w:p>
    <w:p w14:paraId="3139F501" w14:textId="77777777" w:rsidR="00000000" w:rsidRPr="00C7122C" w:rsidRDefault="00A35BEC" w:rsidP="00E12420">
      <w:pPr>
        <w:pStyle w:val="Level1"/>
        <w:rPr>
          <w:sz w:val="20"/>
          <w:szCs w:val="20"/>
        </w:rPr>
      </w:pPr>
      <w:bookmarkStart w:id="325" w:name="_Toc256000029"/>
      <w:bookmarkStart w:id="326" w:name="a934506"/>
      <w:bookmarkStart w:id="327" w:name="_Toc144907435"/>
      <w:r w:rsidRPr="00C7122C">
        <w:rPr>
          <w:sz w:val="20"/>
          <w:szCs w:val="20"/>
        </w:rPr>
        <w:t>Indemnity and insurance</w:t>
      </w:r>
      <w:bookmarkEnd w:id="325"/>
      <w:bookmarkEnd w:id="326"/>
      <w:bookmarkEnd w:id="327"/>
    </w:p>
    <w:p w14:paraId="1778E7F4" w14:textId="77777777" w:rsidR="00000000" w:rsidRPr="00C7122C" w:rsidRDefault="00A35BEC" w:rsidP="00E12420">
      <w:pPr>
        <w:pStyle w:val="Level2"/>
        <w:rPr>
          <w:sz w:val="20"/>
          <w:szCs w:val="20"/>
        </w:rPr>
      </w:pPr>
      <w:bookmarkStart w:id="328" w:name="a646111"/>
      <w:r w:rsidRPr="00C7122C">
        <w:rPr>
          <w:sz w:val="20"/>
          <w:szCs w:val="20"/>
        </w:rPr>
        <w:t xml:space="preserve">Subject to </w:t>
      </w:r>
      <w:r w:rsidRPr="00C7122C">
        <w:rPr>
          <w:sz w:val="20"/>
          <w:szCs w:val="20"/>
        </w:rPr>
        <w:fldChar w:fldCharType="begin"/>
      </w:r>
      <w:r w:rsidRPr="00C7122C">
        <w:rPr>
          <w:sz w:val="20"/>
          <w:szCs w:val="20"/>
        </w:rPr>
        <w:instrText>PAGEREF a748879\#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a748879 \h \w</w:instrText>
      </w:r>
      <w:r w:rsidR="00E12420"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27.2</w:t>
      </w:r>
      <w:r w:rsidRPr="00C7122C">
        <w:rPr>
          <w:sz w:val="20"/>
          <w:szCs w:val="20"/>
        </w:rPr>
        <w:fldChar w:fldCharType="end"/>
      </w:r>
      <w:r w:rsidRPr="00C7122C">
        <w:rPr>
          <w:sz w:val="20"/>
          <w:szCs w:val="20"/>
        </w:rPr>
        <w:t>, but without prejudice to any indemnity to which a Relevant Officer is otherwise entitled:</w:t>
      </w:r>
      <w:bookmarkEnd w:id="328"/>
    </w:p>
    <w:p w14:paraId="14674526" w14:textId="77777777" w:rsidR="00000000" w:rsidRPr="00C7122C" w:rsidRDefault="00A35BEC" w:rsidP="00E12420">
      <w:pPr>
        <w:pStyle w:val="Level3"/>
        <w:rPr>
          <w:sz w:val="20"/>
          <w:szCs w:val="20"/>
        </w:rPr>
      </w:pPr>
      <w:bookmarkStart w:id="329" w:name="a511299"/>
      <w:r w:rsidRPr="00C7122C">
        <w:rPr>
          <w:sz w:val="20"/>
          <w:szCs w:val="20"/>
        </w:rPr>
        <w:t>each Relevant Officer shall be indemnified out of the Company's assets against all costs, charges, losses, expenses and liabilities incurred by them as a Relevant Officer:</w:t>
      </w:r>
      <w:bookmarkEnd w:id="329"/>
    </w:p>
    <w:p w14:paraId="58D47D8C" w14:textId="77777777" w:rsidR="00000000" w:rsidRPr="00C7122C" w:rsidRDefault="00A35BEC" w:rsidP="00E12420">
      <w:pPr>
        <w:pStyle w:val="Level4"/>
        <w:rPr>
          <w:sz w:val="20"/>
          <w:szCs w:val="20"/>
        </w:rPr>
      </w:pPr>
      <w:bookmarkStart w:id="330" w:name="a650156"/>
      <w:r w:rsidRPr="00C7122C">
        <w:rPr>
          <w:sz w:val="20"/>
          <w:szCs w:val="20"/>
        </w:rPr>
        <w:t xml:space="preserve">in the actual or purported execution and/or discharge of their duties, or in relation thereto </w:t>
      </w:r>
      <w:bookmarkEnd w:id="330"/>
    </w:p>
    <w:p w14:paraId="6AE14D48" w14:textId="77777777" w:rsidR="00000000" w:rsidRPr="00C7122C" w:rsidRDefault="00A35BEC" w:rsidP="00DE5C22">
      <w:pPr>
        <w:pStyle w:val="Body3"/>
        <w:rPr>
          <w:sz w:val="20"/>
          <w:szCs w:val="20"/>
        </w:rPr>
      </w:pPr>
      <w:r w:rsidRPr="00C7122C">
        <w:rPr>
          <w:sz w:val="20"/>
          <w:szCs w:val="20"/>
        </w:rPr>
        <w:t>including (in each case) any liability incurred by them in defending any civil or criminal proceedings, in which judgment is given in their favour or in which they are acquitted, or the proceedings are otherwise disposed of without any finding or admission of any material breach of duty on their part, or in connection with any application in which the court grants them, in their capacity as a Relevant Officer, relief from liability for negligence, default, breach of duty or breach of trust in relation to the Company's affairs; and</w:t>
      </w:r>
    </w:p>
    <w:p w14:paraId="605EB2CC" w14:textId="77777777" w:rsidR="00000000" w:rsidRPr="00C7122C" w:rsidRDefault="00A35BEC" w:rsidP="00E12420">
      <w:pPr>
        <w:pStyle w:val="Level3"/>
        <w:rPr>
          <w:sz w:val="20"/>
          <w:szCs w:val="20"/>
        </w:rPr>
      </w:pPr>
      <w:bookmarkStart w:id="331" w:name="a657526"/>
      <w:r w:rsidRPr="00C7122C">
        <w:rPr>
          <w:sz w:val="20"/>
          <w:szCs w:val="20"/>
        </w:rPr>
        <w:t xml:space="preserve">the Company may provide any Relevant Officer with funds to meet expenditure incurred or to be incurred by them in connection with any proceedings or application referred to in </w:t>
      </w:r>
      <w:r w:rsidRPr="00C7122C">
        <w:rPr>
          <w:sz w:val="20"/>
          <w:szCs w:val="20"/>
        </w:rPr>
        <w:fldChar w:fldCharType="begin"/>
      </w:r>
      <w:r w:rsidRPr="00C7122C">
        <w:rPr>
          <w:sz w:val="20"/>
          <w:szCs w:val="20"/>
        </w:rPr>
        <w:instrText>PAGEREF a646111\#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a646111 \h \w</w:instrText>
      </w:r>
      <w:r w:rsidR="00E12420" w:rsidRPr="00C7122C">
        <w:rPr>
          <w:sz w:val="20"/>
          <w:szCs w:val="20"/>
        </w:rPr>
        <w:instrText xml:space="preserve"> \* MERGEFORMAT </w:instrText>
      </w:r>
      <w:r w:rsidRPr="00C7122C">
        <w:rPr>
          <w:sz w:val="20"/>
          <w:szCs w:val="20"/>
        </w:rPr>
      </w:r>
      <w:r w:rsidRPr="00C7122C">
        <w:rPr>
          <w:sz w:val="20"/>
          <w:szCs w:val="20"/>
        </w:rPr>
        <w:fldChar w:fldCharType="separate"/>
      </w:r>
      <w:r w:rsidR="0017407B">
        <w:rPr>
          <w:sz w:val="20"/>
          <w:szCs w:val="20"/>
          <w:highlight w:val="lightGray"/>
        </w:rPr>
        <w:t>27.1</w:t>
      </w:r>
      <w:r w:rsidRPr="00C7122C">
        <w:rPr>
          <w:sz w:val="20"/>
          <w:szCs w:val="20"/>
        </w:rPr>
        <w:fldChar w:fldCharType="end"/>
      </w:r>
      <w:r w:rsidRPr="00C7122C">
        <w:rPr>
          <w:sz w:val="20"/>
          <w:szCs w:val="20"/>
        </w:rPr>
        <w:t xml:space="preserve"> and otherwise may take any action to enable such Relevant Officer to avoid incurring such expenditure.</w:t>
      </w:r>
      <w:bookmarkEnd w:id="331"/>
    </w:p>
    <w:p w14:paraId="2BFE2EAD" w14:textId="77777777" w:rsidR="00000000" w:rsidRPr="00C7122C" w:rsidRDefault="00A35BEC" w:rsidP="00E12420">
      <w:pPr>
        <w:pStyle w:val="Level2"/>
        <w:rPr>
          <w:sz w:val="20"/>
          <w:szCs w:val="20"/>
        </w:rPr>
      </w:pPr>
      <w:bookmarkStart w:id="332" w:name="a748879"/>
      <w:r w:rsidRPr="00C7122C">
        <w:rPr>
          <w:sz w:val="20"/>
          <w:szCs w:val="20"/>
        </w:rPr>
        <w:t xml:space="preserve">This </w:t>
      </w:r>
      <w:r w:rsidRPr="00C7122C">
        <w:rPr>
          <w:sz w:val="20"/>
          <w:szCs w:val="20"/>
        </w:rPr>
        <w:fldChar w:fldCharType="begin"/>
      </w:r>
      <w:r w:rsidRPr="00C7122C">
        <w:rPr>
          <w:sz w:val="20"/>
          <w:szCs w:val="20"/>
        </w:rPr>
        <w:instrText>PAGEREF a934506\#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a934506 \h \w</w:instrText>
      </w:r>
      <w:r w:rsidR="00DE5C22"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27</w:t>
      </w:r>
      <w:r w:rsidRPr="00C7122C">
        <w:rPr>
          <w:sz w:val="20"/>
          <w:szCs w:val="20"/>
        </w:rPr>
        <w:fldChar w:fldCharType="end"/>
      </w:r>
      <w:r w:rsidRPr="00C7122C">
        <w:rPr>
          <w:sz w:val="20"/>
          <w:szCs w:val="20"/>
        </w:rPr>
        <w:t xml:space="preserve"> does not authorise any indemnity which would be prohibited or rendered void by any provision of the Act or by any other provision of law.</w:t>
      </w:r>
      <w:bookmarkEnd w:id="332"/>
    </w:p>
    <w:p w14:paraId="51517245" w14:textId="77777777" w:rsidR="00000000" w:rsidRPr="00C7122C" w:rsidRDefault="00A35BEC" w:rsidP="00E12420">
      <w:pPr>
        <w:pStyle w:val="Level2"/>
        <w:rPr>
          <w:sz w:val="20"/>
          <w:szCs w:val="20"/>
        </w:rPr>
      </w:pPr>
      <w:bookmarkStart w:id="333" w:name="a334495"/>
      <w:r w:rsidRPr="00C7122C">
        <w:rPr>
          <w:sz w:val="20"/>
          <w:szCs w:val="20"/>
        </w:rPr>
        <w:lastRenderedPageBreak/>
        <w:t>The Directors may decide to purchase and maintain insurance, at the expense of the Company, for the benefit of any Relevant Officer in respect of any Relevant Loss.</w:t>
      </w:r>
      <w:bookmarkEnd w:id="333"/>
    </w:p>
    <w:p w14:paraId="3C99AF96" w14:textId="77777777" w:rsidR="00000000" w:rsidRPr="00C7122C" w:rsidRDefault="00A35BEC" w:rsidP="00E12420">
      <w:pPr>
        <w:pStyle w:val="Level2"/>
        <w:rPr>
          <w:sz w:val="20"/>
          <w:szCs w:val="20"/>
        </w:rPr>
      </w:pPr>
      <w:bookmarkStart w:id="334" w:name="a772429"/>
      <w:r w:rsidRPr="00C7122C">
        <w:rPr>
          <w:sz w:val="20"/>
          <w:szCs w:val="20"/>
        </w:rPr>
        <w:t xml:space="preserve">In this </w:t>
      </w:r>
      <w:r w:rsidRPr="00C7122C">
        <w:rPr>
          <w:sz w:val="20"/>
          <w:szCs w:val="20"/>
        </w:rPr>
        <w:fldChar w:fldCharType="begin"/>
      </w:r>
      <w:r w:rsidRPr="00C7122C">
        <w:rPr>
          <w:sz w:val="20"/>
          <w:szCs w:val="20"/>
        </w:rPr>
        <w:instrText>PAGEREF a934506\# "'article '"  \h</w:instrText>
      </w:r>
      <w:r w:rsidRPr="00C7122C">
        <w:rPr>
          <w:sz w:val="20"/>
          <w:szCs w:val="20"/>
        </w:rPr>
      </w:r>
      <w:r w:rsidRPr="00C7122C">
        <w:rPr>
          <w:sz w:val="20"/>
          <w:szCs w:val="20"/>
        </w:rPr>
        <w:fldChar w:fldCharType="separate"/>
      </w:r>
      <w:r w:rsidR="0017407B" w:rsidRPr="00C7122C">
        <w:rPr>
          <w:noProof/>
          <w:sz w:val="20"/>
          <w:szCs w:val="20"/>
        </w:rPr>
        <w:t xml:space="preserve">article </w:t>
      </w:r>
      <w:r w:rsidRPr="00C7122C">
        <w:rPr>
          <w:sz w:val="20"/>
          <w:szCs w:val="20"/>
        </w:rPr>
        <w:fldChar w:fldCharType="end"/>
      </w:r>
      <w:r w:rsidRPr="00C7122C">
        <w:rPr>
          <w:sz w:val="20"/>
          <w:szCs w:val="20"/>
        </w:rPr>
        <w:fldChar w:fldCharType="begin"/>
      </w:r>
      <w:r w:rsidRPr="00C7122C">
        <w:rPr>
          <w:sz w:val="20"/>
          <w:szCs w:val="20"/>
          <w:highlight w:val="lightGray"/>
        </w:rPr>
        <w:instrText>REF a934506 \h \w</w:instrText>
      </w:r>
      <w:r w:rsidR="00DE5C22" w:rsidRPr="00C7122C">
        <w:rPr>
          <w:sz w:val="20"/>
          <w:szCs w:val="20"/>
        </w:rPr>
        <w:instrText xml:space="preserve"> \* MERGEFORMAT </w:instrText>
      </w:r>
      <w:r w:rsidRPr="00C7122C">
        <w:rPr>
          <w:sz w:val="20"/>
          <w:szCs w:val="20"/>
        </w:rPr>
      </w:r>
      <w:r w:rsidRPr="00C7122C">
        <w:rPr>
          <w:sz w:val="20"/>
          <w:szCs w:val="20"/>
        </w:rPr>
        <w:fldChar w:fldCharType="separate"/>
      </w:r>
      <w:r w:rsidR="0017407B" w:rsidRPr="0017407B">
        <w:rPr>
          <w:sz w:val="20"/>
          <w:szCs w:val="20"/>
        </w:rPr>
        <w:t>27</w:t>
      </w:r>
      <w:r w:rsidRPr="00C7122C">
        <w:rPr>
          <w:sz w:val="20"/>
          <w:szCs w:val="20"/>
        </w:rPr>
        <w:fldChar w:fldCharType="end"/>
      </w:r>
      <w:r w:rsidRPr="00C7122C">
        <w:rPr>
          <w:sz w:val="20"/>
          <w:szCs w:val="20"/>
        </w:rPr>
        <w:t>:</w:t>
      </w:r>
      <w:bookmarkEnd w:id="334"/>
    </w:p>
    <w:p w14:paraId="6EF1E442" w14:textId="77777777" w:rsidR="00000000" w:rsidRPr="00C7122C" w:rsidRDefault="00A35BEC" w:rsidP="00E12420">
      <w:pPr>
        <w:pStyle w:val="Level3"/>
        <w:rPr>
          <w:sz w:val="20"/>
          <w:szCs w:val="20"/>
        </w:rPr>
      </w:pPr>
      <w:bookmarkStart w:id="335" w:name="a458626"/>
      <w:r w:rsidRPr="003D1ED0">
        <w:rPr>
          <w:b/>
          <w:bCs/>
          <w:sz w:val="20"/>
          <w:szCs w:val="20"/>
        </w:rPr>
        <w:t>Relevant Loss</w:t>
      </w:r>
      <w:r w:rsidRPr="00C7122C">
        <w:rPr>
          <w:sz w:val="20"/>
          <w:szCs w:val="20"/>
        </w:rPr>
        <w:t xml:space="preserve"> means any loss or liability which has been or may be incurred by a Relevant Officer in connection with that Relevant Officer's duties or powers in relation to the Company or any pension fund of the Company</w:t>
      </w:r>
      <w:bookmarkEnd w:id="335"/>
      <w:r w:rsidR="00826A32" w:rsidRPr="00C7122C">
        <w:rPr>
          <w:sz w:val="20"/>
          <w:szCs w:val="20"/>
        </w:rPr>
        <w:t>; and</w:t>
      </w:r>
    </w:p>
    <w:p w14:paraId="50CE9EDA" w14:textId="77777777" w:rsidR="00000000" w:rsidRPr="00C7122C" w:rsidRDefault="00A35BEC" w:rsidP="001070AA">
      <w:pPr>
        <w:pStyle w:val="Level3"/>
        <w:rPr>
          <w:sz w:val="20"/>
          <w:szCs w:val="20"/>
        </w:rPr>
      </w:pPr>
      <w:bookmarkStart w:id="336" w:name="a665616"/>
      <w:r w:rsidRPr="003D1ED0">
        <w:rPr>
          <w:b/>
          <w:bCs/>
          <w:sz w:val="20"/>
          <w:szCs w:val="20"/>
        </w:rPr>
        <w:t>Relevant Officer</w:t>
      </w:r>
      <w:r w:rsidRPr="00C7122C">
        <w:rPr>
          <w:sz w:val="20"/>
          <w:szCs w:val="20"/>
        </w:rPr>
        <w:t xml:space="preserve"> means any director or other officer or former director or other officer of </w:t>
      </w:r>
      <w:r w:rsidR="00826A32" w:rsidRPr="00C7122C">
        <w:rPr>
          <w:sz w:val="20"/>
          <w:szCs w:val="20"/>
        </w:rPr>
        <w:t xml:space="preserve">the </w:t>
      </w:r>
      <w:r w:rsidRPr="00C7122C">
        <w:rPr>
          <w:sz w:val="20"/>
          <w:szCs w:val="20"/>
        </w:rPr>
        <w:t xml:space="preserve">Company but excluding in each case any person engaged by </w:t>
      </w:r>
      <w:r w:rsidR="00826A32" w:rsidRPr="00C7122C">
        <w:rPr>
          <w:sz w:val="20"/>
          <w:szCs w:val="20"/>
        </w:rPr>
        <w:t xml:space="preserve">the </w:t>
      </w:r>
      <w:r w:rsidRPr="00C7122C">
        <w:rPr>
          <w:sz w:val="20"/>
          <w:szCs w:val="20"/>
        </w:rPr>
        <w:t>Company as auditor (whether or not they are also a director or other officer), to the extent they act in their capacity as auditor</w:t>
      </w:r>
      <w:bookmarkEnd w:id="336"/>
      <w:r w:rsidR="00826A32" w:rsidRPr="00C7122C">
        <w:rPr>
          <w:sz w:val="20"/>
          <w:szCs w:val="20"/>
        </w:rPr>
        <w:t>.</w:t>
      </w:r>
    </w:p>
    <w:sectPr w:rsidR="00CB55CF" w:rsidRPr="00C7122C" w:rsidSect="003032D3">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21479" w14:textId="77777777" w:rsidR="00AE03DD" w:rsidRDefault="00AE03DD">
      <w:r>
        <w:separator/>
      </w:r>
    </w:p>
  </w:endnote>
  <w:endnote w:type="continuationSeparator" w:id="0">
    <w:p w14:paraId="7DB2BAF0" w14:textId="77777777" w:rsidR="00AE03DD" w:rsidRDefault="00AE0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5B952" w14:textId="77777777" w:rsidR="00780D49" w:rsidRDefault="00780D4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DE1D5" w14:textId="77777777" w:rsidR="003032D3" w:rsidRDefault="003032D3">
    <w:pPr>
      <w:pStyle w:val="Footer"/>
      <w:jc w:val="center"/>
    </w:pPr>
    <w:r>
      <w:fldChar w:fldCharType="begin"/>
    </w:r>
    <w:r>
      <w:instrText xml:space="preserve"> PAGE   \* MERGEFORMAT </w:instrText>
    </w:r>
    <w:r>
      <w:fldChar w:fldCharType="separate"/>
    </w:r>
    <w:r>
      <w:rPr>
        <w:noProof/>
      </w:rPr>
      <w:t>2</w:t>
    </w:r>
    <w:r>
      <w:rPr>
        <w:noProof/>
      </w:rPr>
      <w:fldChar w:fldCharType="end"/>
    </w:r>
  </w:p>
  <w:p w14:paraId="0E4D4E4C" w14:textId="77777777" w:rsidR="003032D3" w:rsidRDefault="003032D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32889" w14:textId="77777777" w:rsidR="00AE03DD" w:rsidRDefault="00AE03DD">
      <w:r>
        <w:separator/>
      </w:r>
    </w:p>
  </w:footnote>
  <w:footnote w:type="continuationSeparator" w:id="0">
    <w:p w14:paraId="58FB1D79" w14:textId="77777777" w:rsidR="00AE03DD" w:rsidRDefault="00AE0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7A0F3" w14:textId="77777777" w:rsidR="00533822" w:rsidRDefault="00AE03DD">
    <w:pPr>
      <w:pStyle w:val="Header"/>
    </w:pPr>
    <w:r>
      <w:rPr>
        <w:noProof/>
      </w:rPr>
      <w:pict w14:anchorId="31FF6A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02839A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72DD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4C82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CB23E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576F82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A4CBD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A4233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132F1E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F9CF6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2881E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987AD3"/>
    <w:multiLevelType w:val="multilevel"/>
    <w:tmpl w:val="887C5C60"/>
    <w:lvl w:ilvl="0">
      <w:start w:val="1"/>
      <w:numFmt w:val="decimal"/>
      <w:pStyle w:val="SchedNumbering1"/>
      <w:lvlText w:val="%1"/>
      <w:lvlJc w:val="left"/>
      <w:pPr>
        <w:tabs>
          <w:tab w:val="num" w:pos="680"/>
        </w:tabs>
        <w:ind w:left="680" w:hanging="680"/>
      </w:pPr>
      <w:rPr>
        <w:rFonts w:ascii="Arial" w:hAnsi="Arial" w:hint="default"/>
        <w:b/>
        <w:bCs w:val="0"/>
        <w:i w:val="0"/>
        <w:sz w:val="20"/>
      </w:rPr>
    </w:lvl>
    <w:lvl w:ilvl="1">
      <w:start w:val="1"/>
      <w:numFmt w:val="decimal"/>
      <w:pStyle w:val="SchedNumbering2"/>
      <w:lvlText w:val="%1.%2"/>
      <w:lvlJc w:val="left"/>
      <w:pPr>
        <w:tabs>
          <w:tab w:val="num" w:pos="680"/>
        </w:tabs>
        <w:ind w:left="680" w:hanging="680"/>
      </w:pPr>
      <w:rPr>
        <w:rFonts w:ascii="Arial" w:hAnsi="Arial" w:hint="default"/>
        <w:b w:val="0"/>
        <w:bCs/>
        <w:i w:val="0"/>
        <w:sz w:val="20"/>
      </w:rPr>
    </w:lvl>
    <w:lvl w:ilvl="2">
      <w:start w:val="1"/>
      <w:numFmt w:val="decimal"/>
      <w:pStyle w:val="SchedNumbering3"/>
      <w:lvlText w:val="%1.%2.%3"/>
      <w:lvlJc w:val="left"/>
      <w:pPr>
        <w:tabs>
          <w:tab w:val="num" w:pos="1474"/>
        </w:tabs>
        <w:ind w:left="1474" w:hanging="794"/>
      </w:pPr>
      <w:rPr>
        <w:rFonts w:ascii="Arial" w:hAnsi="Arial"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rPr>
    </w:lvl>
    <w:lvl w:ilvl="3">
      <w:start w:val="1"/>
      <w:numFmt w:val="lowerLetter"/>
      <w:pStyle w:val="SchedNumbering4"/>
      <w:lvlText w:val="(%4)"/>
      <w:lvlJc w:val="left"/>
      <w:pPr>
        <w:tabs>
          <w:tab w:val="num" w:pos="1928"/>
        </w:tabs>
        <w:ind w:left="1928" w:hanging="454"/>
      </w:pPr>
      <w:rPr>
        <w:rFonts w:ascii="Arial" w:hAnsi="Arial" w:hint="default"/>
        <w:b/>
        <w:i w:val="0"/>
        <w:sz w:val="20"/>
        <w:szCs w:val="18"/>
      </w:rPr>
    </w:lvl>
    <w:lvl w:ilvl="4">
      <w:start w:val="1"/>
      <w:numFmt w:val="lowerRoman"/>
      <w:pStyle w:val="SchedNumbering5"/>
      <w:lvlText w:val="(%5)"/>
      <w:lvlJc w:val="left"/>
      <w:pPr>
        <w:tabs>
          <w:tab w:val="num" w:pos="2381"/>
        </w:tabs>
        <w:ind w:left="2381" w:hanging="453"/>
      </w:pPr>
      <w:rPr>
        <w:rFonts w:ascii="Arial" w:hAnsi="Arial" w:hint="default"/>
        <w:b/>
        <w:i w:val="0"/>
        <w:sz w:val="20"/>
        <w:szCs w:val="18"/>
      </w:rPr>
    </w:lvl>
    <w:lvl w:ilvl="5">
      <w:start w:val="1"/>
      <w:numFmt w:val="bullet"/>
      <w:lvlText w:val=""/>
      <w:lvlJc w:val="left"/>
      <w:pPr>
        <w:tabs>
          <w:tab w:val="num" w:pos="3288"/>
        </w:tabs>
        <w:ind w:left="3288" w:hanging="680"/>
      </w:pPr>
      <w:rPr>
        <w:rFonts w:ascii="Symbol" w:hAnsi="Symbol" w:hint="default"/>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11" w15:restartNumberingAfterBreak="0">
    <w:nsid w:val="0C182364"/>
    <w:multiLevelType w:val="multilevel"/>
    <w:tmpl w:val="D7461F0E"/>
    <w:lvl w:ilvl="0">
      <w:start w:val="1"/>
      <w:numFmt w:val="bullet"/>
      <w:pStyle w:val="BulletedList"/>
      <w:lvlText w:val=""/>
      <w:lvlJc w:val="left"/>
      <w:pPr>
        <w:tabs>
          <w:tab w:val="num" w:pos="369"/>
        </w:tabs>
        <w:ind w:left="369" w:hanging="369"/>
      </w:pPr>
      <w:rPr>
        <w:rFonts w:ascii="Symbol" w:hAnsi="Symbol" w:hint="default"/>
      </w:rPr>
    </w:lvl>
    <w:lvl w:ilvl="1">
      <w:start w:val="1"/>
      <w:numFmt w:val="bullet"/>
      <w:lvlText w:val="o"/>
      <w:lvlJc w:val="left"/>
      <w:pPr>
        <w:tabs>
          <w:tab w:val="num" w:pos="1038"/>
        </w:tabs>
        <w:ind w:left="1038" w:hanging="358"/>
      </w:pPr>
      <w:rPr>
        <w:rFonts w:ascii="Courier New" w:hAnsi="Courier New" w:hint="default"/>
        <w:color w:val="auto"/>
      </w:rPr>
    </w:lvl>
    <w:lvl w:ilvl="2">
      <w:start w:val="1"/>
      <w:numFmt w:val="bullet"/>
      <w:lvlText w:val=""/>
      <w:lvlJc w:val="left"/>
      <w:pPr>
        <w:tabs>
          <w:tab w:val="num" w:pos="1843"/>
        </w:tabs>
        <w:ind w:left="1843" w:hanging="369"/>
      </w:pPr>
      <w:rPr>
        <w:rFonts w:ascii="Symbol" w:hAnsi="Symbol" w:hint="default"/>
        <w:color w:val="auto"/>
      </w:rPr>
    </w:lvl>
    <w:lvl w:ilvl="3">
      <w:start w:val="1"/>
      <w:numFmt w:val="bullet"/>
      <w:lvlText w:val=""/>
      <w:lvlJc w:val="left"/>
      <w:pPr>
        <w:tabs>
          <w:tab w:val="num" w:pos="2296"/>
        </w:tabs>
        <w:ind w:left="2296" w:hanging="368"/>
      </w:pPr>
      <w:rPr>
        <w:rFonts w:ascii="Courier New" w:hAnsi="Courier New" w:hint="default"/>
        <w:color w:val="auto"/>
      </w:rPr>
    </w:lvl>
    <w:lvl w:ilvl="4">
      <w:start w:val="1"/>
      <w:numFmt w:val="bullet"/>
      <w:lvlText w:val=""/>
      <w:lvlJc w:val="left"/>
      <w:pPr>
        <w:tabs>
          <w:tab w:val="num" w:pos="2750"/>
        </w:tabs>
        <w:ind w:left="2750" w:hanging="369"/>
      </w:pPr>
      <w:rPr>
        <w:rFonts w:ascii="Symbol" w:hAnsi="Symbol" w:hint="default"/>
        <w:color w:val="auto"/>
      </w:rPr>
    </w:lvl>
    <w:lvl w:ilvl="5">
      <w:start w:val="1"/>
      <w:numFmt w:val="bullet"/>
      <w:lvlText w:val=""/>
      <w:lvlJc w:val="left"/>
      <w:pPr>
        <w:tabs>
          <w:tab w:val="num" w:pos="2214"/>
        </w:tabs>
        <w:ind w:left="2214" w:hanging="369"/>
      </w:pPr>
      <w:rPr>
        <w:rFonts w:ascii="Symbol" w:hAnsi="Symbol" w:hint="default"/>
      </w:rPr>
    </w:lvl>
    <w:lvl w:ilvl="6">
      <w:start w:val="1"/>
      <w:numFmt w:val="bullet"/>
      <w:lvlText w:val=""/>
      <w:lvlJc w:val="left"/>
      <w:pPr>
        <w:tabs>
          <w:tab w:val="num" w:pos="2583"/>
        </w:tabs>
        <w:ind w:left="2583" w:hanging="369"/>
      </w:pPr>
      <w:rPr>
        <w:rFonts w:ascii="Symbol" w:hAnsi="Symbol" w:hint="default"/>
      </w:rPr>
    </w:lvl>
    <w:lvl w:ilvl="7">
      <w:start w:val="1"/>
      <w:numFmt w:val="bullet"/>
      <w:lvlText w:val=""/>
      <w:lvlJc w:val="left"/>
      <w:pPr>
        <w:tabs>
          <w:tab w:val="num" w:pos="2952"/>
        </w:tabs>
        <w:ind w:left="2952" w:hanging="369"/>
      </w:pPr>
      <w:rPr>
        <w:rFonts w:ascii="Symbol" w:hAnsi="Symbol" w:hint="default"/>
      </w:rPr>
    </w:lvl>
    <w:lvl w:ilvl="8">
      <w:start w:val="1"/>
      <w:numFmt w:val="none"/>
      <w:lvlText w:val=""/>
      <w:lvlJc w:val="left"/>
      <w:pPr>
        <w:tabs>
          <w:tab w:val="num" w:pos="3321"/>
        </w:tabs>
        <w:ind w:left="3321" w:hanging="369"/>
      </w:pPr>
      <w:rPr>
        <w:rFonts w:hint="default"/>
      </w:rPr>
    </w:lvl>
  </w:abstractNum>
  <w:abstractNum w:abstractNumId="12" w15:restartNumberingAfterBreak="0">
    <w:nsid w:val="24910D79"/>
    <w:multiLevelType w:val="multilevel"/>
    <w:tmpl w:val="7B086E86"/>
    <w:lvl w:ilvl="0">
      <w:start w:val="1"/>
      <w:numFmt w:val="upperLetter"/>
      <w:pStyle w:val="ABackground"/>
      <w:lvlText w:val="(%1)"/>
      <w:lvlJc w:val="left"/>
      <w:rPr>
        <w:rFonts w:ascii="Arial" w:hAnsi="Arial" w:cs="Times New Roman" w:hint="default"/>
        <w:b/>
        <w:bCs w:val="0"/>
        <w:i w:val="0"/>
        <w:iCs w:val="0"/>
        <w:caps w:val="0"/>
        <w:smallCaps w:val="0"/>
        <w:strike w:val="0"/>
        <w:dstrike w:val="0"/>
        <w:outline w:val="0"/>
        <w:shadow w:val="0"/>
        <w:emboss w:val="0"/>
        <w:imprint w:val="0"/>
        <w:vanish w:val="0"/>
        <w:color w:val="auto"/>
        <w:spacing w:val="0"/>
        <w:position w:val="0"/>
        <w:sz w:val="20"/>
        <w:u w:val="none"/>
        <w:effect w:val="none"/>
        <w:vertAlign w:val="baseline"/>
      </w:rPr>
    </w:lvl>
    <w:lvl w:ilvl="1">
      <w:start w:val="1"/>
      <w:numFmt w:val="lowerRoman"/>
      <w:lvlText w:val="(%2)"/>
      <w:lvlJc w:val="left"/>
      <w:pPr>
        <w:tabs>
          <w:tab w:val="num" w:pos="2801"/>
        </w:tabs>
        <w:ind w:left="2801" w:hanging="681"/>
      </w:pPr>
      <w:rPr>
        <w:rFonts w:ascii="Trebuchet MS" w:hAnsi="Trebuchet MS" w:cs="Times New Roman" w:hint="default"/>
        <w:b/>
        <w:i w:val="0"/>
        <w:sz w:val="20"/>
      </w:rPr>
    </w:lvl>
    <w:lvl w:ilvl="2">
      <w:start w:val="1"/>
      <w:numFmt w:val="none"/>
      <w:lvlText w:val=""/>
      <w:lvlJc w:val="right"/>
      <w:pPr>
        <w:ind w:left="3600" w:hanging="180"/>
      </w:pPr>
      <w:rPr>
        <w:rFonts w:cs="Times New Roman" w:hint="default"/>
      </w:rPr>
    </w:lvl>
    <w:lvl w:ilvl="3">
      <w:start w:val="1"/>
      <w:numFmt w:val="none"/>
      <w:lvlText w:val=""/>
      <w:lvlJc w:val="left"/>
      <w:pPr>
        <w:ind w:left="4320" w:hanging="360"/>
      </w:pPr>
      <w:rPr>
        <w:rFonts w:cs="Times New Roman" w:hint="default"/>
      </w:rPr>
    </w:lvl>
    <w:lvl w:ilvl="4">
      <w:start w:val="1"/>
      <w:numFmt w:val="none"/>
      <w:lvlText w:val=""/>
      <w:lvlJc w:val="left"/>
      <w:pPr>
        <w:ind w:left="5040" w:hanging="360"/>
      </w:pPr>
      <w:rPr>
        <w:rFonts w:cs="Times New Roman" w:hint="default"/>
      </w:rPr>
    </w:lvl>
    <w:lvl w:ilvl="5">
      <w:start w:val="1"/>
      <w:numFmt w:val="none"/>
      <w:lvlText w:val=""/>
      <w:lvlJc w:val="right"/>
      <w:pPr>
        <w:ind w:left="5760" w:hanging="180"/>
      </w:pPr>
      <w:rPr>
        <w:rFonts w:cs="Times New Roman" w:hint="default"/>
      </w:rPr>
    </w:lvl>
    <w:lvl w:ilvl="6">
      <w:start w:val="1"/>
      <w:numFmt w:val="none"/>
      <w:lvlText w:val=""/>
      <w:lvlJc w:val="left"/>
      <w:pPr>
        <w:ind w:left="6480" w:hanging="360"/>
      </w:pPr>
      <w:rPr>
        <w:rFonts w:cs="Times New Roman" w:hint="default"/>
      </w:rPr>
    </w:lvl>
    <w:lvl w:ilvl="7">
      <w:start w:val="1"/>
      <w:numFmt w:val="none"/>
      <w:lvlText w:val=""/>
      <w:lvlJc w:val="left"/>
      <w:pPr>
        <w:ind w:left="7200" w:hanging="360"/>
      </w:pPr>
      <w:rPr>
        <w:rFonts w:cs="Times New Roman" w:hint="default"/>
      </w:rPr>
    </w:lvl>
    <w:lvl w:ilvl="8">
      <w:start w:val="1"/>
      <w:numFmt w:val="none"/>
      <w:lvlText w:val=""/>
      <w:lvlJc w:val="right"/>
      <w:pPr>
        <w:ind w:left="7920" w:hanging="180"/>
      </w:pPr>
      <w:rPr>
        <w:rFonts w:cs="Times New Roman" w:hint="default"/>
      </w:rPr>
    </w:lvl>
  </w:abstractNum>
  <w:abstractNum w:abstractNumId="13" w15:restartNumberingAfterBreak="0">
    <w:nsid w:val="28B55450"/>
    <w:multiLevelType w:val="multilevel"/>
    <w:tmpl w:val="23F83D6E"/>
    <w:lvl w:ilvl="0">
      <w:start w:val="1"/>
      <w:numFmt w:val="upperLetter"/>
      <w:pStyle w:val="ABracketedLetter"/>
      <w:lvlText w:val="(%1)"/>
      <w:lvlJc w:val="left"/>
      <w:pPr>
        <w:ind w:left="680" w:hanging="680"/>
      </w:pPr>
      <w:rPr>
        <w:rFonts w:ascii="Arial" w:hAnsi="Arial" w:hint="default"/>
        <w:b/>
        <w:i w:val="0"/>
        <w:sz w:val="20"/>
      </w:rPr>
    </w:lvl>
    <w:lvl w:ilvl="1">
      <w:start w:val="1"/>
      <w:numFmt w:val="lowerRoman"/>
      <w:lvlText w:val="(%2)"/>
      <w:lvlJc w:val="left"/>
      <w:pPr>
        <w:tabs>
          <w:tab w:val="num" w:pos="1474"/>
        </w:tabs>
        <w:ind w:left="1474" w:hanging="794"/>
      </w:pPr>
      <w:rPr>
        <w:rFonts w:ascii="Trebuchet MS" w:hAnsi="Trebuchet MS" w:hint="default"/>
        <w:b/>
        <w:i w:val="0"/>
        <w:sz w:val="20"/>
      </w:rPr>
    </w:lvl>
    <w:lvl w:ilvl="2">
      <w:start w:val="1"/>
      <w:numFmt w:val="lowerLetter"/>
      <w:lvlText w:val="(%3)"/>
      <w:lvlJc w:val="left"/>
      <w:pPr>
        <w:tabs>
          <w:tab w:val="num" w:pos="1928"/>
        </w:tabs>
        <w:ind w:left="1928" w:hanging="454"/>
      </w:pPr>
      <w:rPr>
        <w:rFonts w:ascii="Trebuchet MS" w:hAnsi="Trebuchet MS" w:hint="default"/>
        <w:b/>
        <w:i w:val="0"/>
        <w:sz w:val="20"/>
      </w:rPr>
    </w:lvl>
    <w:lvl w:ilvl="3">
      <w:start w:val="1"/>
      <w:numFmt w:val="bullet"/>
      <w:lvlText w:val=""/>
      <w:lvlJc w:val="left"/>
      <w:pPr>
        <w:tabs>
          <w:tab w:val="num" w:pos="2381"/>
        </w:tabs>
        <w:ind w:left="2381" w:hanging="453"/>
      </w:pPr>
      <w:rPr>
        <w:rFonts w:ascii="Symbol" w:hAnsi="Symbol" w:hint="default"/>
      </w:rPr>
    </w:lvl>
    <w:lvl w:ilvl="4">
      <w:start w:val="1"/>
      <w:numFmt w:val="bullet"/>
      <w:lvlText w:val=""/>
      <w:lvlJc w:val="left"/>
      <w:pPr>
        <w:tabs>
          <w:tab w:val="num" w:pos="2750"/>
        </w:tabs>
        <w:ind w:left="2750" w:hanging="369"/>
      </w:pPr>
      <w:rPr>
        <w:rFonts w:ascii="Courier New" w:hAnsi="Courier New" w:hint="default"/>
        <w:color w:val="auto"/>
      </w:rPr>
    </w:lvl>
    <w:lvl w:ilvl="5">
      <w:start w:val="1"/>
      <w:numFmt w:val="none"/>
      <w:lvlText w:val=""/>
      <w:lvlJc w:val="right"/>
      <w:pPr>
        <w:ind w:left="4811" w:hanging="180"/>
      </w:pPr>
      <w:rPr>
        <w:rFonts w:hint="default"/>
      </w:rPr>
    </w:lvl>
    <w:lvl w:ilvl="6">
      <w:start w:val="1"/>
      <w:numFmt w:val="none"/>
      <w:lvlText w:val=""/>
      <w:lvlJc w:val="left"/>
      <w:pPr>
        <w:ind w:left="5531" w:hanging="360"/>
      </w:pPr>
      <w:rPr>
        <w:rFonts w:hint="default"/>
      </w:rPr>
    </w:lvl>
    <w:lvl w:ilvl="7">
      <w:start w:val="1"/>
      <w:numFmt w:val="none"/>
      <w:lvlText w:val=""/>
      <w:lvlJc w:val="left"/>
      <w:pPr>
        <w:ind w:left="6251" w:hanging="360"/>
      </w:pPr>
      <w:rPr>
        <w:rFonts w:hint="default"/>
      </w:rPr>
    </w:lvl>
    <w:lvl w:ilvl="8">
      <w:start w:val="1"/>
      <w:numFmt w:val="none"/>
      <w:lvlText w:val=""/>
      <w:lvlJc w:val="right"/>
      <w:pPr>
        <w:ind w:left="6971" w:hanging="180"/>
      </w:pPr>
      <w:rPr>
        <w:rFonts w:hint="default"/>
      </w:rPr>
    </w:lvl>
  </w:abstractNum>
  <w:abstractNum w:abstractNumId="14" w15:restartNumberingAfterBreak="0">
    <w:nsid w:val="2A535A95"/>
    <w:multiLevelType w:val="multilevel"/>
    <w:tmpl w:val="BE80C6D0"/>
    <w:lvl w:ilvl="0">
      <w:start w:val="1"/>
      <w:numFmt w:val="decimal"/>
      <w:pStyle w:val="CourtDocNumbering"/>
      <w:lvlText w:val="%1"/>
      <w:lvlJc w:val="left"/>
      <w:pPr>
        <w:tabs>
          <w:tab w:val="num" w:pos="680"/>
        </w:tabs>
        <w:ind w:left="680" w:hanging="680"/>
      </w:pPr>
      <w:rPr>
        <w:rFonts w:ascii="Arial" w:hAnsi="Arial" w:hint="default"/>
        <w:b/>
        <w:i w:val="0"/>
        <w:sz w:val="20"/>
      </w:rPr>
    </w:lvl>
    <w:lvl w:ilvl="1">
      <w:start w:val="1"/>
      <w:numFmt w:val="decimal"/>
      <w:lvlText w:val="%1.%2"/>
      <w:lvlJc w:val="left"/>
      <w:pPr>
        <w:tabs>
          <w:tab w:val="num" w:pos="680"/>
        </w:tabs>
        <w:ind w:left="1474" w:hanging="794"/>
      </w:pPr>
      <w:rPr>
        <w:rFonts w:ascii="Trebuchet MS" w:hAnsi="Trebuchet MS" w:hint="default"/>
        <w:b/>
        <w:i w:val="0"/>
        <w:sz w:val="20"/>
      </w:rPr>
    </w:lvl>
    <w:lvl w:ilvl="2">
      <w:start w:val="1"/>
      <w:numFmt w:val="decimal"/>
      <w:lvlText w:val="%1.%2.%3"/>
      <w:lvlJc w:val="left"/>
      <w:pPr>
        <w:tabs>
          <w:tab w:val="num" w:pos="680"/>
        </w:tabs>
        <w:ind w:left="1928" w:hanging="454"/>
      </w:pPr>
      <w:rPr>
        <w:rFonts w:ascii="Trebuchet MS" w:hAnsi="Trebuchet MS" w:hint="default"/>
        <w:b/>
        <w:i w:val="0"/>
        <w:sz w:val="20"/>
      </w:rPr>
    </w:lvl>
    <w:lvl w:ilvl="3">
      <w:start w:val="1"/>
      <w:numFmt w:val="lowerLetter"/>
      <w:lvlText w:val="(%4)"/>
      <w:lvlJc w:val="left"/>
      <w:pPr>
        <w:tabs>
          <w:tab w:val="num" w:pos="2155"/>
        </w:tabs>
        <w:ind w:left="2155" w:firstLine="0"/>
      </w:pPr>
      <w:rPr>
        <w:rFonts w:ascii="Trebuchet MS" w:hAnsi="Trebuchet MS" w:hint="default"/>
        <w:b/>
        <w:i w:val="0"/>
        <w:color w:val="auto"/>
        <w:sz w:val="20"/>
      </w:rPr>
    </w:lvl>
    <w:lvl w:ilvl="4">
      <w:start w:val="1"/>
      <w:numFmt w:val="none"/>
      <w:lvlText w:val=""/>
      <w:lvlJc w:val="left"/>
      <w:pPr>
        <w:ind w:left="3600" w:hanging="360"/>
      </w:pPr>
      <w:rPr>
        <w:rFonts w:hint="default"/>
      </w:rPr>
    </w:lvl>
    <w:lvl w:ilvl="5">
      <w:start w:val="1"/>
      <w:numFmt w:val="none"/>
      <w:lvlText w:val=""/>
      <w:lvlJc w:val="right"/>
      <w:pPr>
        <w:ind w:left="4320" w:hanging="18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15" w15:restartNumberingAfterBreak="0">
    <w:nsid w:val="2F411BC8"/>
    <w:multiLevelType w:val="multilevel"/>
    <w:tmpl w:val="770C7D88"/>
    <w:lvl w:ilvl="0">
      <w:start w:val="1"/>
      <w:numFmt w:val="decimal"/>
      <w:pStyle w:val="CommercialScheduleTitle"/>
      <w:suff w:val="nothing"/>
      <w:lvlText w:val="Schedule %1"/>
      <w:lvlJc w:val="left"/>
      <w:pPr>
        <w:ind w:left="0" w:firstLine="0"/>
      </w:pPr>
      <w:rPr>
        <w:rFonts w:ascii="Trebuchet MS" w:hAnsi="Trebuchet MS" w:hint="default"/>
        <w:b/>
        <w:bCs w:val="0"/>
        <w:i w:val="0"/>
        <w:iCs w:val="0"/>
        <w:caps w:val="0"/>
        <w:strike w:val="0"/>
        <w:dstrike w:val="0"/>
        <w:outline w:val="0"/>
        <w:shadow w:val="0"/>
        <w:emboss w:val="0"/>
        <w:imprint w:val="0"/>
        <w:vanish w:val="0"/>
        <w:spacing w:val="0"/>
        <w:kern w:val="0"/>
        <w:position w:val="0"/>
        <w:sz w:val="22"/>
        <w:u w:val="none"/>
        <w:effect w:val="none"/>
        <w:vertAlign w:val="baseline"/>
        <w:em w:val="none"/>
      </w:rPr>
    </w:lvl>
    <w:lvl w:ilvl="1">
      <w:numFmt w:val="none"/>
      <w:pStyle w:val="ScheduleSubtitle"/>
      <w:suff w:val="nothing"/>
      <w:lvlText w:val=""/>
      <w:lvlJc w:val="left"/>
      <w:pPr>
        <w:ind w:left="0" w:firstLine="0"/>
      </w:pPr>
      <w:rPr>
        <w:rFonts w:ascii="Trebuchet MS" w:hAnsi="Trebuchet MS" w:hint="default"/>
        <w:b/>
        <w:i w:val="0"/>
        <w:sz w:val="20"/>
      </w:rPr>
    </w:lvl>
    <w:lvl w:ilvl="2">
      <w:start w:val="1"/>
      <w:numFmt w:val="decimal"/>
      <w:lvlRestart w:val="1"/>
      <w:pStyle w:val="CommercialPartTitle"/>
      <w:suff w:val="nothing"/>
      <w:lvlText w:val="Part %3"/>
      <w:lvlJc w:val="left"/>
      <w:pPr>
        <w:ind w:left="0" w:firstLine="0"/>
      </w:pPr>
      <w:rPr>
        <w:rFonts w:ascii="Trebuchet MS" w:hAnsi="Trebuchet MS" w:hint="default"/>
        <w:b/>
        <w:i w:val="0"/>
        <w:caps w:val="0"/>
        <w:smallCaps w:val="0"/>
        <w:sz w:val="22"/>
      </w:rPr>
    </w:lvl>
    <w:lvl w:ilvl="3">
      <w:start w:val="1"/>
      <w:numFmt w:val="none"/>
      <w:pStyle w:val="PartSubtitle"/>
      <w:lvlText w:val=""/>
      <w:lvlJc w:val="left"/>
      <w:pPr>
        <w:tabs>
          <w:tab w:val="num" w:pos="0"/>
        </w:tabs>
        <w:ind w:left="0" w:firstLine="0"/>
      </w:pPr>
      <w:rPr>
        <w:rFonts w:hint="default"/>
      </w:rPr>
    </w:lvl>
    <w:lvl w:ilvl="4">
      <w:start w:val="1"/>
      <w:numFmt w:val="decimal"/>
      <w:lvlText w:val="%4.%5"/>
      <w:lvlJc w:val="left"/>
      <w:pPr>
        <w:tabs>
          <w:tab w:val="num" w:pos="1570"/>
        </w:tabs>
        <w:ind w:left="720" w:firstLine="0"/>
      </w:pPr>
      <w:rPr>
        <w:rFonts w:hint="default"/>
        <w:caps w:val="0"/>
      </w:rPr>
    </w:lvl>
    <w:lvl w:ilvl="5">
      <w:start w:val="1"/>
      <w:numFmt w:val="decimal"/>
      <w:lvlText w:val="%4.%5.%6"/>
      <w:lvlJc w:val="left"/>
      <w:pPr>
        <w:tabs>
          <w:tab w:val="num" w:pos="2421"/>
        </w:tabs>
        <w:ind w:left="720" w:firstLine="0"/>
      </w:pPr>
      <w:rPr>
        <w:rFonts w:hint="default"/>
        <w:caps w:val="0"/>
      </w:rPr>
    </w:lvl>
    <w:lvl w:ilvl="6">
      <w:start w:val="1"/>
      <w:numFmt w:val="lowerLetter"/>
      <w:lvlText w:val="(%7)"/>
      <w:lvlJc w:val="left"/>
      <w:pPr>
        <w:tabs>
          <w:tab w:val="num" w:pos="2988"/>
        </w:tabs>
        <w:ind w:left="720" w:firstLine="0"/>
      </w:pPr>
      <w:rPr>
        <w:rFonts w:hint="default"/>
        <w:caps w:val="0"/>
      </w:rPr>
    </w:lvl>
    <w:lvl w:ilvl="7">
      <w:start w:val="1"/>
      <w:numFmt w:val="lowerRoman"/>
      <w:lvlText w:val="(%8)"/>
      <w:lvlJc w:val="left"/>
      <w:pPr>
        <w:tabs>
          <w:tab w:val="num" w:pos="3555"/>
        </w:tabs>
        <w:ind w:left="720" w:firstLine="0"/>
      </w:pPr>
      <w:rPr>
        <w:rFonts w:hint="default"/>
      </w:rPr>
    </w:lvl>
    <w:lvl w:ilvl="8">
      <w:start w:val="1"/>
      <w:numFmt w:val="upperLetter"/>
      <w:lvlText w:val="(%9)"/>
      <w:lvlJc w:val="left"/>
      <w:pPr>
        <w:tabs>
          <w:tab w:val="num" w:pos="4122"/>
        </w:tabs>
        <w:ind w:left="720" w:firstLine="0"/>
      </w:pPr>
      <w:rPr>
        <w:rFonts w:hint="default"/>
      </w:rPr>
    </w:lvl>
  </w:abstractNum>
  <w:abstractNum w:abstractNumId="16" w15:restartNumberingAfterBreak="0">
    <w:nsid w:val="32C9767F"/>
    <w:multiLevelType w:val="multilevel"/>
    <w:tmpl w:val="87820FB4"/>
    <w:lvl w:ilvl="0">
      <w:start w:val="1"/>
      <w:numFmt w:val="decimal"/>
      <w:pStyle w:val="1Parties"/>
      <w:lvlText w:val="(%1)"/>
      <w:lvlJc w:val="left"/>
      <w:pPr>
        <w:ind w:left="680" w:hanging="680"/>
      </w:pPr>
      <w:rPr>
        <w:rFonts w:ascii="Arial" w:hAnsi="Arial" w:hint="default"/>
        <w:b w:val="0"/>
        <w:bCs/>
        <w:i w:val="0"/>
        <w:sz w:val="20"/>
      </w:rPr>
    </w:lvl>
    <w:lvl w:ilvl="1">
      <w:start w:val="1"/>
      <w:numFmt w:val="lowerRoman"/>
      <w:lvlText w:val="(%2)"/>
      <w:lvlJc w:val="left"/>
      <w:pPr>
        <w:tabs>
          <w:tab w:val="num" w:pos="1361"/>
        </w:tabs>
        <w:ind w:left="1361" w:hanging="681"/>
      </w:pPr>
      <w:rPr>
        <w:rFonts w:ascii="Trebuchet MS" w:hAnsi="Trebuchet MS" w:hint="default"/>
        <w:b/>
        <w:i w:val="0"/>
        <w:sz w:val="20"/>
      </w:rPr>
    </w:lvl>
    <w:lvl w:ilvl="2">
      <w:start w:val="1"/>
      <w:numFmt w:val="none"/>
      <w:lvlText w:val=""/>
      <w:lvlJc w:val="right"/>
      <w:pPr>
        <w:ind w:left="2040" w:hanging="680"/>
      </w:pPr>
      <w:rPr>
        <w:rFonts w:hint="default"/>
      </w:rPr>
    </w:lvl>
    <w:lvl w:ilvl="3">
      <w:start w:val="1"/>
      <w:numFmt w:val="none"/>
      <w:lvlText w:val=""/>
      <w:lvlJc w:val="left"/>
      <w:pPr>
        <w:ind w:left="2720" w:hanging="680"/>
      </w:pPr>
      <w:rPr>
        <w:rFonts w:hint="default"/>
      </w:rPr>
    </w:lvl>
    <w:lvl w:ilvl="4">
      <w:start w:val="1"/>
      <w:numFmt w:val="none"/>
      <w:lvlText w:val=""/>
      <w:lvlJc w:val="left"/>
      <w:pPr>
        <w:ind w:left="3400" w:hanging="680"/>
      </w:pPr>
      <w:rPr>
        <w:rFonts w:hint="default"/>
      </w:rPr>
    </w:lvl>
    <w:lvl w:ilvl="5">
      <w:start w:val="1"/>
      <w:numFmt w:val="none"/>
      <w:lvlText w:val=""/>
      <w:lvlJc w:val="right"/>
      <w:pPr>
        <w:ind w:left="4080" w:hanging="680"/>
      </w:pPr>
      <w:rPr>
        <w:rFonts w:hint="default"/>
      </w:rPr>
    </w:lvl>
    <w:lvl w:ilvl="6">
      <w:start w:val="1"/>
      <w:numFmt w:val="none"/>
      <w:lvlText w:val=""/>
      <w:lvlJc w:val="left"/>
      <w:pPr>
        <w:ind w:left="4760" w:hanging="680"/>
      </w:pPr>
      <w:rPr>
        <w:rFonts w:hint="default"/>
      </w:rPr>
    </w:lvl>
    <w:lvl w:ilvl="7">
      <w:start w:val="1"/>
      <w:numFmt w:val="none"/>
      <w:lvlText w:val=""/>
      <w:lvlJc w:val="left"/>
      <w:pPr>
        <w:ind w:left="5440" w:hanging="680"/>
      </w:pPr>
      <w:rPr>
        <w:rFonts w:hint="default"/>
      </w:rPr>
    </w:lvl>
    <w:lvl w:ilvl="8">
      <w:start w:val="1"/>
      <w:numFmt w:val="none"/>
      <w:lvlText w:val=""/>
      <w:lvlJc w:val="right"/>
      <w:pPr>
        <w:ind w:left="6120" w:hanging="680"/>
      </w:pPr>
      <w:rPr>
        <w:rFonts w:hint="default"/>
      </w:rPr>
    </w:lvl>
  </w:abstractNum>
  <w:abstractNum w:abstractNumId="17" w15:restartNumberingAfterBreak="0">
    <w:nsid w:val="364A620E"/>
    <w:multiLevelType w:val="multilevel"/>
    <w:tmpl w:val="6FBA8AE4"/>
    <w:lvl w:ilvl="0">
      <w:start w:val="1"/>
      <w:numFmt w:val="decimal"/>
      <w:pStyle w:val="1BracketedNumber"/>
      <w:lvlText w:val="(%1)"/>
      <w:lvlJc w:val="left"/>
      <w:pPr>
        <w:ind w:left="680" w:hanging="680"/>
      </w:pPr>
      <w:rPr>
        <w:rFonts w:ascii="Arial" w:hAnsi="Arial" w:hint="default"/>
        <w:b/>
        <w:i w:val="0"/>
        <w:sz w:val="20"/>
      </w:rPr>
    </w:lvl>
    <w:lvl w:ilvl="1">
      <w:start w:val="1"/>
      <w:numFmt w:val="lowerRoman"/>
      <w:lvlText w:val="(%2)"/>
      <w:lvlJc w:val="left"/>
      <w:pPr>
        <w:tabs>
          <w:tab w:val="num" w:pos="1418"/>
        </w:tabs>
        <w:ind w:left="1418" w:hanging="738"/>
      </w:pPr>
      <w:rPr>
        <w:rFonts w:ascii="Trebuchet MS" w:hAnsi="Trebuchet MS" w:hint="default"/>
        <w:b/>
        <w:i w:val="0"/>
        <w:sz w:val="20"/>
      </w:rPr>
    </w:lvl>
    <w:lvl w:ilvl="2">
      <w:start w:val="1"/>
      <w:numFmt w:val="bullet"/>
      <w:lvlText w:val=""/>
      <w:lvlJc w:val="left"/>
      <w:pPr>
        <w:tabs>
          <w:tab w:val="num" w:pos="1928"/>
        </w:tabs>
        <w:ind w:left="1928" w:hanging="454"/>
      </w:pPr>
      <w:rPr>
        <w:rFonts w:ascii="Symbol" w:hAnsi="Symbol" w:hint="default"/>
        <w:sz w:val="20"/>
      </w:rPr>
    </w:lvl>
    <w:lvl w:ilvl="3">
      <w:start w:val="1"/>
      <w:numFmt w:val="none"/>
      <w:lvlText w:val=""/>
      <w:lvlJc w:val="left"/>
      <w:pPr>
        <w:tabs>
          <w:tab w:val="num" w:pos="2041"/>
        </w:tabs>
        <w:ind w:left="2041" w:hanging="623"/>
      </w:pPr>
      <w:rPr>
        <w:rFonts w:hint="default"/>
      </w:rPr>
    </w:lvl>
    <w:lvl w:ilvl="4">
      <w:start w:val="1"/>
      <w:numFmt w:val="none"/>
      <w:lvlText w:val=""/>
      <w:lvlJc w:val="left"/>
      <w:pPr>
        <w:ind w:left="3600" w:hanging="360"/>
      </w:pPr>
      <w:rPr>
        <w:rFonts w:hint="default"/>
      </w:rPr>
    </w:lvl>
    <w:lvl w:ilvl="5">
      <w:start w:val="1"/>
      <w:numFmt w:val="none"/>
      <w:lvlText w:val=""/>
      <w:lvlJc w:val="right"/>
      <w:pPr>
        <w:ind w:left="4320" w:hanging="18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18"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9" w15:restartNumberingAfterBreak="0">
    <w:nsid w:val="5B27344E"/>
    <w:multiLevelType w:val="multilevel"/>
    <w:tmpl w:val="631469CA"/>
    <w:lvl w:ilvl="0">
      <w:start w:val="1"/>
      <w:numFmt w:val="decimal"/>
      <w:pStyle w:val="LetterNumbering"/>
      <w:lvlText w:val="%1"/>
      <w:lvlJc w:val="left"/>
      <w:pPr>
        <w:tabs>
          <w:tab w:val="num" w:pos="680"/>
        </w:tabs>
        <w:ind w:left="680" w:hanging="680"/>
      </w:pPr>
      <w:rPr>
        <w:rFonts w:ascii="Arial" w:hAnsi="Arial" w:hint="default"/>
        <w:b/>
        <w:i w:val="0"/>
        <w:sz w:val="20"/>
      </w:rPr>
    </w:lvl>
    <w:lvl w:ilvl="1">
      <w:start w:val="1"/>
      <w:numFmt w:val="decimal"/>
      <w:lvlText w:val="%1.%2"/>
      <w:lvlJc w:val="left"/>
      <w:pPr>
        <w:tabs>
          <w:tab w:val="num" w:pos="680"/>
        </w:tabs>
        <w:ind w:left="680" w:hanging="680"/>
      </w:pPr>
      <w:rPr>
        <w:rFonts w:ascii="Trebuchet MS" w:hAnsi="Trebuchet MS" w:hint="default"/>
        <w:b/>
        <w:i w:val="0"/>
        <w:sz w:val="20"/>
      </w:rPr>
    </w:lvl>
    <w:lvl w:ilvl="2">
      <w:start w:val="1"/>
      <w:numFmt w:val="decimal"/>
      <w:lvlText w:val="%1.%2.%3"/>
      <w:lvlJc w:val="left"/>
      <w:pPr>
        <w:tabs>
          <w:tab w:val="num" w:pos="1474"/>
        </w:tabs>
        <w:ind w:left="1474" w:hanging="794"/>
      </w:pPr>
      <w:rPr>
        <w:rFonts w:ascii="Trebuchet MS" w:hAnsi="Trebuchet MS" w:hint="default"/>
        <w:b/>
        <w:bCs w:val="0"/>
        <w:i w:val="0"/>
        <w:iCs w:val="0"/>
        <w:caps w:val="0"/>
        <w:strike w:val="0"/>
        <w:dstrike w:val="0"/>
        <w:outline w:val="0"/>
        <w:shadow w:val="0"/>
        <w:emboss w:val="0"/>
        <w:imprint w:val="0"/>
        <w:vanish w:val="0"/>
        <w:spacing w:val="0"/>
        <w:kern w:val="0"/>
        <w:position w:val="0"/>
        <w:sz w:val="20"/>
        <w:szCs w:val="18"/>
        <w:u w:val="none"/>
        <w:effect w:val="none"/>
        <w:vertAlign w:val="baseline"/>
        <w:em w:val="none"/>
      </w:rPr>
    </w:lvl>
    <w:lvl w:ilvl="3">
      <w:start w:val="1"/>
      <w:numFmt w:val="lowerLetter"/>
      <w:lvlText w:val="(%4)"/>
      <w:lvlJc w:val="left"/>
      <w:pPr>
        <w:tabs>
          <w:tab w:val="num" w:pos="1928"/>
        </w:tabs>
        <w:ind w:left="1928" w:hanging="454"/>
      </w:pPr>
      <w:rPr>
        <w:rFonts w:ascii="Trebuchet MS" w:hAnsi="Trebuchet MS" w:hint="default"/>
        <w:b/>
        <w:i w:val="0"/>
        <w:sz w:val="20"/>
        <w:szCs w:val="18"/>
      </w:rPr>
    </w:lvl>
    <w:lvl w:ilvl="4">
      <w:start w:val="1"/>
      <w:numFmt w:val="lowerRoman"/>
      <w:lvlText w:val="(%5)"/>
      <w:lvlJc w:val="left"/>
      <w:pPr>
        <w:tabs>
          <w:tab w:val="num" w:pos="2381"/>
        </w:tabs>
        <w:ind w:left="2381" w:hanging="453"/>
      </w:pPr>
      <w:rPr>
        <w:rFonts w:ascii="Trebuchet MS" w:hAnsi="Trebuchet MS" w:hint="default"/>
        <w:b/>
        <w:i w:val="0"/>
        <w:sz w:val="20"/>
      </w:rPr>
    </w:lvl>
    <w:lvl w:ilvl="5">
      <w:start w:val="1"/>
      <w:numFmt w:val="none"/>
      <w:lvlText w:val=""/>
      <w:lvlJc w:val="left"/>
      <w:pPr>
        <w:tabs>
          <w:tab w:val="num" w:pos="3288"/>
        </w:tabs>
        <w:ind w:left="3288" w:hanging="680"/>
      </w:pPr>
      <w:rPr>
        <w:rFonts w:hint="default"/>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20" w15:restartNumberingAfterBreak="0">
    <w:nsid w:val="5C487ACC"/>
    <w:multiLevelType w:val="multilevel"/>
    <w:tmpl w:val="C78A75DE"/>
    <w:lvl w:ilvl="0">
      <w:start w:val="1"/>
      <w:numFmt w:val="lowerRoman"/>
      <w:pStyle w:val="CourtDocDraftingNotes"/>
      <w:lvlText w:val="(%1)"/>
      <w:lvlJc w:val="left"/>
      <w:pPr>
        <w:ind w:left="680" w:hanging="680"/>
      </w:pPr>
      <w:rPr>
        <w:rFonts w:ascii="Arial" w:hAnsi="Arial" w:hint="default"/>
        <w:b/>
        <w:i w:val="0"/>
        <w:sz w:val="20"/>
      </w:rPr>
    </w:lvl>
    <w:lvl w:ilvl="1">
      <w:start w:val="1"/>
      <w:numFmt w:val="lowerLetter"/>
      <w:lvlText w:val="(%2)"/>
      <w:lvlJc w:val="left"/>
      <w:pPr>
        <w:tabs>
          <w:tab w:val="num" w:pos="1361"/>
        </w:tabs>
        <w:ind w:left="1361" w:hanging="681"/>
      </w:pPr>
      <w:rPr>
        <w:rFonts w:ascii="Trebuchet MS" w:hAnsi="Trebuchet MS" w:hint="default"/>
        <w:b/>
        <w:i w:val="0"/>
        <w:sz w:val="20"/>
      </w:rPr>
    </w:lvl>
    <w:lvl w:ilvl="2">
      <w:start w:val="1"/>
      <w:numFmt w:val="decimal"/>
      <w:lvlText w:val="(%3)"/>
      <w:lvlJc w:val="left"/>
      <w:pPr>
        <w:tabs>
          <w:tab w:val="num" w:pos="680"/>
        </w:tabs>
        <w:ind w:left="680" w:hanging="680"/>
      </w:pPr>
      <w:rPr>
        <w:rFonts w:ascii="Trebuchet MS" w:hAnsi="Trebuchet MS" w:hint="default"/>
        <w:b/>
        <w:i w:val="0"/>
        <w:sz w:val="20"/>
      </w:rPr>
    </w:lvl>
    <w:lvl w:ilvl="3">
      <w:start w:val="1"/>
      <w:numFmt w:val="upperLetter"/>
      <w:lvlText w:val="(%4)"/>
      <w:lvlJc w:val="left"/>
      <w:pPr>
        <w:tabs>
          <w:tab w:val="num" w:pos="680"/>
        </w:tabs>
        <w:ind w:left="680" w:hanging="680"/>
      </w:pPr>
      <w:rPr>
        <w:rFonts w:ascii="Trebuchet MS" w:hAnsi="Trebuchet MS" w:hint="default"/>
        <w:b/>
        <w:i w:val="0"/>
        <w:sz w:val="20"/>
      </w:rPr>
    </w:lvl>
    <w:lvl w:ilvl="4">
      <w:start w:val="1"/>
      <w:numFmt w:val="lowerLetter"/>
      <w:lvlText w:val="(%5)"/>
      <w:lvlJc w:val="left"/>
      <w:pPr>
        <w:tabs>
          <w:tab w:val="num" w:pos="1361"/>
        </w:tabs>
        <w:ind w:left="1361" w:hanging="681"/>
      </w:pPr>
      <w:rPr>
        <w:rFonts w:ascii="Trebuchet MS" w:hAnsi="Trebuchet MS" w:hint="default"/>
        <w:b/>
        <w:i w:val="0"/>
        <w:sz w:val="20"/>
      </w:rPr>
    </w:lvl>
    <w:lvl w:ilvl="5">
      <w:start w:val="1"/>
      <w:numFmt w:val="none"/>
      <w:lvlText w:val=""/>
      <w:lvlJc w:val="right"/>
      <w:pPr>
        <w:ind w:left="4320" w:hanging="18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21" w15:restartNumberingAfterBreak="0">
    <w:nsid w:val="5EF476AD"/>
    <w:multiLevelType w:val="multilevel"/>
    <w:tmpl w:val="CC3CA338"/>
    <w:lvl w:ilvl="0">
      <w:start w:val="1"/>
      <w:numFmt w:val="decimal"/>
      <w:pStyle w:val="Level1"/>
      <w:lvlText w:val="%1"/>
      <w:lvlJc w:val="left"/>
      <w:pPr>
        <w:tabs>
          <w:tab w:val="num" w:pos="680"/>
        </w:tabs>
        <w:ind w:left="680" w:hanging="680"/>
      </w:pPr>
      <w:rPr>
        <w:rFonts w:ascii="Arial" w:hAnsi="Arial" w:hint="default"/>
        <w:b/>
        <w:i w:val="0"/>
        <w:sz w:val="22"/>
      </w:rPr>
    </w:lvl>
    <w:lvl w:ilvl="1">
      <w:start w:val="1"/>
      <w:numFmt w:val="decimal"/>
      <w:pStyle w:val="Level2"/>
      <w:lvlText w:val="%1.%2"/>
      <w:lvlJc w:val="left"/>
      <w:pPr>
        <w:tabs>
          <w:tab w:val="num" w:pos="680"/>
        </w:tabs>
        <w:ind w:left="680" w:hanging="680"/>
      </w:pPr>
      <w:rPr>
        <w:rFonts w:ascii="Arial" w:hAnsi="Arial" w:hint="default"/>
        <w:b w:val="0"/>
        <w:bCs/>
        <w:i w:val="0"/>
        <w:color w:val="auto"/>
        <w:sz w:val="20"/>
      </w:rPr>
    </w:lvl>
    <w:lvl w:ilvl="2">
      <w:start w:val="1"/>
      <w:numFmt w:val="decimal"/>
      <w:pStyle w:val="Level3"/>
      <w:lvlText w:val="%1.%2.%3"/>
      <w:lvlJc w:val="left"/>
      <w:pPr>
        <w:tabs>
          <w:tab w:val="num" w:pos="1474"/>
        </w:tabs>
        <w:ind w:left="1474" w:hanging="794"/>
      </w:pPr>
      <w:rPr>
        <w:rFonts w:ascii="Arial" w:hAnsi="Arial" w:hint="default"/>
        <w:b w:val="0"/>
        <w:bCs/>
        <w:i w:val="0"/>
        <w:sz w:val="20"/>
        <w:szCs w:val="20"/>
      </w:rPr>
    </w:lvl>
    <w:lvl w:ilvl="3">
      <w:start w:val="1"/>
      <w:numFmt w:val="lowerLetter"/>
      <w:pStyle w:val="Level4"/>
      <w:lvlText w:val="(%4)"/>
      <w:lvlJc w:val="left"/>
      <w:pPr>
        <w:tabs>
          <w:tab w:val="num" w:pos="1928"/>
        </w:tabs>
        <w:ind w:left="1928" w:hanging="454"/>
      </w:pPr>
      <w:rPr>
        <w:rFonts w:ascii="Arial" w:hAnsi="Arial" w:hint="default"/>
        <w:b w:val="0"/>
        <w:bCs/>
        <w:sz w:val="20"/>
        <w:szCs w:val="20"/>
      </w:rPr>
    </w:lvl>
    <w:lvl w:ilvl="4">
      <w:start w:val="1"/>
      <w:numFmt w:val="lowerRoman"/>
      <w:pStyle w:val="Level5"/>
      <w:lvlText w:val="(%5)"/>
      <w:lvlJc w:val="left"/>
      <w:pPr>
        <w:tabs>
          <w:tab w:val="num" w:pos="2381"/>
        </w:tabs>
        <w:ind w:left="2381" w:hanging="453"/>
      </w:pPr>
      <w:rPr>
        <w:rFonts w:ascii="Arial" w:hAnsi="Arial" w:hint="default"/>
        <w:b/>
        <w:i w:val="0"/>
        <w:sz w:val="20"/>
        <w:szCs w:val="20"/>
      </w:rPr>
    </w:lvl>
    <w:lvl w:ilvl="5">
      <w:start w:val="1"/>
      <w:numFmt w:val="bullet"/>
      <w:lvlText w:val=""/>
      <w:lvlJc w:val="left"/>
      <w:pPr>
        <w:tabs>
          <w:tab w:val="num" w:pos="3288"/>
        </w:tabs>
        <w:ind w:left="3288" w:hanging="680"/>
      </w:pPr>
      <w:rPr>
        <w:rFonts w:ascii="Symbol" w:hAnsi="Symbol" w:hint="default"/>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22" w15:restartNumberingAfterBreak="0">
    <w:nsid w:val="782B6933"/>
    <w:multiLevelType w:val="multilevel"/>
    <w:tmpl w:val="5E068C94"/>
    <w:lvl w:ilvl="0">
      <w:start w:val="1"/>
      <w:numFmt w:val="none"/>
      <w:pStyle w:val="ScheduleTitle"/>
      <w:suff w:val="nothing"/>
      <w:lvlText w:val=""/>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numFmt w:val="none"/>
      <w:suff w:val="nothing"/>
      <w:lvlText w:val=""/>
      <w:lvlJc w:val="left"/>
      <w:pPr>
        <w:ind w:left="0" w:firstLine="0"/>
      </w:pPr>
      <w:rPr>
        <w:rFonts w:ascii="Trebuchet MS" w:hAnsi="Trebuchet MS" w:hint="default"/>
        <w:b/>
        <w:i w:val="0"/>
        <w:sz w:val="20"/>
      </w:rPr>
    </w:lvl>
    <w:lvl w:ilvl="2">
      <w:start w:val="1"/>
      <w:numFmt w:val="decimal"/>
      <w:lvlRestart w:val="1"/>
      <w:suff w:val="nothing"/>
      <w:lvlText w:val="Part %3"/>
      <w:lvlJc w:val="left"/>
      <w:pPr>
        <w:ind w:left="0" w:firstLine="0"/>
      </w:pPr>
      <w:rPr>
        <w:rFonts w:ascii="Trebuchet MS" w:hAnsi="Trebuchet MS" w:hint="default"/>
        <w:b/>
        <w:i w:val="0"/>
        <w:caps w:val="0"/>
        <w:smallCaps w:val="0"/>
        <w:sz w:val="22"/>
      </w:rPr>
    </w:lvl>
    <w:lvl w:ilvl="3">
      <w:start w:val="1"/>
      <w:numFmt w:val="none"/>
      <w:lvlText w:val=""/>
      <w:lvlJc w:val="left"/>
      <w:pPr>
        <w:tabs>
          <w:tab w:val="num" w:pos="0"/>
        </w:tabs>
        <w:ind w:left="0" w:firstLine="0"/>
      </w:pPr>
      <w:rPr>
        <w:rFonts w:hint="default"/>
      </w:rPr>
    </w:lvl>
    <w:lvl w:ilvl="4">
      <w:start w:val="1"/>
      <w:numFmt w:val="decimal"/>
      <w:lvlText w:val="%4.%5"/>
      <w:lvlJc w:val="left"/>
      <w:pPr>
        <w:tabs>
          <w:tab w:val="num" w:pos="850"/>
        </w:tabs>
        <w:ind w:left="0" w:firstLine="0"/>
      </w:pPr>
      <w:rPr>
        <w:rFonts w:hint="default"/>
        <w:caps w:val="0"/>
      </w:rPr>
    </w:lvl>
    <w:lvl w:ilvl="5">
      <w:start w:val="1"/>
      <w:numFmt w:val="decimal"/>
      <w:lvlText w:val="%4.%5.%6"/>
      <w:lvlJc w:val="left"/>
      <w:pPr>
        <w:tabs>
          <w:tab w:val="num" w:pos="1701"/>
        </w:tabs>
        <w:ind w:left="0" w:firstLine="0"/>
      </w:pPr>
      <w:rPr>
        <w:rFonts w:hint="default"/>
        <w:caps w:val="0"/>
      </w:rPr>
    </w:lvl>
    <w:lvl w:ilvl="6">
      <w:start w:val="1"/>
      <w:numFmt w:val="lowerLetter"/>
      <w:lvlText w:val="(%7)"/>
      <w:lvlJc w:val="left"/>
      <w:pPr>
        <w:tabs>
          <w:tab w:val="num" w:pos="2268"/>
        </w:tabs>
        <w:ind w:left="0" w:firstLine="0"/>
      </w:pPr>
      <w:rPr>
        <w:rFonts w:hint="default"/>
        <w:caps w:val="0"/>
      </w:rPr>
    </w:lvl>
    <w:lvl w:ilvl="7">
      <w:start w:val="1"/>
      <w:numFmt w:val="lowerRoman"/>
      <w:lvlText w:val="(%8)"/>
      <w:lvlJc w:val="left"/>
      <w:pPr>
        <w:tabs>
          <w:tab w:val="num" w:pos="2835"/>
        </w:tabs>
        <w:ind w:left="0" w:firstLine="0"/>
      </w:pPr>
      <w:rPr>
        <w:rFonts w:hint="default"/>
      </w:rPr>
    </w:lvl>
    <w:lvl w:ilvl="8">
      <w:start w:val="1"/>
      <w:numFmt w:val="upperLetter"/>
      <w:lvlText w:val="(%9)"/>
      <w:lvlJc w:val="left"/>
      <w:pPr>
        <w:tabs>
          <w:tab w:val="num" w:pos="3402"/>
        </w:tabs>
        <w:ind w:left="0" w:firstLine="0"/>
      </w:pPr>
      <w:rPr>
        <w:rFonts w:hint="default"/>
      </w:rPr>
    </w:lvl>
  </w:abstractNum>
  <w:num w:numId="1" w16cid:durableId="1587767406">
    <w:abstractNumId w:val="18"/>
  </w:num>
  <w:num w:numId="2" w16cid:durableId="1849783209">
    <w:abstractNumId w:val="21"/>
  </w:num>
  <w:num w:numId="3" w16cid:durableId="1986158318">
    <w:abstractNumId w:val="16"/>
  </w:num>
  <w:num w:numId="4" w16cid:durableId="766313632">
    <w:abstractNumId w:val="12"/>
  </w:num>
  <w:num w:numId="5" w16cid:durableId="538010669">
    <w:abstractNumId w:val="20"/>
  </w:num>
  <w:num w:numId="6" w16cid:durableId="1551765469">
    <w:abstractNumId w:val="14"/>
  </w:num>
  <w:num w:numId="7" w16cid:durableId="909121643">
    <w:abstractNumId w:val="19"/>
  </w:num>
  <w:num w:numId="8" w16cid:durableId="1758552388">
    <w:abstractNumId w:val="22"/>
  </w:num>
  <w:num w:numId="9" w16cid:durableId="1182738730">
    <w:abstractNumId w:val="15"/>
  </w:num>
  <w:num w:numId="10" w16cid:durableId="1715304461">
    <w:abstractNumId w:val="10"/>
  </w:num>
  <w:num w:numId="11" w16cid:durableId="1710762565">
    <w:abstractNumId w:val="17"/>
  </w:num>
  <w:num w:numId="12" w16cid:durableId="1524903678">
    <w:abstractNumId w:val="13"/>
  </w:num>
  <w:num w:numId="13" w16cid:durableId="2133935084">
    <w:abstractNumId w:val="11"/>
  </w:num>
  <w:num w:numId="14" w16cid:durableId="13653649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872369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498392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504109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94189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97897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27007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1042347">
    <w:abstractNumId w:val="21"/>
  </w:num>
  <w:num w:numId="22" w16cid:durableId="224994558">
    <w:abstractNumId w:val="21"/>
  </w:num>
  <w:num w:numId="23" w16cid:durableId="1763062302">
    <w:abstractNumId w:val="9"/>
  </w:num>
  <w:num w:numId="24" w16cid:durableId="607664225">
    <w:abstractNumId w:val="7"/>
  </w:num>
  <w:num w:numId="25" w16cid:durableId="1627467012">
    <w:abstractNumId w:val="6"/>
  </w:num>
  <w:num w:numId="26" w16cid:durableId="1608852481">
    <w:abstractNumId w:val="5"/>
  </w:num>
  <w:num w:numId="27" w16cid:durableId="1030257261">
    <w:abstractNumId w:val="4"/>
  </w:num>
  <w:num w:numId="28" w16cid:durableId="562563109">
    <w:abstractNumId w:val="8"/>
  </w:num>
  <w:num w:numId="29" w16cid:durableId="1907259816">
    <w:abstractNumId w:val="3"/>
  </w:num>
  <w:num w:numId="30" w16cid:durableId="595481538">
    <w:abstractNumId w:val="2"/>
  </w:num>
  <w:num w:numId="31" w16cid:durableId="1521970852">
    <w:abstractNumId w:val="1"/>
  </w:num>
  <w:num w:numId="32" w16cid:durableId="58404051">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hideSpellingErrors/>
  <w:hideGrammaticalErrors/>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article&lt;/Operative&gt;_x000d__x000a_  &lt;TemplateType&gt;null&lt;/TemplateType&gt;_x000d__x000a_  &lt;SignaturePageBreakType&gt;Yes without message&lt;/SignaturePageBreakType&gt;_x000d__x000a_&lt;/docParts&gt;"/>
    <w:docVar w:name="gentXMLPartID" w:val="{BE086BDB-E3E9-4C9E-8CC2-E67CE32C3AEF}"/>
  </w:docVars>
  <w:rsids>
    <w:rsidRoot w:val="00780D49"/>
    <w:rsid w:val="000077D6"/>
    <w:rsid w:val="00014374"/>
    <w:rsid w:val="0005087E"/>
    <w:rsid w:val="00092D22"/>
    <w:rsid w:val="000B7E98"/>
    <w:rsid w:val="001070AA"/>
    <w:rsid w:val="00134908"/>
    <w:rsid w:val="0017407B"/>
    <w:rsid w:val="001B3971"/>
    <w:rsid w:val="001E2D38"/>
    <w:rsid w:val="001E3EBA"/>
    <w:rsid w:val="00235186"/>
    <w:rsid w:val="002976F2"/>
    <w:rsid w:val="002A0B5E"/>
    <w:rsid w:val="002C2039"/>
    <w:rsid w:val="002C7A67"/>
    <w:rsid w:val="003032D3"/>
    <w:rsid w:val="003D1ED0"/>
    <w:rsid w:val="004554DB"/>
    <w:rsid w:val="004D2180"/>
    <w:rsid w:val="004D3D19"/>
    <w:rsid w:val="004D4F1A"/>
    <w:rsid w:val="0051452B"/>
    <w:rsid w:val="00533822"/>
    <w:rsid w:val="006661A3"/>
    <w:rsid w:val="00691A23"/>
    <w:rsid w:val="00715DBA"/>
    <w:rsid w:val="00721828"/>
    <w:rsid w:val="00727A48"/>
    <w:rsid w:val="00780D49"/>
    <w:rsid w:val="007C0587"/>
    <w:rsid w:val="007F2EF3"/>
    <w:rsid w:val="008042C0"/>
    <w:rsid w:val="00826A32"/>
    <w:rsid w:val="008579EC"/>
    <w:rsid w:val="00882D2C"/>
    <w:rsid w:val="008A3D38"/>
    <w:rsid w:val="008E1CEF"/>
    <w:rsid w:val="00911869"/>
    <w:rsid w:val="00912FC9"/>
    <w:rsid w:val="00924108"/>
    <w:rsid w:val="00945022"/>
    <w:rsid w:val="009543AD"/>
    <w:rsid w:val="009B0CD8"/>
    <w:rsid w:val="009B5143"/>
    <w:rsid w:val="00A023F2"/>
    <w:rsid w:val="00A211F7"/>
    <w:rsid w:val="00A35855"/>
    <w:rsid w:val="00A35BEC"/>
    <w:rsid w:val="00A670C5"/>
    <w:rsid w:val="00AE03DD"/>
    <w:rsid w:val="00B272BF"/>
    <w:rsid w:val="00B4246C"/>
    <w:rsid w:val="00B84826"/>
    <w:rsid w:val="00B911C6"/>
    <w:rsid w:val="00BD1617"/>
    <w:rsid w:val="00C0566D"/>
    <w:rsid w:val="00C515EE"/>
    <w:rsid w:val="00C64328"/>
    <w:rsid w:val="00C67B01"/>
    <w:rsid w:val="00C7122C"/>
    <w:rsid w:val="00C841F4"/>
    <w:rsid w:val="00CA3C7F"/>
    <w:rsid w:val="00CA4B1C"/>
    <w:rsid w:val="00D54FE8"/>
    <w:rsid w:val="00D74A87"/>
    <w:rsid w:val="00D90415"/>
    <w:rsid w:val="00DC75D2"/>
    <w:rsid w:val="00DE5C22"/>
    <w:rsid w:val="00DF0B5F"/>
    <w:rsid w:val="00E12420"/>
    <w:rsid w:val="00E24DAB"/>
    <w:rsid w:val="00E74B2E"/>
    <w:rsid w:val="00E85B1C"/>
    <w:rsid w:val="00E86519"/>
    <w:rsid w:val="00E94771"/>
    <w:rsid w:val="00EA27A3"/>
    <w:rsid w:val="00EC1FB9"/>
    <w:rsid w:val="00EF29B2"/>
    <w:rsid w:val="00F16C2C"/>
    <w:rsid w:val="00F52371"/>
    <w:rsid w:val="00F65676"/>
    <w:rsid w:val="00F66DC3"/>
    <w:rsid w:val="00FE04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FA48F"/>
  <w15:docId w15:val="{D9314936-7CC8-441B-A6EA-AFD24A1D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14374"/>
    <w:pPr>
      <w:spacing w:after="0" w:line="240" w:lineRule="auto"/>
    </w:pPr>
    <w:rPr>
      <w:rFonts w:eastAsiaTheme="minorHAnsi"/>
      <w:kern w:val="2"/>
      <w:sz w:val="24"/>
      <w:szCs w:val="24"/>
      <w:lang w:eastAsia="en-US"/>
      <w14:ligatures w14:val="standardContextual"/>
    </w:rPr>
  </w:style>
  <w:style w:type="paragraph" w:styleId="Heading1">
    <w:name w:val="heading 1"/>
    <w:basedOn w:val="Normal"/>
    <w:next w:val="Normal"/>
    <w:link w:val="Heading1Char"/>
    <w:uiPriority w:val="9"/>
    <w:qFormat/>
    <w:rsid w:val="00645531"/>
    <w:pPr>
      <w:keepNext/>
      <w:keepLines/>
      <w:numPr>
        <w:numId w:val="1"/>
      </w:numPr>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645531"/>
    <w:pPr>
      <w:keepNext/>
      <w:keepLines/>
      <w:numPr>
        <w:ilvl w:val="1"/>
        <w:numId w:val="1"/>
      </w:numPr>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645531"/>
    <w:pPr>
      <w:keepNext/>
      <w:keepLines/>
      <w:numPr>
        <w:ilvl w:val="2"/>
        <w:numId w:val="1"/>
      </w:numPr>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645531"/>
    <w:pPr>
      <w:keepNext/>
      <w:keepLines/>
      <w:numPr>
        <w:ilvl w:val="3"/>
        <w:numId w:val="1"/>
      </w:numPr>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645531"/>
    <w:pPr>
      <w:keepNext/>
      <w:keepLines/>
      <w:numPr>
        <w:ilvl w:val="4"/>
        <w:numId w:val="1"/>
      </w:numPr>
      <w:spacing w:before="2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645531"/>
    <w:pPr>
      <w:keepNext/>
      <w:keepLines/>
      <w:numPr>
        <w:ilvl w:val="5"/>
        <w:numId w:val="1"/>
      </w:numPr>
      <w:spacing w:before="2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645531"/>
    <w:pPr>
      <w:keepNext/>
      <w:keepLines/>
      <w:numPr>
        <w:ilvl w:val="6"/>
        <w:numId w:val="1"/>
      </w:numPr>
      <w:spacing w:before="2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645531"/>
    <w:pPr>
      <w:keepNext/>
      <w:keepLines/>
      <w:numPr>
        <w:ilvl w:val="7"/>
        <w:numId w:val="1"/>
      </w:numPr>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645531"/>
    <w:pPr>
      <w:keepNext/>
      <w:keepLines/>
      <w:numPr>
        <w:ilvl w:val="8"/>
        <w:numId w:val="1"/>
      </w:numPr>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0143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4374"/>
  </w:style>
  <w:style w:type="paragraph" w:styleId="TOC1">
    <w:name w:val="toc 1"/>
    <w:basedOn w:val="Normal"/>
    <w:next w:val="Normal"/>
    <w:autoRedefine/>
    <w:uiPriority w:val="39"/>
    <w:qFormat/>
    <w:rsid w:val="002976F2"/>
    <w:pPr>
      <w:spacing w:line="300" w:lineRule="atLeast"/>
      <w:jc w:val="both"/>
    </w:pPr>
    <w:rPr>
      <w:rFonts w:ascii="Arial" w:eastAsia="Times New Roman" w:hAnsi="Arial" w:cs="Times New Roman"/>
      <w:sz w:val="20"/>
      <w:szCs w:val="20"/>
    </w:rPr>
  </w:style>
  <w:style w:type="character" w:styleId="Hyperlink">
    <w:name w:val="Hyperlink"/>
    <w:basedOn w:val="DefaultParagraphFont"/>
    <w:uiPriority w:val="99"/>
    <w:unhideWhenUsed/>
    <w:rsid w:val="00E12420"/>
    <w:rPr>
      <w:color w:val="0000FF" w:themeColor="hyperlink"/>
      <w:u w:val="single"/>
    </w:rPr>
  </w:style>
  <w:style w:type="character" w:customStyle="1" w:styleId="Heading1Char">
    <w:name w:val="Heading 1 Char"/>
    <w:basedOn w:val="DefaultParagraphFont"/>
    <w:link w:val="Heading1"/>
    <w:uiPriority w:val="9"/>
    <w:rsid w:val="00645531"/>
    <w:rPr>
      <w:rFonts w:asciiTheme="majorHAnsi" w:eastAsiaTheme="majorEastAsia" w:hAnsiTheme="majorHAnsi" w:cstheme="majorBidi"/>
      <w:b/>
      <w:bCs/>
      <w:color w:val="000000"/>
      <w:sz w:val="28"/>
      <w:szCs w:val="28"/>
      <w:lang w:eastAsia="en-US"/>
    </w:rPr>
  </w:style>
  <w:style w:type="character" w:customStyle="1" w:styleId="Heading2Char">
    <w:name w:val="Heading 2 Char"/>
    <w:basedOn w:val="DefaultParagraphFont"/>
    <w:link w:val="Heading2"/>
    <w:uiPriority w:val="9"/>
    <w:semiHidden/>
    <w:rsid w:val="00645531"/>
    <w:rPr>
      <w:rFonts w:asciiTheme="majorHAnsi" w:eastAsiaTheme="majorEastAsia" w:hAnsiTheme="majorHAnsi" w:cstheme="majorBidi"/>
      <w:b/>
      <w:bCs/>
      <w:color w:val="000000"/>
      <w:sz w:val="26"/>
      <w:szCs w:val="26"/>
      <w:lang w:eastAsia="en-US"/>
    </w:rPr>
  </w:style>
  <w:style w:type="character" w:customStyle="1" w:styleId="Heading3Char">
    <w:name w:val="Heading 3 Char"/>
    <w:basedOn w:val="DefaultParagraphFont"/>
    <w:link w:val="Heading3"/>
    <w:uiPriority w:val="9"/>
    <w:semiHidden/>
    <w:rsid w:val="00645531"/>
    <w:rPr>
      <w:rFonts w:asciiTheme="majorHAnsi" w:eastAsiaTheme="majorEastAsia" w:hAnsiTheme="majorHAnsi" w:cstheme="majorBidi"/>
      <w:b/>
      <w:bCs/>
      <w:color w:val="000000"/>
      <w:lang w:eastAsia="en-US"/>
    </w:rPr>
  </w:style>
  <w:style w:type="character" w:customStyle="1" w:styleId="Heading4Char">
    <w:name w:val="Heading 4 Char"/>
    <w:basedOn w:val="DefaultParagraphFont"/>
    <w:link w:val="Heading4"/>
    <w:uiPriority w:val="9"/>
    <w:semiHidden/>
    <w:rsid w:val="00645531"/>
    <w:rPr>
      <w:rFonts w:asciiTheme="majorHAnsi" w:eastAsiaTheme="majorEastAsia" w:hAnsiTheme="majorHAnsi" w:cstheme="majorBidi"/>
      <w:b/>
      <w:bCs/>
      <w:i/>
      <w:iCs/>
      <w:color w:val="000000"/>
      <w:lang w:eastAsia="en-US"/>
    </w:rPr>
  </w:style>
  <w:style w:type="character" w:customStyle="1" w:styleId="Heading5Char">
    <w:name w:val="Heading 5 Char"/>
    <w:basedOn w:val="DefaultParagraphFont"/>
    <w:link w:val="Heading5"/>
    <w:uiPriority w:val="9"/>
    <w:semiHidden/>
    <w:rsid w:val="00645531"/>
    <w:rPr>
      <w:rFonts w:asciiTheme="majorHAnsi" w:eastAsiaTheme="majorEastAsia" w:hAnsiTheme="majorHAnsi" w:cstheme="majorBidi"/>
      <w:color w:val="000000"/>
      <w:lang w:eastAsia="en-US"/>
    </w:rPr>
  </w:style>
  <w:style w:type="character" w:customStyle="1" w:styleId="Heading6Char">
    <w:name w:val="Heading 6 Char"/>
    <w:basedOn w:val="DefaultParagraphFont"/>
    <w:link w:val="Heading6"/>
    <w:uiPriority w:val="9"/>
    <w:semiHidden/>
    <w:rsid w:val="00645531"/>
    <w:rPr>
      <w:rFonts w:asciiTheme="majorHAnsi" w:eastAsiaTheme="majorEastAsia" w:hAnsiTheme="majorHAnsi" w:cstheme="majorBidi"/>
      <w:i/>
      <w:iCs/>
      <w:color w:val="000000"/>
      <w:lang w:eastAsia="en-US"/>
    </w:rPr>
  </w:style>
  <w:style w:type="character" w:customStyle="1" w:styleId="Heading7Char">
    <w:name w:val="Heading 7 Char"/>
    <w:basedOn w:val="DefaultParagraphFont"/>
    <w:link w:val="Heading7"/>
    <w:uiPriority w:val="9"/>
    <w:semiHidden/>
    <w:rsid w:val="00645531"/>
    <w:rPr>
      <w:rFonts w:asciiTheme="majorHAnsi" w:eastAsiaTheme="majorEastAsia" w:hAnsiTheme="majorHAnsi" w:cstheme="majorBidi"/>
      <w:i/>
      <w:iCs/>
      <w:color w:val="000000"/>
      <w:lang w:eastAsia="en-US"/>
    </w:rPr>
  </w:style>
  <w:style w:type="character" w:customStyle="1" w:styleId="Heading8Char">
    <w:name w:val="Heading 8 Char"/>
    <w:basedOn w:val="DefaultParagraphFont"/>
    <w:link w:val="Heading8"/>
    <w:uiPriority w:val="9"/>
    <w:semiHidden/>
    <w:rsid w:val="00645531"/>
    <w:rPr>
      <w:rFonts w:asciiTheme="majorHAnsi" w:eastAsiaTheme="majorEastAsia" w:hAnsiTheme="majorHAnsi" w:cstheme="majorBidi"/>
      <w:color w:val="000000"/>
      <w:sz w:val="20"/>
      <w:szCs w:val="20"/>
      <w:lang w:eastAsia="en-US"/>
    </w:rPr>
  </w:style>
  <w:style w:type="character" w:customStyle="1" w:styleId="Heading9Char">
    <w:name w:val="Heading 9 Char"/>
    <w:basedOn w:val="DefaultParagraphFont"/>
    <w:link w:val="Heading9"/>
    <w:uiPriority w:val="9"/>
    <w:semiHidden/>
    <w:rsid w:val="00645531"/>
    <w:rPr>
      <w:rFonts w:asciiTheme="majorHAnsi" w:eastAsiaTheme="majorEastAsia" w:hAnsiTheme="majorHAnsi" w:cstheme="majorBidi"/>
      <w:i/>
      <w:iCs/>
      <w:color w:val="000000"/>
      <w:sz w:val="20"/>
      <w:szCs w:val="20"/>
      <w:lang w:eastAsia="en-US"/>
    </w:rPr>
  </w:style>
  <w:style w:type="paragraph" w:styleId="Revision">
    <w:name w:val="Revision"/>
    <w:hidden/>
    <w:uiPriority w:val="99"/>
    <w:semiHidden/>
    <w:rsid w:val="00645531"/>
    <w:pPr>
      <w:spacing w:after="0" w:line="240" w:lineRule="auto"/>
    </w:pPr>
    <w:rPr>
      <w:color w:val="000000"/>
    </w:rPr>
  </w:style>
  <w:style w:type="paragraph" w:customStyle="1" w:styleId="Title">
    <w:name w:val="*   Title"/>
    <w:basedOn w:val="Normal"/>
    <w:next w:val="Normal"/>
    <w:link w:val="TitleChar"/>
    <w:qFormat/>
    <w:rsid w:val="002976F2"/>
    <w:pPr>
      <w:overflowPunct w:val="0"/>
      <w:autoSpaceDE w:val="0"/>
      <w:autoSpaceDN w:val="0"/>
      <w:adjustRightInd w:val="0"/>
      <w:spacing w:after="140" w:line="290" w:lineRule="auto"/>
      <w:jc w:val="center"/>
      <w:textAlignment w:val="baseline"/>
    </w:pPr>
    <w:rPr>
      <w:rFonts w:ascii="Arial" w:eastAsia="Times New Roman" w:hAnsi="Arial" w:cs="Arial"/>
      <w:b/>
      <w:kern w:val="20"/>
      <w:sz w:val="28"/>
      <w:lang w:eastAsia="en-GB"/>
    </w:rPr>
  </w:style>
  <w:style w:type="character" w:customStyle="1" w:styleId="TitleChar">
    <w:name w:val="*   Title Char"/>
    <w:link w:val="Title"/>
    <w:rsid w:val="002976F2"/>
    <w:rPr>
      <w:rFonts w:ascii="Arial" w:eastAsia="Times New Roman" w:hAnsi="Arial" w:cs="Arial"/>
      <w:b/>
      <w:kern w:val="20"/>
      <w:sz w:val="28"/>
    </w:rPr>
  </w:style>
  <w:style w:type="paragraph" w:customStyle="1" w:styleId="Subtitle">
    <w:name w:val="*  Subtitle"/>
    <w:basedOn w:val="Title"/>
    <w:qFormat/>
    <w:rsid w:val="002976F2"/>
    <w:pPr>
      <w:jc w:val="both"/>
    </w:pPr>
    <w:rPr>
      <w:sz w:val="24"/>
    </w:rPr>
  </w:style>
  <w:style w:type="paragraph" w:customStyle="1" w:styleId="Level1">
    <w:name w:val="* Level 1"/>
    <w:basedOn w:val="Subtitle"/>
    <w:qFormat/>
    <w:rsid w:val="002976F2"/>
    <w:pPr>
      <w:keepNext/>
      <w:numPr>
        <w:numId w:val="2"/>
      </w:numPr>
      <w:spacing w:before="140"/>
      <w:outlineLvl w:val="0"/>
    </w:pPr>
    <w:rPr>
      <w:szCs w:val="28"/>
    </w:rPr>
  </w:style>
  <w:style w:type="paragraph" w:customStyle="1" w:styleId="1Parties">
    <w:name w:val="* (1) Parties"/>
    <w:basedOn w:val="Level1"/>
    <w:qFormat/>
    <w:rsid w:val="002976F2"/>
    <w:pPr>
      <w:keepNext w:val="0"/>
      <w:numPr>
        <w:numId w:val="3"/>
      </w:numPr>
    </w:pPr>
    <w:rPr>
      <w:b w:val="0"/>
      <w:sz w:val="22"/>
      <w:szCs w:val="22"/>
    </w:rPr>
  </w:style>
  <w:style w:type="paragraph" w:customStyle="1" w:styleId="ABackground">
    <w:name w:val="* (A) Background"/>
    <w:basedOn w:val="Level2"/>
    <w:next w:val="Body1"/>
    <w:qFormat/>
    <w:rsid w:val="002976F2"/>
    <w:pPr>
      <w:numPr>
        <w:ilvl w:val="0"/>
        <w:numId w:val="4"/>
      </w:numPr>
      <w:spacing w:before="140" w:line="240" w:lineRule="auto"/>
      <w:outlineLvl w:val="0"/>
    </w:pPr>
    <w:rPr>
      <w:sz w:val="20"/>
    </w:rPr>
  </w:style>
  <w:style w:type="paragraph" w:customStyle="1" w:styleId="Body2">
    <w:name w:val="* Body 2"/>
    <w:basedOn w:val="Subtitle"/>
    <w:qFormat/>
    <w:rsid w:val="002976F2"/>
    <w:pPr>
      <w:ind w:left="680"/>
    </w:pPr>
    <w:rPr>
      <w:b w:val="0"/>
      <w:sz w:val="22"/>
      <w:szCs w:val="28"/>
    </w:rPr>
  </w:style>
  <w:style w:type="paragraph" w:customStyle="1" w:styleId="Body1">
    <w:name w:val="* Body 1"/>
    <w:basedOn w:val="Body2"/>
    <w:qFormat/>
    <w:rsid w:val="002976F2"/>
    <w:pPr>
      <w:ind w:left="0"/>
    </w:pPr>
  </w:style>
  <w:style w:type="paragraph" w:customStyle="1" w:styleId="Body3">
    <w:name w:val="* Body 3"/>
    <w:basedOn w:val="Body2"/>
    <w:qFormat/>
    <w:rsid w:val="002976F2"/>
    <w:pPr>
      <w:ind w:left="1474"/>
    </w:pPr>
  </w:style>
  <w:style w:type="paragraph" w:customStyle="1" w:styleId="Body4">
    <w:name w:val="* Body 4"/>
    <w:basedOn w:val="Body3"/>
    <w:qFormat/>
    <w:rsid w:val="002976F2"/>
    <w:pPr>
      <w:ind w:left="1928"/>
    </w:pPr>
  </w:style>
  <w:style w:type="paragraph" w:customStyle="1" w:styleId="Body5">
    <w:name w:val="* Body 5"/>
    <w:basedOn w:val="Body4"/>
    <w:qFormat/>
    <w:rsid w:val="002976F2"/>
    <w:pPr>
      <w:ind w:left="2381"/>
    </w:pPr>
  </w:style>
  <w:style w:type="paragraph" w:customStyle="1" w:styleId="CourtDocBodyText">
    <w:name w:val="* Court Doc Body Text"/>
    <w:basedOn w:val="Normal"/>
    <w:qFormat/>
    <w:rsid w:val="002976F2"/>
    <w:pPr>
      <w:spacing w:after="120" w:line="360" w:lineRule="auto"/>
      <w:jc w:val="both"/>
    </w:pPr>
    <w:rPr>
      <w:rFonts w:ascii="Arial" w:eastAsia="Times New Roman" w:hAnsi="Arial" w:cs="Times New Roman"/>
      <w:lang w:eastAsia="en-GB"/>
    </w:rPr>
  </w:style>
  <w:style w:type="paragraph" w:customStyle="1" w:styleId="CourtDocDraftingNotes">
    <w:name w:val="* Court Doc Drafting Notes"/>
    <w:basedOn w:val="Normal"/>
    <w:qFormat/>
    <w:rsid w:val="002976F2"/>
    <w:pPr>
      <w:numPr>
        <w:numId w:val="5"/>
      </w:numPr>
      <w:spacing w:after="120" w:line="360" w:lineRule="auto"/>
      <w:jc w:val="both"/>
    </w:pPr>
    <w:rPr>
      <w:rFonts w:ascii="Arial" w:eastAsia="Times New Roman" w:hAnsi="Arial" w:cs="Times New Roman"/>
      <w:lang w:eastAsia="en-GB"/>
    </w:rPr>
  </w:style>
  <w:style w:type="paragraph" w:customStyle="1" w:styleId="CourtDocNumbering">
    <w:name w:val="* Court Doc Numbering"/>
    <w:basedOn w:val="Normal"/>
    <w:qFormat/>
    <w:rsid w:val="002976F2"/>
    <w:pPr>
      <w:numPr>
        <w:numId w:val="6"/>
      </w:numPr>
      <w:spacing w:after="120" w:line="360" w:lineRule="auto"/>
      <w:jc w:val="both"/>
    </w:pPr>
    <w:rPr>
      <w:rFonts w:ascii="Arial" w:eastAsia="Times New Roman" w:hAnsi="Arial" w:cs="Arial"/>
      <w:kern w:val="20"/>
      <w:lang w:eastAsia="en-GB"/>
    </w:rPr>
  </w:style>
  <w:style w:type="paragraph" w:customStyle="1" w:styleId="LetterBody">
    <w:name w:val="* Letter Body"/>
    <w:basedOn w:val="Body1"/>
    <w:qFormat/>
    <w:rsid w:val="002976F2"/>
    <w:pPr>
      <w:spacing w:after="200"/>
    </w:pPr>
  </w:style>
  <w:style w:type="paragraph" w:customStyle="1" w:styleId="LetterNumbering">
    <w:name w:val="* Letter Numbering"/>
    <w:basedOn w:val="Normal"/>
    <w:qFormat/>
    <w:rsid w:val="002976F2"/>
    <w:pPr>
      <w:numPr>
        <w:numId w:val="7"/>
      </w:numPr>
      <w:spacing w:before="140" w:after="140" w:line="290" w:lineRule="auto"/>
      <w:jc w:val="both"/>
    </w:pPr>
    <w:rPr>
      <w:rFonts w:ascii="Arial" w:eastAsia="Times New Roman" w:hAnsi="Arial" w:cs="Times New Roman"/>
      <w:lang w:eastAsia="en-GB"/>
    </w:rPr>
  </w:style>
  <w:style w:type="paragraph" w:customStyle="1" w:styleId="LetterSubtitle">
    <w:name w:val="* Letter Subtitle"/>
    <w:basedOn w:val="Normal"/>
    <w:qFormat/>
    <w:rsid w:val="002976F2"/>
    <w:pPr>
      <w:jc w:val="both"/>
    </w:pPr>
    <w:rPr>
      <w:rFonts w:ascii="Arial" w:eastAsia="Times New Roman" w:hAnsi="Arial" w:cs="Times New Roman"/>
      <w:b/>
      <w:lang w:eastAsia="en-GB"/>
    </w:rPr>
  </w:style>
  <w:style w:type="paragraph" w:customStyle="1" w:styleId="Level2">
    <w:name w:val="* Level 2"/>
    <w:basedOn w:val="Level1"/>
    <w:qFormat/>
    <w:rsid w:val="002976F2"/>
    <w:pPr>
      <w:keepNext w:val="0"/>
      <w:numPr>
        <w:ilvl w:val="1"/>
      </w:numPr>
      <w:spacing w:before="0"/>
      <w:outlineLvl w:val="1"/>
    </w:pPr>
    <w:rPr>
      <w:b w:val="0"/>
      <w:sz w:val="22"/>
    </w:rPr>
  </w:style>
  <w:style w:type="paragraph" w:customStyle="1" w:styleId="Level3">
    <w:name w:val="* Level 3"/>
    <w:basedOn w:val="Level2"/>
    <w:qFormat/>
    <w:rsid w:val="002976F2"/>
    <w:pPr>
      <w:numPr>
        <w:ilvl w:val="2"/>
      </w:numPr>
      <w:outlineLvl w:val="2"/>
    </w:pPr>
  </w:style>
  <w:style w:type="paragraph" w:customStyle="1" w:styleId="Level4">
    <w:name w:val="* Level 4"/>
    <w:basedOn w:val="Level3"/>
    <w:qFormat/>
    <w:rsid w:val="002976F2"/>
    <w:pPr>
      <w:numPr>
        <w:ilvl w:val="3"/>
      </w:numPr>
      <w:outlineLvl w:val="3"/>
    </w:pPr>
  </w:style>
  <w:style w:type="paragraph" w:customStyle="1" w:styleId="Level5">
    <w:name w:val="* Level 5"/>
    <w:basedOn w:val="Level4"/>
    <w:qFormat/>
    <w:rsid w:val="002976F2"/>
    <w:pPr>
      <w:numPr>
        <w:ilvl w:val="4"/>
      </w:numPr>
      <w:outlineLvl w:val="4"/>
    </w:pPr>
  </w:style>
  <w:style w:type="paragraph" w:customStyle="1" w:styleId="ScheduleTitle">
    <w:name w:val="* Schedule Title"/>
    <w:basedOn w:val="Title"/>
    <w:next w:val="Normal"/>
    <w:qFormat/>
    <w:rsid w:val="002976F2"/>
    <w:pPr>
      <w:numPr>
        <w:numId w:val="8"/>
      </w:numPr>
    </w:pPr>
    <w:rPr>
      <w:szCs w:val="28"/>
    </w:rPr>
  </w:style>
  <w:style w:type="paragraph" w:customStyle="1" w:styleId="ScheduleSubtitle">
    <w:name w:val="* Schedule Subtitle"/>
    <w:basedOn w:val="ScheduleTitle"/>
    <w:qFormat/>
    <w:rsid w:val="002976F2"/>
    <w:pPr>
      <w:numPr>
        <w:ilvl w:val="1"/>
        <w:numId w:val="9"/>
      </w:numPr>
    </w:pPr>
    <w:rPr>
      <w:sz w:val="22"/>
    </w:rPr>
  </w:style>
  <w:style w:type="paragraph" w:customStyle="1" w:styleId="PartTitle">
    <w:name w:val="* Part Title"/>
    <w:basedOn w:val="ScheduleSubtitle"/>
    <w:next w:val="Normal"/>
    <w:qFormat/>
    <w:rsid w:val="002976F2"/>
    <w:pPr>
      <w:numPr>
        <w:ilvl w:val="0"/>
        <w:numId w:val="0"/>
      </w:numPr>
    </w:pPr>
    <w:rPr>
      <w:szCs w:val="22"/>
    </w:rPr>
  </w:style>
  <w:style w:type="paragraph" w:customStyle="1" w:styleId="PartSubtitle">
    <w:name w:val="* Part Subtitle"/>
    <w:basedOn w:val="PartTitle"/>
    <w:next w:val="Normal"/>
    <w:qFormat/>
    <w:rsid w:val="002976F2"/>
    <w:pPr>
      <w:numPr>
        <w:ilvl w:val="3"/>
        <w:numId w:val="9"/>
      </w:numPr>
    </w:pPr>
  </w:style>
  <w:style w:type="paragraph" w:customStyle="1" w:styleId="SchedNumbering1">
    <w:name w:val="* Sched Numbering 1"/>
    <w:basedOn w:val="Normal"/>
    <w:qFormat/>
    <w:rsid w:val="002976F2"/>
    <w:pPr>
      <w:numPr>
        <w:numId w:val="10"/>
      </w:numPr>
      <w:overflowPunct w:val="0"/>
      <w:autoSpaceDE w:val="0"/>
      <w:autoSpaceDN w:val="0"/>
      <w:adjustRightInd w:val="0"/>
      <w:spacing w:before="140" w:after="140" w:line="290" w:lineRule="auto"/>
      <w:jc w:val="both"/>
      <w:textAlignment w:val="baseline"/>
      <w:outlineLvl w:val="0"/>
    </w:pPr>
    <w:rPr>
      <w:rFonts w:ascii="Arial" w:eastAsia="Times New Roman" w:hAnsi="Arial" w:cs="Times New Roman"/>
      <w:kern w:val="20"/>
      <w:lang w:eastAsia="en-GB"/>
    </w:rPr>
  </w:style>
  <w:style w:type="paragraph" w:customStyle="1" w:styleId="SchedNumbering2">
    <w:name w:val="* Sched Numbering 2"/>
    <w:basedOn w:val="SchedNumbering1"/>
    <w:qFormat/>
    <w:rsid w:val="002976F2"/>
    <w:pPr>
      <w:numPr>
        <w:ilvl w:val="1"/>
      </w:numPr>
      <w:spacing w:before="0"/>
    </w:pPr>
    <w:rPr>
      <w:rFonts w:cs="Arial"/>
    </w:rPr>
  </w:style>
  <w:style w:type="paragraph" w:customStyle="1" w:styleId="SchedNumbering3">
    <w:name w:val="* Sched Numbering 3"/>
    <w:basedOn w:val="SchedNumbering2"/>
    <w:qFormat/>
    <w:rsid w:val="002976F2"/>
    <w:pPr>
      <w:numPr>
        <w:ilvl w:val="2"/>
      </w:numPr>
    </w:pPr>
    <w:rPr>
      <w:rFonts w:cs="Times New Roman"/>
    </w:rPr>
  </w:style>
  <w:style w:type="paragraph" w:customStyle="1" w:styleId="SchedNumbering4">
    <w:name w:val="* Sched Numbering 4"/>
    <w:basedOn w:val="SchedNumbering3"/>
    <w:qFormat/>
    <w:rsid w:val="002976F2"/>
    <w:pPr>
      <w:numPr>
        <w:ilvl w:val="3"/>
      </w:numPr>
    </w:pPr>
    <w:rPr>
      <w:rFonts w:cs="Arial"/>
    </w:rPr>
  </w:style>
  <w:style w:type="paragraph" w:customStyle="1" w:styleId="SchedNumbering5">
    <w:name w:val="* Sched Numbering 5"/>
    <w:basedOn w:val="SchedNumbering4"/>
    <w:qFormat/>
    <w:rsid w:val="002976F2"/>
    <w:pPr>
      <w:numPr>
        <w:ilvl w:val="4"/>
      </w:numPr>
    </w:pPr>
  </w:style>
  <w:style w:type="paragraph" w:customStyle="1" w:styleId="Title0">
    <w:name w:val="* Title"/>
    <w:basedOn w:val="Normal"/>
    <w:next w:val="Normal"/>
    <w:link w:val="TitleChar0"/>
    <w:qFormat/>
    <w:rsid w:val="002976F2"/>
    <w:pPr>
      <w:overflowPunct w:val="0"/>
      <w:autoSpaceDE w:val="0"/>
      <w:autoSpaceDN w:val="0"/>
      <w:adjustRightInd w:val="0"/>
      <w:spacing w:after="140" w:line="290" w:lineRule="auto"/>
      <w:jc w:val="center"/>
      <w:textAlignment w:val="baseline"/>
    </w:pPr>
    <w:rPr>
      <w:rFonts w:ascii="Trebuchet MS" w:eastAsia="Times New Roman" w:hAnsi="Trebuchet MS" w:cs="Arial"/>
      <w:b/>
      <w:kern w:val="20"/>
    </w:rPr>
  </w:style>
  <w:style w:type="character" w:customStyle="1" w:styleId="TitleChar0">
    <w:name w:val="* Title Char"/>
    <w:link w:val="Title0"/>
    <w:rsid w:val="002976F2"/>
    <w:rPr>
      <w:rFonts w:ascii="Trebuchet MS" w:eastAsia="Times New Roman" w:hAnsi="Trebuchet MS" w:cs="Arial"/>
      <w:b/>
      <w:kern w:val="20"/>
      <w:lang w:eastAsia="en-US"/>
    </w:rPr>
  </w:style>
  <w:style w:type="paragraph" w:customStyle="1" w:styleId="1BracketedNumber">
    <w:name w:val="*(1) Bracketed Number"/>
    <w:basedOn w:val="Normal"/>
    <w:rsid w:val="002976F2"/>
    <w:pPr>
      <w:numPr>
        <w:numId w:val="11"/>
      </w:numPr>
      <w:overflowPunct w:val="0"/>
      <w:autoSpaceDE w:val="0"/>
      <w:autoSpaceDN w:val="0"/>
      <w:adjustRightInd w:val="0"/>
      <w:spacing w:before="140" w:after="140" w:line="290" w:lineRule="auto"/>
      <w:jc w:val="both"/>
      <w:textAlignment w:val="baseline"/>
    </w:pPr>
    <w:rPr>
      <w:rFonts w:ascii="Arial" w:eastAsia="Times New Roman" w:hAnsi="Arial" w:cs="Arial"/>
      <w:kern w:val="20"/>
      <w:lang w:eastAsia="en-GB"/>
    </w:rPr>
  </w:style>
  <w:style w:type="paragraph" w:customStyle="1" w:styleId="ABracketedLetter">
    <w:name w:val="*(A) Bracketed Letter"/>
    <w:basedOn w:val="1BracketedNumber"/>
    <w:rsid w:val="002976F2"/>
    <w:pPr>
      <w:numPr>
        <w:numId w:val="12"/>
      </w:numPr>
    </w:pPr>
  </w:style>
  <w:style w:type="paragraph" w:customStyle="1" w:styleId="AttendMemoBody">
    <w:name w:val="*Attend/Memo Body"/>
    <w:basedOn w:val="Normal"/>
    <w:qFormat/>
    <w:rsid w:val="002976F2"/>
    <w:pPr>
      <w:spacing w:after="140" w:line="290" w:lineRule="auto"/>
      <w:jc w:val="both"/>
    </w:pPr>
    <w:rPr>
      <w:rFonts w:ascii="Arial" w:eastAsia="Times New Roman" w:hAnsi="Arial" w:cs="Times New Roman"/>
      <w:lang w:eastAsia="en-GB"/>
    </w:rPr>
  </w:style>
  <w:style w:type="paragraph" w:customStyle="1" w:styleId="BulletedList">
    <w:name w:val="*Bulleted List"/>
    <w:qFormat/>
    <w:rsid w:val="002976F2"/>
    <w:pPr>
      <w:numPr>
        <w:numId w:val="13"/>
      </w:numPr>
      <w:spacing w:line="240" w:lineRule="auto"/>
      <w:jc w:val="both"/>
    </w:pPr>
    <w:rPr>
      <w:rFonts w:ascii="Arial" w:eastAsia="Times New Roman" w:hAnsi="Arial" w:cs="Arial"/>
      <w:kern w:val="20"/>
      <w:lang w:eastAsia="en-US"/>
    </w:rPr>
  </w:style>
  <w:style w:type="paragraph" w:customStyle="1" w:styleId="CommercialScheduleTitle">
    <w:name w:val="*Commercial .Schedule Title"/>
    <w:basedOn w:val="Title"/>
    <w:next w:val="ScheduleSubtitle"/>
    <w:link w:val="CommercialScheduleTitleChar"/>
    <w:qFormat/>
    <w:rsid w:val="002976F2"/>
    <w:pPr>
      <w:pageBreakBefore/>
      <w:numPr>
        <w:numId w:val="9"/>
      </w:numPr>
      <w:spacing w:before="140"/>
    </w:pPr>
  </w:style>
  <w:style w:type="character" w:customStyle="1" w:styleId="CommercialScheduleTitleChar">
    <w:name w:val="*Commercial .Schedule Title Char"/>
    <w:link w:val="CommercialScheduleTitle"/>
    <w:rsid w:val="002976F2"/>
    <w:rPr>
      <w:rFonts w:ascii="Arial" w:eastAsia="Times New Roman" w:hAnsi="Arial" w:cs="Arial"/>
      <w:b/>
      <w:kern w:val="20"/>
      <w:sz w:val="28"/>
    </w:rPr>
  </w:style>
  <w:style w:type="paragraph" w:customStyle="1" w:styleId="CommercialPartTitle">
    <w:name w:val="*Commercial Part Title"/>
    <w:basedOn w:val="PartTitle"/>
    <w:next w:val="PartSubtitle"/>
    <w:qFormat/>
    <w:rsid w:val="002976F2"/>
    <w:pPr>
      <w:numPr>
        <w:ilvl w:val="2"/>
        <w:numId w:val="9"/>
      </w:numPr>
    </w:pPr>
  </w:style>
  <w:style w:type="paragraph" w:styleId="Header">
    <w:name w:val="header"/>
    <w:basedOn w:val="Normal"/>
    <w:link w:val="HeaderChar"/>
    <w:uiPriority w:val="99"/>
    <w:unhideWhenUsed/>
    <w:rsid w:val="001070AA"/>
    <w:pPr>
      <w:tabs>
        <w:tab w:val="center" w:pos="4513"/>
        <w:tab w:val="right" w:pos="9026"/>
      </w:tabs>
    </w:pPr>
  </w:style>
  <w:style w:type="character" w:customStyle="1" w:styleId="HeaderChar">
    <w:name w:val="Header Char"/>
    <w:basedOn w:val="DefaultParagraphFont"/>
    <w:link w:val="Header"/>
    <w:uiPriority w:val="99"/>
    <w:rsid w:val="001070AA"/>
    <w:rPr>
      <w:rFonts w:eastAsiaTheme="minorHAnsi"/>
      <w:lang w:eastAsia="en-US"/>
    </w:rPr>
  </w:style>
  <w:style w:type="paragraph" w:styleId="Footer">
    <w:name w:val="footer"/>
    <w:basedOn w:val="Normal"/>
    <w:link w:val="FooterChar"/>
    <w:uiPriority w:val="99"/>
    <w:unhideWhenUsed/>
    <w:rsid w:val="001070AA"/>
    <w:pPr>
      <w:tabs>
        <w:tab w:val="center" w:pos="4513"/>
        <w:tab w:val="right" w:pos="9026"/>
      </w:tabs>
    </w:pPr>
  </w:style>
  <w:style w:type="character" w:customStyle="1" w:styleId="FooterChar">
    <w:name w:val="Footer Char"/>
    <w:basedOn w:val="DefaultParagraphFont"/>
    <w:link w:val="Footer"/>
    <w:uiPriority w:val="99"/>
    <w:rsid w:val="001070AA"/>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3.xml><?xml version="1.0" encoding="utf-8"?>
<cdm:cachedDataManifest xmlns:cdm="http://schemas.microsoft.com/2004/VisualStudio/Tools/Applications/CachedDataManifest.xsd" cdm:revision="1"/>
</file>

<file path=customXml/item4.xml><?xml version="1.0" encoding="utf-8"?>
<n-document xmlns:xsd="http://www.w3.org/2001/XMLSchema" xmlns:xsi="http://www.w3.org/2001/XMLSchema-instance" guid="0" synced="true" validated="true">
  <n-docbody>
    <standard.doc precedenttype="agreement">
      <prelim>
        <product.name>product.name0</product.name>
        <title>Articles of association (Model Articles): non-leveraged investments</title>
        <author>Practical Law Corporate</author>
        <resource.type>Standard documents</resource.type>
        <juris>juris0</juris>
        <juris>juris1</juris>
      </prelim>
      <abstract>
        <para>
          <paratext>A sample set of articles of association to be used for companies incorporated on or after 1 October 2009 which are backed by a non-leveraged venture capital equity investment.</paratext>
        </para>
        <para>
          <paratext>These articles are originally based on the BVCA model articles of association for early stage investments.</paratext>
        </para>
      </abstract>
      <toc.identifier hasToc="true"/>
      <body>
        <cover.sheet>
          <head align="left" preservecase="true">
            <headtext>THE COMPANIES ACT 2006</headtext>
          </head>
          <subject.intro>PRIVATE COMPANY LIMITED BY SHARES</subject.intro>
          <subject.text>ARTICLES OF ASSOCIATION</subject.text>
        </cover.sheet>
        <preamble>
          <para>
            <paratext>
              <table frame="none" pgwide="1">
                <tgroup cols="1">
                  <colspec colname="1" colnum="1" colwidth="100"/>
                  <tbody>
                    <row>
                      <entry valign="top">
                        <para align="center">
                          <paratext>
                            <bold>Company number [NUMBER]</bold>
                          </paratext>
                        </para>
                      </entry>
                    </row>
                    <row>
                      <entry valign="top">
                        <para align="center">
                          <paratext>
                            <bold>THE COMPANIES ACT 2006</bold>
                          </paratext>
                        </para>
                      </entry>
                    </row>
                    <row>
                      <entry valign="top">
                        <para align="center">
                          <paratext>
                            <bold>PRIVATE COMPANY LIMITED BY SHARES</bold>
                          </paratext>
                        </para>
                      </entry>
                    </row>
                    <row>
                      <entry valign="top">
                        <para align="center">
                          <paratext>
                            <bold>ARTICLES OF ASSOCIATION</bold>
                          </paratext>
                        </para>
                      </entry>
                    </row>
                    <row>
                      <entry valign="top">
                        <para align="center">
                          <paratext>
                            <bold>OF</bold>
                          </paratext>
                        </para>
                      </entry>
                    </row>
                    <row>
                      <entry valign="top">
                        <para align="center">
                          <paratext>
                            <bold>[FULL NAME OF COMPANY] LIMITED</bold>
                          </paratext>
                        </para>
                      </entry>
                    </row>
                    <row>
                      <entry valign="top">
                        <para align="center">
                          <paratext>
                            <bold>(Adopted by special resolution passed on [DATE])</bold>
                          </paratext>
                        </para>
                      </entry>
                    </row>
                  </tbody>
                </tgroup>
              </table>
            </paratext>
          </para>
        </preamble>
        <operative xrefname="article">
          <drafting.note id="a661159" jurisdiction="">
            <head align="left" preservecase="true">
              <headtext>Drafting assumptions</headtext>
            </head>
            <division id="a000003" level="1">
              <para>
                <paratext>
                  The 
                  <link href="4-385-1463" style="ACTLinkPLCtoPLC">
                    <bold>
                      <ital>Model Articles</ital>
                    </bold>
                  </link>
                   are the default set of articles of association (articles) applicable to UK companies. The model articles are automatically incorporated into a company's constitution, to the extent not excluded or modified (
                  <link href="6-505-5089" style="ACTLinkPLCtoPLC">
                    <ital>section 20</ital>
                  </link>
                  <ital>, Companies Act 2006 (CA 2006)</ital>
                  ). For a commentary on the provisions of the model articles as they relate to private companies limited by shares (Model Articles), see 
                  <link href="8-384-4772" style="ACTLinkPLCtoPLC">
                    <ital>Practice note, Model articles: private companies limited by shares: Companies Act 2006</ital>
                  </link>
                  .
                </paratext>
              </para>
              <para>
                <paratext>
                  A company which does not wish to adopt the model articles prescribed for the particular type of company without amendment must file a set of articles at Companies House (
                  <link href="3-505-5321" style="ACTLinkPLCtoPLC">
                    <ital>section 9(5)</ital>
                  </link>
                  <ital>, CA 2006</ital>
                  ). This standard document, which constitutes a set of articles for a non-leveraged venture capital backed private company, incorporates the 
                  <link href="6-505-5094" style="ACTLinkPLCtoPLC">
                    <ital>Model Articles</ital>
                  </link>
                   by reference and sets out only those articles which modify the Model Articles, rather than filing a long form set of articles reproducing the Model Articles in full. For a discussion of the validity of the incorporation of Model Articles by reference only, as well as other issues concerning articles under the 
                  <link href="3-503-8567" style="ACTLinkPLCtoPLC">
                    <ital>CA 2006</ital>
                  </link>
                  , see 
                  <link href="3-385-9469" style="ACTLinkPLCtoPLC">
                    <ital>Practice note, Ask the Team: Articles and memorandum of association: 1 October 2009</ital>
                  </link>
                  .
                </paratext>
              </para>
              <para>
                <paratext>The standard document (which must be tailored to each company's particular requirements) makes the following assumptions:</paratext>
              </para>
              <list type="bulleted">
                <list.item>
                  <para>
                    <paratext>
                      The company is incorporated on or after 1 October 2009 under the 
                      <link href="3-503-8567" style="ACTLinkPLCtoPLC">
                        <ital>CA 2006</ital>
                      </link>
                      .
                    </paratext>
                  </para>
                </list.item>
                <list.item>
                  <para>
                    <paratext>
                      The company has unrestricted objects (
                      <link href="9-505-5120" style="ACTLinkPLCtoPLC">
                        <ital>section 31</ital>
                      </link>
                      <ital>, CA 2006</ital>
                      ).
                    </paratext>
                  </para>
                </list.item>
                <list.item>
                  <para>
                    <paratext>
                      All of the company's shares (other than those taken on incorporation) are issued fully paid (
                      <link href="6-505-5094" style="ACTLinkPLCtoPLC">
                        <ital>model article 21(1)</ital>
                      </link>
                      ).
                    </paratext>
                  </para>
                </list.item>
                <list.item>
                  <para>
                    <paratext>
                      The company's share capital only comprises equity shares (preferred shares to be held by the investors; ordinary shares to be held by all other shareholders). For a consideration of the potential effect of funding part of an investment through non-equity shares on investment, see 
                      <link href="6-384-9563" style="ACTLinkPLCtoPLC">
                        <ital>Practice note, Internal rate of return (IRR): an introduction</ital>
                      </link>
                      .
                    </paratext>
                  </para>
                </list.item>
                <list.item>
                  <para>
                    <paratext>The company is the holding company of a group of subsidiary companies.</paratext>
                  </para>
                </list.item>
                <list.item>
                  <para>
                    <paratext>
                      The company's shareholders do not have the right under 
                      <link href="4-505-5127" style="ACTLinkPLCtoPLC">
                        <ital>section 145</ital>
                      </link>
                       of the CA 2006 to nominate another person to enjoy some or all of that shareholder's rights. If such provision is required, see 
                      <link href="2-385-7036" style="ACTLinkPLCtoPLC">
                        <ital>Standard clause, Articles of association: Exercise of shareholder's rights by nominee (section 145, Companies Act 2006): 1 October 2007</ital>
                      </link>
                      .
                    </paratext>
                  </para>
                </list.item>
                <list.item>
                  <para>
                    <paratext>
                      The directors do not have the right to appoint 
                      <link href="2-107-6390" style="ACTLinkPLCtoPLC">
                        <bold>
                          <ital>alternate directors</ital>
                        </bold>
                      </link>
                       (the directors may take decisions in an almost unlimited manner under the standard document). If such provision is required, articles 11 to 13 (inclusive) of 
                      <link href="8-385-5275#a140186" style="ACTLinkPLCtoPLC">
                        <ital>Standard document, Articles of association: private company with several shareholders</ital>
                      </link>
                       may be adapted for the purpose.
                    </paratext>
                  </para>
                </list.item>
                <list.item>
                  <para>
                    <paratext>
                      Shareholders cannot cast votes at general meetings in advance (
                      <ital>section 322A, CA 2006</ital>
                      ).
                    </paratext>
                  </para>
                </list.item>
              </list>
              <para>
                <paratext>
                  The standard document does not unnecessarily duplicate matters dealt with in the CA 2006 and so practitioners should advise companies on those matters of law. For a checklist of those matters in the CA 2006 which may be excluded or modified by articles, or which will not apply unless expressly incorporated into a set of articles, see 
                  <link href="7-385-0867" style="ACTLinkPLCtoPLC">
                    <ital>Checklist, Provisions of the Companies Act 2006 that can be included, excluded or modified by articles of association of companies incorporated on or after 1 October 2009</ital>
                  </link>
                  .
                </paratext>
              </para>
              <para>
                <paratext>
                  For more on the requirements of the 
                  <link href="3-503-8567" style="ACTLinkPLCtoPLC">
                    <ital>CA 2006</ital>
                  </link>
                   in relation to articles of association, see 
                  <link href="6-386-8924" style="ACTLinkPLCtoPLC">
                    <ital>Practice note, Articles of association: content</ital>
                  </link>
                  .
                </paratext>
              </para>
            </division>
          </drafting.note>
          <head align="left" preservecase="true">
            <headtext>INTRODUCTION</headtext>
          </head>
          <clause id="a831611">
            <identifier>1.</identifier>
            <head align="left" preservecase="true">
              <headtext>Interpretation</headtext>
            </head>
            <subclause1 id="a308401">
              <identifier>1.1</identifier>
              <para>
                <paratext>The following definitions and rules of interpretation apply in these Articles:</paratext>
              </para>
              <defn.item id="a323931">
                <defn.term>Act</defn.term>
                <defn>
                  <para>
                    <paratext>the Companies Act 2006.</paratext>
                  </para>
                </defn>
              </defn.item>
              <defn.item id="a578251">
                <defn.term>acting in concert</defn.term>
                <defn>
                  <para>
                    <paratext>has the meaning given to it in the City Code on Takeovers and Mergers published by the Panel on Takeovers and Mergers (as amended).</paratext>
                  </para>
                </defn>
              </defn.item>
              <defn.item id="a418233">
                <defn.term>Adoption Date</defn.term>
                <defn>
                  <para>
                    <paratext>the date of adoption of these Articles.</paratext>
                  </para>
                </defn>
              </defn.item>
              <defn.item id="a258945">
                <defn.term>Articles</defn.term>
                <defn>
                  <para>
                    <paratext>the Company's articles of association for the time being in force.</paratext>
                  </para>
                </defn>
              </defn.item>
              <defn.item id="a598572">
                <defn.term>Available Profits</defn.term>
                <defn>
                  <para>
                    <paratext>profits available for distribution within the meaning of part 23 of the Act.</paratext>
                  </para>
                </defn>
              </defn.item>
              <defn.item id="a454186">
                <defn.term>Bad Leaver</defn.term>
                <defn>
                  <para>
                    <paratext>an Employee who ceases to be an Employee as a consequence of:</paratext>
                  </para>
                  <list type="loweralpha">
                    <list.item>
                      <para>
                        <paratext>such person's resignation as an Employee [at any time during the Relevant Period], except in circumstances which constitute a constructive, wrongful and/or unfair dismissal save in the case that unfair dismissal is as a result of a procedural defect; or</paratext>
                      </para>
                    </list.item>
                    <list.item>
                      <para>
                        <paratext>that person's dismissal as an Employee for cause, where "cause" shall mean: (i) the lawful termination of that person's contract of employment or consultancy without notice or payment in lieu of notice as a consequence of that person's misconduct [or as otherwise permitted pursuant to the terms of that person's contract of employment or consultancy]; and/or (ii) that person's fair dismissal pursuant to section 98(2) (a) (capability) or 98(2) (b) (conduct) of the Employment Rights Act 1996.</paratext>
                      </para>
                    </list.item>
                  </list>
                </defn>
                <drafting.note id="a817158" jurisdiction="">
                  <head align="left" preservecase="true">
                    <headtext>Definition: Bad Leavers</headtext>
                  </head>
                  <division id="a000004" level="1">
                    <para>
                      <paratext>
                        The definition of a 'Bad Leaver' (as well as the definitions of 'Good Leaver' and 'Early Leaver') are relevant to determine the price at which a Departing Employee's Shares are to be offered for sale under the compulsory transfer provisions of 
                        <internal.reference refid="a627423">article 21.5</internal.reference>
                        .
                      </paratext>
                    </para>
                    <para>
                      <paratext>
                        While a person will only be an Early Leaver if they become a Departing Employee within a certain period of the Adoption Date (see 
                        <internal.reference refid="a972425">Drafting note, Definition: Early Leavers</internal.reference>
                        ), whether a person is a Good Leaver or a Bad Leaver will depend on the circumstances in which they leave the Group. To avoid the risk of a leaver falling outside the prescribed circumstances of those two definitions, it is common only to define the specific reasons for departure within one of those terms, with the other term covering 'any other reason'. This ensures that no unforeseen circumstance would not be covered by one or other of the definitions.
                      </paratext>
                    </para>
                    <para>
                      <paratext>
                        In these Articles, the definition of 'Bad Leaver' sets out the limited circumstances in which a person will be deemed a Bad Leaver. All other leavers will either be Early Leavers or Good Leavers. This formulation is considered more reasonable than a mechanism that narrowly defines a Good Leaver, with all other leavers being Bad Leavers. For sample wording that takes the opposing position, see 
                        <link href="6-569-4525" style="ACTLinkPLCtoPLC">
                          <ital>Standard document, Shareholders' agreement: share transfers</ital>
                        </link>
                        .
                      </paratext>
                    </para>
                    <para>
                      <paratext>
                        In drafting any vesting and/or compulsory transfer clause, or Bad Leaver definition, it will be necessary to consider whether the mechanism might constitute an unlawful penalty and be void as a result (see 
                        <internal.reference refid="a810059">Drafting note, Can a bad leaver clause constitute a penalty or unfair prejudice?</internal.reference>
                        ).
                      </paratext>
                    </para>
                    <para>
                      <paratext>Include the optional wording relating to the Relevant Period if the Bad Leaver provisions are only intended to operate for a limited period. In practice, this would be unusual; generally the Bad Leaver provisions continue to apply without any time limitation to any Departing Employee who falls within the definition of a Bad Leaver. The optional wording is unlikely to be necessary if the articles make provision (as this standard document does) for Early Leavers.</paratext>
                    </para>
                  </division>
                </drafting.note>
              </defn.item>
              <defn.item id="a699435">
                <defn.term>Business Day</defn.term>
                <defn>
                  <para>
                    <paratext>a day other than a Saturday, Sunday or public holiday in England when banks in London are open for business.</paratext>
                  </para>
                </defn>
              </defn.item>
              <defn.item id="a185810">
                <defn.term>Chair</defn.term>
                <defn>
                  <para>
                    <paratext>
                      has the meaning given to it in 
                      <internal.reference refid="a798536">article 6.6</internal.reference>
                      ;
                    </paratext>
                  </para>
                </defn>
              </defn.item>
              <defn.item id="a401072">
                <defn.term>Company</defn.term>
                <defn>
                  <para>
                    <paratext>means [NAME OF COMPANY] Limited (Company number [NUMBER]).</paratext>
                  </para>
                </defn>
              </defn.item>
              <defn.item id="a291867">
                <defn.term>Company's Lien</defn.term>
                <defn>
                  <para>
                    <paratext>
                      has the meaning given to it in 
                      <internal.reference refid="a342989">article 27.1</internal.reference>
                      .
                    </paratext>
                  </para>
                </defn>
              </defn.item>
              <defn.item id="a333182">
                <defn.term>connected</defn.term>
                <defn>
                  <para>
                    <paratext>has the meaning given in section 252 of the Act.</paratext>
                  </para>
                </defn>
                <drafting.note id="a427305" jurisdiction="">
                  <head align="left" preservecase="true">
                    <headtext>Definition: Connected persons</headtext>
                  </head>
                  <division id="a000005" level="1">
                    <para>
                      <paratext>
                        Consider who should be deemed to be a connected person for the purposes of any particular provision of the Articles. The default position in the standard document is that such term shall be construed according to the provisions of 
                        <link href="9-505-7930" style="ACTLinkPLCtoPLC">
                          <ital>section 252</ital>
                        </link>
                         of the CA 2006, which sets out those persons considered to be connected to a director. The term is used in 
                        <internal.reference refid="a148780">article 7(f)</internal.reference>
                         and the definition of 'Transfer Price' in 
                        <internal.reference refid="a635429">article 20.1</internal.reference>
                        .
                      </paratext>
                    </para>
                    <para>
                      <paratext>
                        Although not required in this standard document, if there is need to define those persons deemed to be connected to any person other than a director, consider making reference to 
                        <link href="8-505-9289" style="ACTLinkPLCtoPLC">
                          <ital>section 1122</ital>
                        </link>
                         of the 
                        <link href="7-505-5456" style="ACTLinkPLCtoPLC">
                          <ital>Corporation Tax Act 2010</ital>
                        </link>
                        .
                      </paratext>
                    </para>
                  </division>
                </drafting.note>
              </defn.item>
              <defn.item id="a563655">
                <defn.term>Controlling Interest</defn.term>
                <defn>
                  <para>
                    <paratext>an interest in Shares conferring on the holder or holders control of the Company within the meaning of section 1124 of the Corporation Tax Act 2010.</paratext>
                  </para>
                </defn>
              </defn.item>
              <defn.item id="a711935">
                <defn.term>Credit Institution</defn.term>
                <defn>
                  <para>
                    <paratext>any Financial Conduct Authority registered credit institution (or a credit institution registered with the equivalent body or authority in the country of the relevant credit institution's principal place of business).</paratext>
                  </para>
                </defn>
              </defn.item>
              <defn.item id="a836081">
                <defn.term>Deemed Transfer Notice</defn.term>
                <defn>
                  <para>
                    <paratext>a Transfer Notice which is deemed to have been served by any of the provisions of these Articles.</paratext>
                  </para>
                </defn>
              </defn.item>
              <defn.item id="a810902">
                <defn.term>Departing Employee</defn.term>
                <defn>
                  <para>
                    <paratext>an Employee who ceases to be a director or employee of [, or consultant to,] any Group Company and who does not continue as, or become, a director or employee of [, or consultant to,] any Group Company.</paratext>
                  </para>
                </defn>
                <drafting.note id="a687680" jurisdiction="">
                  <head align="left" preservecase="true">
                    <headtext>Definition: Departing Employee</headtext>
                  </head>
                  <division id="a000006" level="1">
                    <para>
                      <paratext>
                        It is not enough, to trigger the compulsory transfer provisions on cessation of employment or office (
                        <internal.reference refid="a368481">article 21.4</internal.reference>
                        ) that an Employee ceases to be a director or employee of the group company by which is was previously appointed or employed. It is quite possible for an employee to leave one group company to be employed by another. It may also be the case that an individual is director of more than one group company and is not leaving all such offices. In that case, the compulsory transfer provisions should not apply, the shareholder remains employed by the Group. As such, the words "and does not continue as, or become" are included to cover such scenarios. The compulsory transfer provisions of these Articles on the cessation of employment or office should trigger only when a director or employee leaves the Group.
                      </paratext>
                    </para>
                  </division>
                </drafting.note>
              </defn.item>
              <defn.item id="a451990">
                <defn.term>Directors</defn.term>
                <defn>
                  <para>
                    <paratext>the directors of the Company from time to time.</paratext>
                  </para>
                </defn>
              </defn.item>
              <defn.item id="a352933">
                <defn.term>Disposal</defn.term>
                <defn>
                  <para>
                    <paratext>the disposal by the Company of all, or a substantial part of, its business and assets.</paratext>
                  </para>
                </defn>
              </defn.item>
              <defn.item id="a115270">
                <defn.term>Early Leaver</defn.term>
                <defn>
                  <para>
                    <paratext>an Employee who becomes a Departing Employee for any reason within [NUMBER] months of (but excluding) the Adoption Date.</paratext>
                  </para>
                </defn>
                <drafting.note id="a972425" jurisdiction="">
                  <head align="left" preservecase="true">
                    <headtext>Definition: Early Leavers</headtext>
                  </head>
                  <division id="a000007" level="1">
                    <para>
                      <paratext>
                        For general background on the 'Good Leaver', 'Bad Leaver' and 'Early Leaver' definitions, see 
                        <internal.reference refid="a817158">Drafting note, Definition: Bad Leavers</internal.reference>
                        .
                      </paratext>
                    </para>
                    <para>
                      <paratext>In these Articles, any Employee who becomes a Departing Employee within a specified period after the Adoption Date will be an Early Leaver, regardless of the circumstances in which that person leaves the Group. An investor seeking to include this concept in the Articles may argue that to leave within that period would effectively break the commitment to the business given at the time of investment. Such commitment may have formed a material part of the investor's decision to invest and so the investor considers that such a person should not be allowed to benefit from any increase in the value of their shares as a result.</paratext>
                    </para>
                    <para>
                      <paratext>An alternative to the Early Leaver concept is to vest value in the Ordinary Shares held by Employee Shareholders over time.</paratext>
                    </para>
                  </division>
                </drafting.note>
              </defn.item>
              <defn.item id="a517407">
                <defn.term>Eligible Director</defn.term>
                <defn>
                  <para>
                    <paratext>means a Director who would be entitled to vote on the matter at a meeting of Directors (but excluding any Director whose vote is not to be counted in respect of the particular matter).</paratext>
                  </para>
                </defn>
                <drafting.note id="a225541" jurisdiction="">
                  <head align="left" preservecase="true">
                    <headtext>Definition: Eligible Directors</headtext>
                  </head>
                  <division id="a000008" level="1">
                    <para>
                      <paratext>
                        The words in brackets at the end of the definition of 'Eligible Director' amend the equivalent definition in 
                        <link href="6-505-5094" style="ACTLinkPLCtoPLC">
                          <ital>model article 8(3)</ital>
                        </link>
                         (excluded by 
                        <internal.reference refid="a852328">article 2.2</internal.reference>
                         of this standard document).
                      </paratext>
                    </para>
                    <para>
                      <paratext>The amended definition is intended to remove the risk of any challenge to the validity of a unanimous decision not passed by conflicted directors, ensuring that only non-conflicted directors are required to pass an effective unanimous resolution.</paratext>
                    </para>
                    <para>
                      <paratext>
                        This risk arises because 
                        <link href="0-505-5167" style="ACTLinkPLCtoPLC">
                          <ital>section 175(6)</ital>
                        </link>
                         of the CA 2006 provides that a resolution to authorise a director's situational conflict will be ineffective unless the meeting is quorate without counting the conflicted director and the authorising resolution would be passed without the conflicted director voting, or without their vote being counted.
                      </paratext>
                    </para>
                    <para>
                      <paratext>
                        It is arguable that this means the conflicted director is entitled to form part of the quorum at the relevant meeting and to vote on the resolution to authorise the conflict, but that their inclusion within the quorum and their vote must not be counted. In that case, a conflicted director would not be excluded from the definition of an 'eligible director' within its meaning in 
                        <link href="6-505-5094" style="ACTLinkPLCtoPLC">
                          <ital>model article 8(3)</ital>
                        </link>
                         (as the conflicted director is, technically, entitled to vote). That being the case, such a conflicted, but eligible, director would be required to participate in a unanimous decision under 
                        <internal.reference refid="a167806">article 4.2</internal.reference>
                         of this document (
                        <ital>model article 8</ital>
                        ).
                      </paratext>
                    </para>
                  </division>
                </drafting.note>
              </defn.item>
              <defn.item id="a767500">
                <defn.term>Employee</defn.term>
                <defn>
                  <para>
                    <paratext>an individual who is, or has been, a director and/or an employee of, or who does provide or has provided consultancy services to, any Group Company.</paratext>
                  </para>
                </defn>
                <drafting.note id="a124183" jurisdiction="">
                  <head align="left" preservecase="true">
                    <headtext>Definition: Employee</headtext>
                  </head>
                  <division id="a000009" level="1">
                    <para>
                      <paratext>Although this definition uses the word 'Employee', it will also extend to non-executive directors who are not employed by the Group. Consider whether the management structure requires the definition to include persons carrying out any other role, such as consultants. Care should also be taken where any individual provides services to the company (whether as a non-executive director, consultant or otherwise) through a management or service company. In that case, the definition should extend to cover the individual concerned, as well as (or in place of) the management or service company which is the director or consultant.</paratext>
                    </para>
                  </division>
                </drafting.note>
              </defn.item>
              <defn.item id="a378573">
                <defn.term>Employee Trust</defn.term>
                <defn>
                  <para>
                    <paratext>a trust, the terms of which are approved by an Investor Majority, whose beneficiaries are the bona fide employees of the Group.</paratext>
                  </para>
                </defn>
              </defn.item>
              <defn.item id="a672918">
                <defn.term>Equity Shares</defn.term>
                <defn>
                  <para>
                    <paratext>the Preferred Shares and the Ordinary Shares.</paratext>
                  </para>
                </defn>
                <drafting.note id="a333765" jurisdiction="">
                  <head align="left" preservecase="true">
                    <headtext>Definition: Equity Shares</headtext>
                  </head>
                  <division id="a000010" level="1">
                    <para>
                      <paratext>The definition of 'Equity Shares' in this standard document is not strictly required, as the Articles do not anticipate any class of Shares other than the Preferred Shares and the Ordinary Shares. It is included to provide certainty for the directors.</paratext>
                    </para>
                    <para>
                      <paratext>
                        If any mechanism for the conversion of any Shares into Deferred Shares is included, or other means by which a new class of Shares may be created, this definition will take on more importance (to separate those Shares which are truly within the company's 'equity share capital' within the meaning of 
                        <link href="2-505-9329" style="ACTLinkPLCtoPLC">
                          <ital>section 548</ital>
                        </link>
                         of the CA 2006 from those which are not, such as preference shares).
                      </paratext>
                    </para>
                  </division>
                </drafting.note>
              </defn.item>
              <defn.item id="a980175">
                <defn.term>Exit</defn.term>
                <defn>
                  <para>
                    <paratext>a Share Sale, a Disposal or a Listing.</paratext>
                  </para>
                </defn>
              </defn.item>
              <defn.item id="a274761">
                <defn.term>Fair Value</defn.term>
                <defn>
                  <para>
                    <paratext>
                      has the meaning given in 
                      <internal.reference refid="a472853">article 20.4</internal.reference>
                      .
                    </paratext>
                  </para>
                </defn>
              </defn.item>
              <defn.item id="a115216">
                <defn.term>Family Trust</defn.term>
                <defn>
                  <para>
                    <paratext>as regards any particular Shareholder who is an individual (or deceased or former Shareholder who is an individual) any trust (whether arising under a settlement, declaration of trust or other instrument by whomsoever or wheresoever made, or under a testamentary disposition or on an intestacy) under which no immediate beneficial interest in any of the Shares in question is for the time being vested in any person other than the particular Shareholder and/or any of the Privileged Relations of that Shareholder (and so that for this purpose a person shall be considered to be beneficially interested in a Share if such Share or the income thereof is liable to be transferred or paid or applied or appointed to or for the benefit of any such person or any voting or other rights attaching thereto are exercisable by or as directed by any such person pursuant to the terms of the relevant trusts or in consequence of an exercise of a power or discretion conferred thereby on any person or persons).</paratext>
                  </para>
                </defn>
              </defn.item>
              <defn.item id="a292686">
                <defn.term>Financial Year</defn.term>
                <defn>
                  <para>
                    <paratext>an accounting reference period (as defined in section 391 of the Act) of the Company.</paratext>
                  </para>
                </defn>
              </defn.item>
              <defn.item id="a179466">
                <defn.term>First Offer Shareholders</defn.term>
                <defn>
                  <para>
                    <paratext>in respect of:</paratext>
                  </para>
                  <list type="loweralpha">
                    <list.item>
                      <para>
                        <paratext>an offer of Preferred Shares, the holders of Preferred Shares; and</paratext>
                      </para>
                    </list.item>
                    <list.item>
                      <para>
                        <paratext>an offer of Ordinary Shares, the holders of Ordinary Shares.</paratext>
                      </para>
                    </list.item>
                  </list>
                </defn>
              </defn.item>
              <defn.item id="a260152">
                <defn.term>Fund Manager</defn.term>
                <defn>
                  <para>
                    <paratext>a person whose principal business is to make, manage or advise upon investments in securities.</paratext>
                  </para>
                </defn>
              </defn.item>
              <defn.item id="a252826">
                <defn.term>Good Leaver</defn.term>
                <defn>
                  <para>
                    <paratext>an Employee who ceases to be an Employee and who is not a Bad Leaver or an Early Leaver [and shall include, without limitation, when the Directors (including the Investor Director) determine that a person is not a Bad Leaver.</paratext>
                  </para>
                </defn>
                <drafting.note id="a360944" jurisdiction="">
                  <head align="left" preservecase="true">
                    <headtext>Definition: Good Leavers</headtext>
                  </head>
                  <division id="a000011" level="1">
                    <para>
                      <paratext>
                        For general background on the 'Good Leaver', 'Bad Leaver' and 'Early Leaver' definitions, see 
                        <internal.reference refid="a817158">Drafting note, Definition: Bad Leavers</internal.reference>
                        .
                      </paratext>
                    </para>
                  </division>
                </drafting.note>
              </defn.item>
              <defn.item id="a253728">
                <defn.term>Group</defn.term>
                <defn>
                  <para>
                    <paratext>
                      the Company, any subsidiary or any holding company from time to time of the Company, and any subsidiary from time to time of a holding company of the Company from time to time and 
                      <defn.term>Group Company</defn.term>
                      : shall be construed accordingly.
                    </paratext>
                  </para>
                </defn>
              </defn.item>
              <defn.item id="a609896">
                <defn.term>holding company</defn.term>
                <defn>
                  <para>
                    <paratext>
                      has the meaning given in 
                      <internal.reference refid="a407766">article 1.11</internal.reference>
                      .
                    </paratext>
                  </para>
                </defn>
              </defn.item>
              <defn.item id="a196900">
                <defn.term>Independent Expert</defn.term>
                <defn>
                  <para>
                    <paratext>
                      the auditors for the time being of the Company or, if they decline the instruction, an independent firm of chartered accountants of [international] repute appointed by the Company and the Seller (or, for the purposes of 
                      <internal.reference refid="a75639">article 15.5</internal.reference>
                      , an Investor Majority) in accordance with 
                      <internal.reference refid="a1026593">article 20</internal.reference>
                      .
                    </paratext>
                  </para>
                </defn>
              </defn.item>
              <defn.item id="a223009">
                <defn.term>Institutional Investor</defn.term>
                <defn>
                  <para>
                    <paratext>a fund, partnership, body corporate, trust or other person or entity whose principal business is to make investments or a person whose business is to make, manage or advise upon investments for any of the foregoing.</paratext>
                  </para>
                </defn>
              </defn.item>
              <defn.item id="a579625">
                <defn.term>Investment Agreement</defn.term>
                <defn>
                  <para>
                    <paratext>the investment agreement dated on or around the Adoption Date between, amongst others, the Company and the Investors (as the same may have been varied, supplemented, adhered to or superseded in accordance with its terms [(or these Articles)] for the time being).</paratext>
                  </para>
                </defn>
                <drafting.note id="a228723" jurisdiction="">
                  <head align="left" preservecase="true">
                    <headtext>Definition: Investment Agreement</headtext>
                  </head>
                  <division id="a000012" level="1">
                    <para>
                      <paratext>
                        It is possible that 
                        <link href="9-505-5078" style="ACTLinkPLCtoPLC">
                          <ital>section 29</ital>
                        </link>
                         of the CA 2006 will include an investment agreement as an agreement to which Chapter 3 of Part 3 of the 
                        <link href="3-503-8567" style="ACTLinkPLCtoPLC">
                          <ital>CA 2006</ital>
                        </link>
                         will apply. In that case, a strict interpretation is that the investment agreement is a document which should be filed with Companies House. Given the private nature of the arrangements set out in the investment agreement, this will not be an acceptable conclusion for any investor. As was the debate under the 
                        <link href="2-505-5086" style="ACTLinkPLCtoPLC">
                          <ital>1985 Act</ital>
                        </link>
                        , It is arguable that express reference to the investment agreement in the Articles strengthens the argument that such agreement should be filed and a number of firms and venture capital houses take the view that the Articles should make no reference to the investment agreement.
                      </paratext>
                    </para>
                    <para>
                      <paratext>
                        In these Articles, the term is used (as optional wording) in the definition of 'Relevant Securities' and in 
                        <internal.reference refid="a926657">article 17.5</internal.reference>
                        .
                      </paratext>
                    </para>
                    <para>
                      <paratext>
                        If the definition of 'Investment Agreement' is included, the optional words in square brackets, referring to the Articles, should be included if reference is made to the Investment Agreement in 
                        <internal.reference refid="a926657">article 17.5</internal.reference>
                        .
                      </paratext>
                    </para>
                  </division>
                </drafting.note>
              </defn.item>
              <defn.item id="a838165">
                <defn.term>Investor</defn.term>
                <defn>
                  <para>
                    <paratext>
                      [a holder for the time being of Preferred Shares 
                      <bold>OR</bold>
                       [each of] [NAME OF INVESTOR] [, [NAME OF INVESTOR] and [NAME OF INVESTOR]] and its [or their] Permitted Transferees].
                    </paratext>
                  </para>
                </defn>
                <drafting.note id="a976415" jurisdiction="">
                  <head align="left" preservecase="true">
                    <headtext>Definition: Investor</headtext>
                  </head>
                  <division id="a000013" level="1">
                    <para>
                      <paratext>
                        Consideration should be given to whether there is any likely risk that a non-investor may acquire Preferred Shares. If so, it may not be appropriate to define an investor as any shareholder holding Preferred Shares. Under 
                        <internal.reference refid="a73365">article 19</internal.reference>
                        , any Sale Shares (which are Preferred Shares) not accepted by the preferred shareholders are then offered to the ordinary shareholders. That risk may be minimised by providing that if an ordinary shareholder acquires Preferred Shares, such Preferred Shares will automatically convert into Ordinary Shares (to avoid an ordinary shareholder acquiring rights intended for the investor only).
                      </paratext>
                    </para>
                  </division>
                </drafting.note>
              </defn.item>
              <defn.item id="a508401">
                <defn.term>Investor Consent</defn.term>
                <defn>
                  <para>
                    <paratext>the prior consent in writing of an Investor Majority.</paratext>
                  </para>
                </defn>
                <drafting.note id="a236813" jurisdiction="">
                  <head align="left" preservecase="true">
                    <headtext>Definition: Investor Consent</headtext>
                  </head>
                  <division id="a000014" level="1">
                    <para>
                      <paratext>The definition of 'Investor Consent' assumes that there is more than one Investor holding Preferred Shares. Although this document generally assumes that only one venture capital house has invested in the company, it is quite possible that that house will split its investment across a number of the funds it manages. In that case (and even though it is likely that each such fund will have delegated such consent matters to the same fund manager), it would not be appropriate to simply refer to the consent of the Investor.</paratext>
                    </para>
                  </division>
                </drafting.note>
              </defn.item>
              <defn.item id="a267866">
                <defn.term>Investor Director</defn.term>
                <defn>
                  <para>
                    <paratext>
                      has the meaning given in 
                      <internal.reference refid="a907940">article 6.1</internal.reference>
                      .
                    </paratext>
                  </para>
                </defn>
              </defn.item>
              <defn.item id="a544774">
                <defn.term>Investor Majority</defn.term>
                <defn>
                  <para>
                    <paratext>the holder(s) for the time being of not less than [PERCENTAGE]% by nominal value of all Preferred Shares held by Investors from time to time [(and all Ordinary Shares in issue from time to time resulting from the conversion of Preferred Shares held by Investors under these Articles)].</paratext>
                  </para>
                </defn>
                <drafting.note id="a908282" jurisdiction="">
                  <head align="left" preservecase="true">
                    <headtext>Definition: Investor Majority</headtext>
                  </head>
                  <division id="a000015" level="1">
                    <para>
                      <paratext>
                        The threshold to be set out in the definition of an 'Investor Majority' will usually be a matter to be determined exclusively between the investors, according to the relative holdings of Preferred Shares held by each of them. Note that the definition may be relevant to a consideration of whether the Articles contain any provision for entrenchment (see 
                        <internal.reference refid="a937842">Drafting note, Provision for entrenchment</internal.reference>
                        ).
                      </paratext>
                    </para>
                    <para>
                      <paratext>
                        The definition includes optional wording so that an investor which has converted some or all of its Preferred Shares into Ordinary Shares in accordance with 
                        <internal.reference refid="a103637">article 14</internal.reference>
                        <ital> </ital>
                        can be counted towards an investor majority. Including that wording will mean that the particular investor will retain many of the veto rights attached to the Preferred Shares, despite no longer holding those Shares. Management may consider that the investor should choose to either hold Ordinary Shares or to retain the Preferred Shares' rights (but not both). Note that if those optional words are included, care should be taken where the Preferred Shares and the Ordinary Shares have different nominal values, to ensure that neither class has a disproportionate right to veto investor majority decisions.
                      </paratext>
                    </para>
                  </division>
                </drafting.note>
              </defn.item>
              <defn.item id="a423914">
                <defn.term>Issue Price</defn.term>
                <defn>
                  <para>
                    <paratext>in respect of any Share, the subscription price paid (or agreed to be paid) in respect of that Share, including any share premium.</paratext>
                  </para>
                </defn>
              </defn.item>
              <defn.item id="a976444">
                <defn.term>Lien Enforcement Notice</defn.term>
                <defn>
                  <para>
                    <paratext>
                      means a notice in writing which complies with the requirements of 
                      <internal.reference refid="a850814">article 28.2</internal.reference>
                      .
                    </paratext>
                  </para>
                </defn>
              </defn.item>
              <defn.item id="a935361">
                <defn.term>Listing</defn.term>
                <defn>
                  <para>
                    <paratext>the successful application and admission of all or any of the Shares, or securities representing such Shares (including American depositary receipts, American depositary shares and/or other instruments) to the Official List of the Financial Conduct Authority or on the AIM market operated by the London Stock Exchange plc, or the Nasdaq National Stock Market of the Nasdaq Stock Market Inc., or to any recognised investment exchange (as defined in section 285 of the Financial Services and Markets Act 2000).</paratext>
                  </para>
                </defn>
              </defn.item>
              <defn.item id="a900448">
                <defn.term>Member of the Same Group</defn.term>
                <defn>
                  <para>
                    <paratext>as regards any company, a company which is from time to time a holding company or a subsidiary of that company or a subsidiary of any such holding company.</paratext>
                  </para>
                </defn>
              </defn.item>
              <defn.item id="a436895">
                <defn.term>Member of the Same Fund Group</defn.term>
                <defn>
                  <para>
                    <paratext>
                      if the Shareholder is a fund, partnership, company, syndicate or other entity whose business is managed by a Fund Manager (an 
                      <defn.term>Investment Fund</defn.term>
                      : ) or a nominee of that person:
                    </paratext>
                  </para>
                  <list type="loweralpha">
                    <list.item>
                      <para>
                        <paratext>any participant or partner in or member of any such Investment Fund or the holders of any unit trust which is a participant or partner in or member of any Investment Fund (but only in connection with the dissolution of the Investment Fund or any distribution of assets of the Investment Fund pursuant to the operation of the Investment Fund in the ordinary course of business);</paratext>
                      </para>
                    </list.item>
                    <list.item>
                      <para>
                        <paratext>any Investment Fund managed by that Fund Manager [or a Fund Manager which is a Member of the Same Group as that Fund Manager];</paratext>
                      </para>
                    </list.item>
                    <list.item>
                      <para>
                        <paratext>any trustee, nominee or custodian of such Investment Fund and vice versa;</paratext>
                      </para>
                    </list.item>
                    <list.item>
                      <para>
                        <paratext>the Fund Manager of that Investment Fund [or a Fund Manager of any other Investment Fund which is a Member of the Same Fund Group as that Investment Fund (or a nominee of any such Fund Manager)] and vice versa; or</paratext>
                      </para>
                    </list.item>
                    <list.item>
                      <para>
                        <paratext>any Member of the same Group as that Fund Manager.</paratext>
                      </para>
                    </list.item>
                  </list>
                </defn>
                <drafting.note id="a826876" jurisdiction="">
                  <head align="left" preservecase="true">
                    <headtext>Definition: Member of the Same Fund Group</headtext>
                  </head>
                  <division id="a000016" level="1">
                    <para>
                      <paratext>This definition should be drafted in consultation with the investor executives, to ensure that it is suitable for the particular way its funds and the management of those funds is structured. In particular, it may be necessary to adapt reference to Members of the Same Group as a Fund Manager, if such Fund Manager is a limited liability partnership, or other entity which is not a company.</paratext>
                    </para>
                  </division>
                </drafting.note>
              </defn.item>
              <defn.item id="a476391">
                <defn.term>Model Articles</defn.term>
                <defn>
                  <para>
                    <paratext>
                      the model articles for private companies limited by shares contained in Schedule 1 to The Companies (Model Articles) Regulations 2008 (
                      <ital>SI 2008/3229</ital>
                      ), as amended prior to the Adoption Date.
                    </paratext>
                  </para>
                </defn>
                <drafting.note id="a815079" jurisdiction="">
                  <head align="left" preservecase="true">
                    <headtext>Definition: Model Articles</headtext>
                  </head>
                  <division id="a000017" level="1">
                    <para>
                      <paratext>
                        For a copy of the Model Articles, see 
                        <link href="6-505-5094" style="ACTLinkPLCtoPLC">
                          <ital>The Companies (Model Articles) Regulations 2008</ital>
                        </link>
                         (
                        <ital>SI 2008/3229</ital>
                        ).
                      </paratext>
                    </para>
                    <para>
                      <paratext>
                        The Model Articles were amended with effect on and from 28 April 2013 by section 3 of the 
                        <link href="2-525-8852" style="ACTLinkPLCtoPLC">
                          <ital>Mental Health (Discrimination) Act 2013</ital>
                        </link>
                        . That Act revoked article 18(e) of the Model Articles under which a person would automatically cease to be a director upon the order of a court of competent jurisdiction that wholly or partly deprives a person from personally exercising any powers or rights which that person would otherwise have. The articles of a company incorporated on or after 28 April 2013 will therefore not include model article 18(e), unless the company chooses to insert an equivalent provision. A company incorporated before that date and whose articles include model article 18(e) (or an equivalent provision) should consider removing it. Although the provision may not be directly discriminatory, unless the company can objectively justify its inclusion as a proportionate means of achieving a legitimate business aim, it may still fall foul of the Equality Act 2010. For further discussion of this issue, see 
                        <link href="8-525-8868" style="ACTLinkPLCtoPLC">
                          <ital>Ask, Articles: removal of directors: mental health: must a company delete model article 18(e) from its articles?</ital>
                        </link>
                      </paratext>
                    </para>
                  </division>
                </drafting.note>
              </defn.item>
              <defn.item id="a481362">
                <defn.term>Ordinary Shares</defn.term>
                <defn>
                  <para>
                    <paratext>the ordinary shares of £[AMOUNT] each in the capital of the Company.</paratext>
                  </para>
                </defn>
              </defn.item>
              <defn.item id="a282169">
                <defn.term>Original Shareholder</defn.term>
                <defn>
                  <para>
                    <paratext>
                      has the meaning given in 
                      <internal.reference refid="a879121">article 18.1</internal.reference>
                      .
                    </paratext>
                  </para>
                </defn>
              </defn.item>
              <defn.item id="a712959">
                <defn.term>Permitted Transfer</defn.term>
                <defn>
                  <para>
                    <paratext>
                      a transfer of Shares made in accordance with 
                      <internal.reference refid="a817012">article 18</internal.reference>
                      .
                    </paratext>
                  </para>
                </defn>
              </defn.item>
              <defn.item id="a344695">
                <defn.term>Permitted Transferee</defn.term>
                <defn>
                  <para>
                    <paratext>in relation to:</paratext>
                  </para>
                  <list type="loweralpha">
                    <list.item>
                      <para>
                        <paratext>a Shareholder who is an individual, any of their Privileged Relations or the trustee(s) of a Family Trust;</paratext>
                      </para>
                    </list.item>
                    <list.item>
                      <para>
                        <paratext>a Shareholder which is a company, a Member of the Same Group as that company; and</paratext>
                      </para>
                    </list.item>
                    <list.item>
                      <para>
                        <paratext>an Investor, to (i) a Member of the Same Fund Group as that Investor, or (ii) a Member of the Same Group as that Investor, or (iii) any nominee of that Investor (or of a Member of the Same Fund Group as that Investor) [, or (iv) to any other Investor] [,or (v) to any other Credit Institution or Institutional Investor].</paratext>
                      </para>
                    </list.item>
                  </list>
                </defn>
                <drafting.note id="a890964" jurisdiction="">
                  <head align="left" preservecase="true">
                    <headtext>Definition: Investor permitted transferees</headtext>
                  </head>
                  <division id="a000018" level="1">
                    <para>
                      <paratext>
                        The optional wording of sub-paragraphs (c)(iv) and c(v) of the definition of 'Permitted Transferee' should be resisted by management. If those words are included, an investor will be able to avoid the restrictions on transfers of shares in these Articles (in particular the pre-emption provisions in 
                        <internal.reference refid="a73365">article 19</internal.reference>
                        ) and effect an exit from its investment by selling its shareholding to, for example, another venture capital house. If more than one venture capital house has invested in the company, it will be in each investor's interest to resist the inclusion of sub-paragraph (c)(v) to avoid changes in the constitution of any investor syndicate without its consent.
                      </paratext>
                    </para>
                  </division>
                </drafting.note>
              </defn.item>
              <defn.item id="a243729">
                <defn.term>Preferred Shares</defn.term>
                <defn>
                  <para>
                    <paratext>the preferred ordinary shares of £[AMOUNT] each in the capital of the Company.</paratext>
                  </para>
                </defn>
              </defn.item>
              <defn.item id="a405885">
                <defn.term>Privileged Relation</defn.term>
                <defn>
                  <para>
                    <paratext>in relation to a Shareholder who is an individual (or a deceased or former Shareholder who is an individual), a spouse, civil partner (as defined in the Civil Partnerships Act 2004), child or grandchild (including step or adopted or illegitimate child and their issue).</paratext>
                  </para>
                </defn>
              </defn.item>
              <defn.item id="a133975">
                <defn.term>Qualifying Listing</defn.term>
                <defn>
                  <para>
                    <paratext>a fully underwritten Listing which values the Shares the subject of the Listing at, in aggregate, no less than £[AMOUNT] or more at a price per Share of £[AMOUNT] or more (such Share price being adjusted to take account of any subdivision, consolidation or other re-organisation of the equity share capital of the Company after the Adoption Date) [, but excluding for the purposes of such valuation any Shares issued or subscribed at the time of or in connection with the Qualifying Listing, other than any Shares issued under the terms of a Share Option Scheme] [or any Listing designated by notice in writing (addressed to the Company) as a Qualifying Listing by an Investor Majority].</paratext>
                  </para>
                </defn>
                <drafting.note id="a923216" jurisdiction="">
                  <head align="left" preservecase="true">
                    <headtext>Definition: Qualifying Listing</headtext>
                  </head>
                  <division id="a000019" level="1">
                    <para>
                      <paratext>
                        For general information, see 
                        <internal.reference refid="a515453">Drafting note, Listing or Qualifying Listing</internal.reference>
                        .
                      </paratext>
                    </para>
                    <para>
                      <paratext>The definition includes optional wording relating to a number of matters, which should be considered based in the investors' instructions.</paratext>
                    </para>
                    <para>
                      <paratext>The exclusion of value attached to new shares issued in connection with a Listing is designed to ensure that a true valuation of the company, as it existed prior to the Listing, is achieved.</paratext>
                    </para>
                    <para>
                      <paratext>The inclusion of the final set of words in square brackets would allow the investors to disregard the financial aspects of a Listing, for the benefit of management (as the priority financial rights of the Preferred Shares will be removed on a Qualifying Listing).</paratext>
                    </para>
                  </division>
                </drafting.note>
              </defn.item>
              <defn.item condition="optional" id="a598337">
                <defn.term>Relevant Period: the period of [NUMBER] months from the Adoption Date.</defn.term>
                <defn>
                  <para>
                    <paratext/>
                  </para>
                </defn>
                <drafting.note id="a363791" jurisdiction="">
                  <head align="left" preservecase="true">
                    <headtext>Definition: Relevant Period</headtext>
                  </head>
                  <division id="a000020" level="1">
                    <para>
                      <paratext>
                        Only include this definition if the optional wording relating to the Relevant Period is included in the definition of 
                        <internal.reference refid="a454186">Bad Leaver</internal.reference>
                        .
                      </paratext>
                    </para>
                  </division>
                </drafting.note>
              </defn.item>
              <defn.item id="a663176">
                <defn.term>Relevant Securities</defn.term>
                <defn>
                  <para>
                    <paratext>any Shares or other securities convertible into, or carrying the right to subscribe for Shares, issued by the Company after the Adoption Date, other than:</paratext>
                  </para>
                  <list type="loweralpha">
                    <list.item>
                      <para>
                        <paratext>the grant of any options under a Share Option Plan (and the issue of Shares on the exercise of any such options);</paratext>
                      </para>
                    </list.item>
                    <list.item>
                      <para>
                        <paratext>any Shares or other securities issued by the Company in order for the Company to comply with its obligations under these Articles [and/or the Investment Agreement]; and</paratext>
                      </para>
                    </list.item>
                    <list.item>
                      <para>
                        <paratext>any Shares or other securities issued in consideration of the acquisition by the Company of any company or business which has been approved by Investor Consent.</paratext>
                      </para>
                    </list.item>
                  </list>
                </defn>
              </defn.item>
              <defn.item id="a481660">
                <defn.term>Relevant Shares</defn.term>
                <defn>
                  <para>
                    <paratext>in relation to an Employee means all Shares held by:</paratext>
                  </para>
                  <list type="loweralpha">
                    <list.item>
                      <para>
                        <paratext>the Employee in question; and</paratext>
                      </para>
                    </list.item>
                    <list.item>
                      <para>
                        <paratext>any Permitted Transferee of that Employee (other than those Shares held by those persons that an Investor Majority declares itself satisfied were not acquired directly or indirectly from the Employee or by reason of their relationship with the Employee) [,</paratext>
                      </para>
                    </list.item>
                    <list.item>
                      <para>
                        <paratext>and including any Shares acquired by any such person after the date the relevant Transfer Notice is deemed given but before completion of the transfer of Shares pursuant to the relevant Transfer Notice].</paratext>
                      </para>
                    </list.item>
                  </list>
                </defn>
              </defn.item>
              <defn.item id="a662171">
                <defn.term>Restricted Shares</defn.term>
                <defn>
                  <para>
                    <paratext>
                      has the meaning given in 
                      <internal.reference refid="a890822">article 21.7</internal.reference>
                      .
                    </paratext>
                  </para>
                </defn>
              </defn.item>
              <defn.item id="a298262">
                <defn.term>Sale Proceeds</defn.term>
                <defn>
                  <para>
                    <paratext>means the consideration payable (including any deferred and/or contingent consideration) whether in cash or otherwise to those Shareholders selling Shares under a Share Sale [(less any fees and expenses payable by the selling Shareholders under that Share Sale)].</paratext>
                  </para>
                </defn>
                <drafting.note id="a792617" jurisdiction="">
                  <head align="left" preservecase="true">
                    <headtext>Sale Proceeds</headtext>
                  </head>
                  <division id="a000021" level="1">
                    <para>
                      <paratext>
                        The definition of "Sale Proceeds" is used in 
                        <internal.reference refid="a723154">article 12</internal.reference>
                        , which requires the proceeds of a Share Sale to be distributed among the selling shareholders in the manner set out in 
                        <internal.reference refid="a302537">article 11</internal.reference>
                        . Where the share sale involves deferred or contingent consideration, the ordinary shareholders should seek to include the words in square brackets in 
                        <internal.reference refid="a175418">article 12.1(b)</internal.reference>
                        , to resist potential liability for failure to comply with their obligation under that article as a result of any matter which is not within their control.
                      </paratext>
                    </para>
                    <para>
                      <paratext>Including the words in square brackets in the definition of "Sale Proceeds" will mean that all costs incurred by the selling shareholders will be borne proportionately by each of them. Consider whether the maximum aggregate fees and expenses should be capped, or subject to some form of prior approval.</paratext>
                    </para>
                  </division>
                </drafting.note>
              </defn.item>
              <defn.item id="a743036">
                <defn.term>Sale Shares</defn.term>
                <defn>
                  <para>
                    <paratext>
                      has the meaning given in 
                      <internal.reference refid="a124078">article 19.2(a)</internal.reference>
                      .
                    </paratext>
                  </para>
                </defn>
              </defn.item>
              <defn.item id="a918368">
                <defn.term>Second Offer Shareholders</defn.term>
                <defn>
                  <para>
                    <paratext>in respect of:</paratext>
                  </para>
                  <list type="loweralpha">
                    <list.item>
                      <para>
                        <paratext>an offer of Preferred Shares, the holders of Ordinary Shares; and</paratext>
                      </para>
                    </list.item>
                    <list.item>
                      <para>
                        <paratext>an offer of Ordinary Shares, the holders of Preferred Shares.</paratext>
                      </para>
                    </list.item>
                  </list>
                </defn>
              </defn.item>
              <defn.item id="a540406">
                <defn.term>Seller</defn.term>
                <defn>
                  <para>
                    <paratext>
                      has the meaning given in 
                      <internal.reference refid="a130715">article 19.2</internal.reference>
                      .
                    </paratext>
                  </para>
                </defn>
              </defn.item>
              <defn.item id="a264517">
                <defn.term>Shareholder</defn.term>
                <defn>
                  <para>
                    <paratext>a holder for the time being of any Share or Shares[, but excluding any member holding Shares in treasury].</paratext>
                  </para>
                </defn>
                <drafting.note id="a589672" jurisdiction="">
                  <head align="left" preservecase="true">
                    <headtext>Definition: Shareholder: treasury shares</headtext>
                  </head>
                  <division id="a000022" level="1">
                    <para>
                      <paratext>
                        Under 
                        <link href="4-506-4754" style="ACTLinkPLCtoPLC">
                          <ital>section 724</ital>
                        </link>
                         of the CA 2006, a private company may hold its own shares in treasury. In that case, the company must be included in its own register of members as a holder of its own shares (
                        <link href="8-507-0197" style="ACTLinkPLCtoPLC">
                          <ital>section 124(2)</ital>
                        </link>
                        , CA 2006).
                      </paratext>
                    </para>
                    <para>
                      <paratext>These Articles confer rights, powers and obligations upon "Shareholders". By including the words in square brackets within the definition of "Shareholder", no such right, power or obligation will be conferred upon the Company where it is a member of itself due to a holding of treasury shares.</paratext>
                    </para>
                    <para>
                      <paratext>Consider whether this is appropriate in every instance the term "Shareholder" is used in these Articles, or whether certain references to “"Shareholder" should include the Company.</paratext>
                    </para>
                  </division>
                </drafting.note>
              </defn.item>
              <defn.item id="a812308">
                <defn.term>Share Option Scheme</defn.term>
                <defn>
                  <para>
                    <paratext>any share option scheme of the Company which an Investor Majority identifies in writing as being a Share Option Scheme for the purposes of these Articles.</paratext>
                  </para>
                </defn>
              </defn.item>
              <defn.item id="a729986">
                <defn.term>Shares</defn.term>
                <defn>
                  <para>
                    <paratext>
                      shares (of any class) in the capital of the Company and 
                      <defn.term>Share</defn.term>
                      : shall be construed accordingly.
                    </paratext>
                  </para>
                </defn>
              </defn.item>
              <defn.item id="a691300">
                <defn.term>Share Sale</defn.term>
                <defn>
                  <para>
                    <paratext>the sale of (or the grant of a right to acquire or to dispose of) any Shares (in one transaction or as a series of transactions) which would, if completed, result in the buyer of those Shares (or grantee of that right) and persons acting in concert with the buyer of those Shares together acquiring a Controlling Interest, except where the identities of the shareholders in the buyer and the proportion of shares of the buyer held by each of them following completion of the sale are the same as the identities of the Shareholders and their respective shareholdings in the Company immediately before the sale.</paratext>
                  </para>
                </defn>
              </defn.item>
              <defn.item id="a316240">
                <defn.term>subsidiary</defn.term>
                <defn>
                  <para>
                    <paratext>
                      has the meaning given in 
                      <internal.reference refid="a407766">article 1.11</internal.reference>
                      .
                    </paratext>
                  </para>
                </defn>
              </defn.item>
              <defn.item id="a883422">
                <defn.term>Termination Date</defn.term>
                <defn>
                  <para>
                    <paratext/>
                  </para>
                  <list type="loweralpha">
                    <list.item>
                      <para>
                        <paratext>where employment ceases by virtue of notice given by the employer to the employee, the date on which notice of termination was served;</paratext>
                      </para>
                    </list.item>
                    <list.item>
                      <para>
                        <paratext>where a contract of employment is terminated by the employer and a payment is made in lieu of notice, the date on which notice of termination was served;</paratext>
                      </para>
                    </list.item>
                    <list.item>
                      <para>
                        <paratext>where an Employee dies, the date of their death;</paratext>
                      </para>
                    </list.item>
                    <list.item>
                      <para>
                        <paratext>where the Employee concerned is a director but not an employee, the date on which their service agreement (or other terms of appointment) with the relevant Group Company is terminated; or</paratext>
                      </para>
                    </list.item>
                    <list.item>
                      <para>
                        <paratext>in any other case, the date on which the employment or holding of office is terminated.</paratext>
                      </para>
                    </list.item>
                  </list>
                </defn>
                <drafting.note id="a158687" jurisdiction="">
                  <head align="left" preservecase="true">
                    <headtext>Definition: Termination Date</headtext>
                  </head>
                  <division id="a000023" level="1">
                    <para>
                      <paratext>
                        If the definition of 'Employee' is to cover consultants or any other person (as well as directors and employees; see 
                        <internal.reference refid="a124183">Drafting note, Definition: Employee</internal.reference>
                        ), care should be taken to ensure that the Termination Date in respect of that category of persons is adequately defined.
                      </paratext>
                    </para>
                    <para>
                      <paratext>
                        As drafted, the good/bad leaver provisions of 
                        <internal.reference refid="a368481">article 21.4</internal.reference>
                         are triggered on an Employee becoming a Departing Employee. A Departing Employee is deemed to have served a transfer notice in respect of all their Shares prior to, or within a specified period of time after, the relevant Termination Date. So, an Employee who is aware that their employment is to be terminated may seek to avoid the compulsory transfer provisions (and the associated restrictions on the transfer price) by serving a voluntary transfer notice under 
                        <internal.reference refid="a73365">article 19</internal.reference>
                         before the relevant Termination Date. 
                        <internal.reference refid="a125468">article 17.9</internal.reference>
                         operates to revoke a voluntary Transfer Notice if a Transfer Notice is deemed to be served before the voluntary sale process has completed. However, if that sale process completes before the Termination Date, an Employee who would be categorised as a Bad Leaver may be able to avoid the price restrictions applicable to Bad Leavers under 
                        <internal.reference refid="a627423">article 21.5</internal.reference>
                         by serving a voluntary transfer notice as soon as they become aware of their impending termination.
                      </paratext>
                    </para>
                    <para>
                      <paratext>To counter this risk, it may be possible to amend the definition of Termination Date, so that a Transfer Notice is deemed served at an earlier stage in the process. However, this may have a potentially unfair effect on Employees. For example, deeming the Termination Date of potential redundancy candidates to be a date earlier than the actual date of termination may deprive such a person of their Shares, for less than market value, even if their employment continues uninterrupted following completion of the redundancy consultation process. It may be preferable to address these risks through a different categorisation of who is a Good Leaver (and will therefore receive market value for their Shares following service of a Deemed Transfer Notice).</paratext>
                    </para>
                  </division>
                </drafting.note>
              </defn.item>
              <defn.item id="a669351">
                <defn.term>Transfer Notice</defn.term>
                <defn>
                  <para>
                    <paratext>
                      has the meaning given in 
                      <internal.reference refid="a130715">article 19.2</internal.reference>
                      .
                    </paratext>
                  </para>
                </defn>
              </defn.item>
              <defn.item id="a879711">
                <defn.term>Transfer Price</defn.term>
                <defn>
                  <para>
                    <paratext>
                      has the meaning given in 
                      <internal.reference refid="a1026593">article 20</internal.reference>
                      .
                    </paratext>
                  </para>
                </defn>
              </defn.item>
              <defn.item condition="optional" id="a825560">
                <defn.term>Writing or written</defn.term>
                <defn>
                  <para>
                    <paratext>the representation or reproduction of words, symbols or other information in a visible form by any method or combination of methods, whether sent or supplied in electronic form or otherwise, save that, in relation to a Transfer Notice (or Deemed Transfer Notice), "writing" or "written" shall not include the sending or supply of notices, documents or information in electronic form (other than by fax).</paratext>
                  </para>
                </defn>
                <drafting.note id="a190752" jurisdiction="">
                  <head align="left" preservecase="true">
                    <headtext>Writing or written</headtext>
                  </head>
                  <division id="a000024" level="1">
                    <para>
                      <paratext>
                        The definition in the standard document amends the definition of "writing" used in the Model Articles specifically to exclude the use of electronic forms of communication (other than fax) when the parties are serving a Transfer Notice under the provisions dealing with the transfer of shares in the company. In those cases, where a more formal procedure may be preferred, the standard document provides that electronic forms of communication (other than by fax) are specifically excluded for the purposes of serving the various Transfer Notices that trigger those transfer procedures. Any further notices required to be served to complete such procedures may take electronic form and be served by electronic means and so, if that is not the preferred approach, consider amending the wording of 
                        <internal.reference refid="a678785">article 29.3</internal.reference>
                         (which deals with proof of service of Transfer Notices) as well as amending the definition of "Writing or written".
                      </paratext>
                    </para>
                    <para>
                      <paratext>
                        Consider also whether there are other types of notice which should not be communicated or served by electronic means, such as documents that require a response within a specific time frame or the contents of which will have a material bearing on the recipient. For example, 
                        <internal.reference refid="a707506">article 19.9</internal.reference>
                         requires an offeree of new shares to respond with their acceptance within a prescribed period.
                      </paratext>
                    </para>
                    <para>
                      <paratext>
                        Electronic forms of communication should make the day-to-day decision making and administration of the company easier and more efficient for the directors. 
                        <internal.reference refid="a694601">article 4.11</internal.reference>
                         of the standard document requires that any decisions taken by electronic means by the directors be recorded by them in a form that enables the company to retain a copy of such decisions.
                      </paratext>
                    </para>
                  </division>
                </drafting.note>
              </defn.item>
            </subclause1>
            <subclause1 id="a67735">
              <identifier>1.2</identifier>
              <para>
                <paratext>Headings in these Articles shall not affect the interpretation of these Articles.</paratext>
              </para>
            </subclause1>
            <subclause1 id="a847471">
              <identifier>1.3</identifier>
              <para>
                <paratext>Unless the context otherwise requires, words in the singular shall include the plural and the plural shall include the singular.</paratext>
              </para>
            </subclause1>
            <subclause1 id="a242681">
              <identifier>1.4</identifier>
              <para>
                <paratext>Unless the context otherwise requires, a reference to one gender shall include a reference to the other genders.</paratext>
              </para>
            </subclause1>
            <subclause1 id="a1057052">
              <identifier>1.5</identifier>
              <para>
                <paratext>Save as otherwise specifically provided in these Articles, words and expressions which have particular meanings in the Model Articles shall have the same meanings in these Articles, subject to which and unless the context otherwise requires, words and expressions which have particular meanings in the Act shall have the same meanings in these Articles (but excluding any statutory modification of them not in force on the Adoption Date).</paratext>
              </para>
            </subclause1>
            <subclause1 id="a400488">
              <identifier>1.6</identifier>
              <para>
                <paratext>A reference in these Articles to:</paratext>
              </para>
              <subclause2 id="a214860">
                <identifier>(a)</identifier>
                <para>
                  <paratext>
                    an 
                    <bold>Article</bold>
                     is a reference to the relevant numbered article of these Articles; and
                  </paratext>
                </para>
              </subclause2>
              <subclause2 id="a37323">
                <identifier>(b)</identifier>
                <para>
                  <paratext>
                    a 
                    <bold>model article</bold>
                     is a reference to the relevant article,
                  </paratext>
                </para>
              </subclause2>
              <para>
                <paratext>unless expressly provided otherwise.</paratext>
              </para>
            </subclause1>
            <subclause1 id="a879515">
              <identifier>1.7</identifier>
              <para>
                <paratext>
                  A reference to legislation or a legislative provision is a reference to it as [amended, extended or re-enacted from time to time 
                  <bold>OR</bold>
                   it is in force on the Adoption Date]. A reference to legislation or a legislative provision shall include all subordinate legislation made [from time to time 
                  <bold>OR</bold>
                   as at the Adoption Date] under that legislation or legislative provision.
                </paratext>
              </para>
            </subclause1>
            <subclause1 id="a146549">
              <identifier>1.8</identifier>
              <para>
                <paratext>
                  Any words following the terms 
                  <bold>including</bold>
                  , 
                  <bold>include</bold>
                  , 
                  <bold>in particular</bold>
                  , 
                  <bold>for example</bold>
                   or any similar expression shall be construed as illustrative and shall not limit the sense of the words, description, definition, phrase or term preceding those terms.
                </paratext>
              </para>
            </subclause1>
            <subclause1 id="a823285">
              <identifier>1.9</identifier>
              <para>
                <paratext>
                  Where the context permits, 
                  <bold>other</bold>
                   and 
                  <bold>otherwise</bold>
                   are illustrative and shall not limit the sense of the words preceding them.
                </paratext>
              </para>
            </subclause1>
            <subclause1 condition="optional" id="a764618">
              <identifier>1.10</identifier>
              <para>
                <paratext>A reference in these Articles to a holder, or the holder(s), of Shares, Equity Shares or any class of Shares as the case may be shall, in each case, be deemed to exclude any member holding Shares in treasury.</paratext>
              </para>
              <drafting.note id="a110149" jurisdiction="">
                <head align="left" preservecase="true">
                  <headtext>Treasury shares</headtext>
                </head>
                <division id="a000025" level="1">
                  <para>
                    <paratext>
                      Under 
                      <link href="4-506-4754" style="ACTLinkPLCtoPLC">
                        <ital>section 724</ital>
                      </link>
                       of the CA 2006, a private company may hold its own shares in treasury. In that case, the company must be included in its own register of members as a holder of its own shares (
                      <link href="8-507-0197" style="ACTLinkPLCtoPLC">
                        <ital>section 124(2)</ital>
                      </link>
                      , CA 2006). Numerous provisions of these articles confer rights, powers and obligations upon holders of:
                    </paratext>
                  </para>
                  <list type="bulleted">
                    <list.item>
                      <para>
                        <paratext>Shares.</paratext>
                      </para>
                    </list.item>
                    <list.item>
                      <para>
                        <paratext>Equity Shares.</paratext>
                      </para>
                    </list.item>
                    <list.item>
                      <para>
                        <paratext>Preferred Shares.</paratext>
                      </para>
                    </list.item>
                    <list.item>
                      <para>
                        <paratext>Ordinary Shares.</paratext>
                      </para>
                    </list.item>
                  </list>
                  <para>
                    <paratext>Including the words in square brackets will ensure that the Company is not considered a holder of any such Shares for the purpose of any provision of these Articles.</paratext>
                  </para>
                  <para>
                    <paratext>Consider whether this is appropriate in every instance, or whether the Company ought to be considered a holder of particular shares for any provision of these Articles.</paratext>
                  </para>
                </division>
              </drafting.note>
            </subclause1>
            <subclause1 id="a407766">
              <identifier>1.11</identifier>
              <para>
                <paratext>
                  A reference to a 
                  <bold>holding company</bold>
                   or a 
                  <bold>subsidiary</bold>
                   means a holding company or a subsidiary (as the case may be) as defined in section 1159 of the Act [and for the purposes only of the membership requirement contained in sections 1159(1)(b) and (c), a company shall be treated as a member of another company even if its shares in that other company are registered in the name of:
                </paratext>
              </para>
              <subclause2 id="a515793">
                <identifier>(a)</identifier>
                <para>
                  <paratext>another person (or its nominee), by way of security or in connection with the taking of security; or</paratext>
                </para>
              </subclause2>
              <subclause2 id="a322206">
                <identifier>(b)</identifier>
                <para>
                  <paratext>its nominee.]</paratext>
                </para>
              </subclause2>
              <para>
                <paratext>[In the case of a limited liability partnership which is a subsidiary of a company or another limited liability partnership, section 1159 of the Act shall be construed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paratext>
              </para>
              <drafting.note id="a482041" jurisdiction="">
                <head align="left" preservecase="true">
                  <headtext>Subsidiary and holding companies</headtext>
                </head>
                <division id="a000026" level="1">
                  <para>
                    <paratext>
                      This article defines "holding company" and "subsidiary" by reference to the meanings given to those terms in 
                      <link href="6-505-7253" style="ACTLinkPLCtoPLC">
                        <ital>section 1159</ital>
                      </link>
                       of the CA 2006.
                    </paratext>
                  </para>
                  <division id="a129184" level="2">
                    <head align="left" preservecase="true">
                      <headtext>Decision in Enviroco</headtext>
                    </head>
                    <para>
                      <paratext>
                        Under 
                        <link href="6-505-7253" style="ACTLinkPLCtoPLC">
                          <ital>section 1159</ital>
                        </link>
                        , a company is a "subsidiary" of another company (its "holding company") if the holding company meets one of the following tests:
                      </paratext>
                    </para>
                    <list type="bulleted">
                      <list.item>
                        <para>
                          <paratext>It holds a majority of the voting rights in the subsidiary (first test).</paratext>
                        </para>
                      </list.item>
                      <list.item>
                        <para>
                          <paratext>It is a member of the subsidiary and has the right to appoint or remove a majority of its board of directors (second test).</paratext>
                        </para>
                      </list.item>
                      <list.item>
                        <para>
                          <paratext>It is a member of the subsidiary and controls alone, under an agreement with other members, a majority of the voting rights (third test).</paratext>
                        </para>
                      </list.item>
                    </list>
                    <para>
                      <paratext>Membership of a company, which is required under the second and third tests, is a question of fact. Therefore, if company A is not a member of company B (that is, company A is not entered in company B's register of members), it cannot be the holding company of company B under the second or third tests.</paratext>
                    </para>
                    <para>
                      <paratext>
                        This issue was highlighted in the Court of Appeal's decision in 
                        <link href="D-000-0207" style="ACTLinkURL">
                          <ital>Enviroco Ltd v Farstad Supply A/S [2009] EWCA Civ 1399</ital>
                        </link>
                        , which was upheld by the Supreme Court in 
                        <link href="D-000-0170" style="ACTLinkURL">
                          <ital>Farstad Supply AS v Enviroco Ltd [2011] UKSC 16</ital>
                        </link>
                        . In this case, a company (Asco) transferred its shares in its subsidiary (Enviroco) to a lender as security. Enviroco entered the lender's name in the register of members as the holder of those shares. As a result, it was held that Asco was no longer a member of Enviroco which meant, in turn, that Enviroco ceased to be a subsidiary of Asco within the meaning of 
                        <link href="6-505-7253" style="ACTLinkPLCtoPLC">
                          <ital>section 1159</ital>
                        </link>
                        .
                      </paratext>
                    </para>
                    <para>
                      <paratext>
                        To avoid the situation that arose in Enviroco, the wording in square brackets can be included to make it clear that the membership requirement in the second and third tests under 
                        <link href="6-505-7253" style="ACTLinkPLCtoPLC">
                          <ital>section 1159</ital>
                        </link>
                         will continue to be satisfied where the shares are held by a lender by way of security, or by a nominee.
                      </paratext>
                    </para>
                    <para>
                      <paratext>
                        For further consideration of this issue, see clause 1.6 of 
                        <link href="5-107-3795" style="ACTLinkPLCtoPLC">
                          <ital>Standard clause, Interpretation</ital>
                        </link>
                         and the related integrated drafting notes.
                      </paratext>
                    </para>
                  </division>
                  <division id="a605609" level="2">
                    <head align="left" preservecase="true">
                      <headtext>Limited liability partnerships</headtext>
                    </head>
                    <para>
                      <paratext>
                        The definition of subsidiary under 
                        <link href="6-505-7253" style="ACTLinkPLCtoPLC">
                          <ital>section 1159</ital>
                        </link>
                         applies to any body corporate (
                        <ital>section 1159(4), Companies Act 2006</ital>
                        ) which means that it should capture limited liability partnerships (LLPs). However, it is unclear how the reference to voting rights in the first test under section 1159(1)(a) and the reference to the appointment or removal of a majority of directors in the second test in section 1159(1)(b) should be interpreted in relation to LLPs. If, for example, a shareholder's group includes an LLP, consider adding wording to 
                        <internal.reference refid="a407766">article 1.11</internal.reference>
                         to clarify the application of section 1159(1) in relation to LLPs.
                      </paratext>
                    </para>
                    <para>
                      <paratext>
                        For further information on this issue, see clause 1.6 of 
                        <link href="5-107-3795" style="ACTLinkPLCtoPLC">
                          <ital>Standard clause, Interpretation</ital>
                        </link>
                         and the related integrated drafting notes.
                      </paratext>
                    </para>
                  </division>
                </division>
              </drafting.note>
            </subclause1>
          </clause>
          <clause id="a400367">
            <identifier>2.</identifier>
            <head align="left" preservecase="true">
              <headtext>Adoption of the Model Articles</headtext>
            </head>
            <subclause1 id="a328943">
              <identifier>2.1</identifier>
              <para>
                <paratext>The Model Articles shall apply to the Company, except in so far as they are modified or excluded by these Articles or are inconsistent with these Articles, and, subject to any such modifications, exclusions or inconsistencies, shall together with these Articles constitute the articles of association of the Company to the exclusion of any other articles or regulations set out in any statute or in any statutory instrument or other subordinate legislation. [A copy is set out in the schedule to these Articles.]</paratext>
              </para>
              <drafting.note id="a851755" jurisdiction="">
                <head align="left" preservecase="true">
                  <headtext>Adoption of the Model Articles</headtext>
                </head>
                <division id="a000027" level="1">
                  <para>
                    <paratext>
                      The standard document is based on the model articles for private companies limited by shares as set out in Schedule 1 to the 
                      <link href="6-505-5094" style="ACTLinkPLCtoPLC">
                        <ital>Companies (Model Articles) Regulations 2008</ital>
                      </link>
                      <ital> (SI 2008/3229)</ital>
                       (Model Articles) but with specific exclusions and amendments to reflect the requirements of the investment, as well as other appropriate changes.
                    </paratext>
                  </para>
                  <para>
                    <paratext>
                      The Model Articles were amended with effect on and from 28 April 2013 by section 3 of the 
                      <link href="2-525-8852" style="ACTLinkPLCtoPLC">
                        <ital>Mental Health (Discrimination) Act 2013</ital>
                      </link>
                      . That Act revoked article 18(e) of the Model Articles under which a person would automatically cease to be a director upon the order of a court of competent jurisdiction that wholly or partly deprives a person from personally exercising any powers or rights which that person would otherwise have. The articles of a company incorporated on or after 28 April 2013 will therefore not include model article 18(e), unless the company chooses to insert an equivalent provision. A company incorporated before that date and whose articles include model article 18(e) (or an equivalent provision) should consider removing it. Although the provision may not be directly discriminatory, unless the company can objectively justify its inclusion as a proportionate means of achieving a legitimate business aim, it may still fall foul of the Equality Act 2010. For further discussion of this issue, see Ask, 
                      <link href="8-525-8868" style="ACTLinkPLCtoPLC">
                        <ital>Ask, Articles: removal of directors: mental health: must a company delete model article 18(e) from its articles?</ital>
                      </link>
                    </paratext>
                  </para>
                  <para>
                    <paratext>An alternative approach to that taken in the standard document is to adopt long-form articles. The approach taken by this standard document makes the articles shorter and makes it easier to find new provisions that have been introduced. However, it also means that it is necessary to consider which of the provisions of the Model Articles should not apply and to check carefully that those not needed have been properly excluded.</paratext>
                  </para>
                  <para>
                    <paratext>
                      For commentary on the provisions of the Model Articles as they relate to private companies limited by shares, see 
                      <link href="8-384-4772" style="ACTLinkPLCtoPLC">
                        <ital>Practice note, Model articles: private companies limited by shares: Companies Act 2006</ital>
                      </link>
                      .
                    </paratext>
                  </para>
                </division>
              </drafting.note>
            </subclause1>
            <subclause1 id="a852328">
              <identifier>2.2</identifier>
              <para>
                <paratext>Model articles 7, 8, 9(1) [and (3)], 11(2) and (3), 12, [13,] 14(1) to (4) (inclusive), [16,] [18(e),] 22, 26(5), 38, 39, [44(2),] [49,] [50] and 51 to 53 (inclusive) shall not apply to the Company.</paratext>
              </para>
              <drafting.note id="a367163" jurisdiction="">
                <head align="left" preservecase="true">
                  <headtext>Excluded provisions</headtext>
                </head>
                <division id="a000028" level="1">
                  <para>
                    <paratext>
                      Here is why each of the 
                      <link href="6-505-5094" style="ACTLinkPLCtoPLC">
                        <ital>model articles</ital>
                      </link>
                       listed in 
                      <internal.reference refid="a852328">article 2.2</internal.reference>
                       has been excluded in this standard document:
                    </paratext>
                  </para>
                  <list type="bulleted">
                    <list.item>
                      <para>
                        <paratext>
                          Model article 7 (Directors to take decisions collectively): Model article 7(1) is replaced by 
                          <internal.reference refid="a574254">article 4.1</internal.reference>
                           (see 
                          <internal.reference refid="a678345">Drafting note, Decisions of directors</internal.reference>
                          ).
                        </paratext>
                      </para>
                      <para>
                        <paratext>
                          Model article 7(2) has no relevance to the company, as 
                          <internal.reference refid="a918621">article 3</internal.reference>
                           requires a minimum of two directors to hold office at all times (see 
                          <internal.reference refid="a1055492">Drafting note, Insufficient directors to form a quorum</internal.reference>
                          ).
                        </paratext>
                      </para>
                    </list.item>
                  </list>
                  <list type="bulleted">
                    <list.item>
                      <para>
                        <paratext>
                          Model article 8 (Unanimous decisions): Model article 8 is replaced by 
                          <internal.reference refid="a167806">article 4.2</internal.reference>
                           to 
                          <internal.reference refid="a947466">article 4.4</internal.reference>
                           (inclusive).
                        </paratext>
                      </para>
                    </list.item>
                    <list.item>
                      <para>
                        <paratext>
                          Model article 9(1) (Any director may call a meeting): Model article 9(1) is replaced by the second sentence of 
                          <internal.reference refid="a349920">article 4.6</internal.reference>
                           (see 
                          <internal.reference refid="a826429">Drafting note, Calling directors' meetings</internal.reference>
                          ).
                        </paratext>
                      </para>
                    </list.item>
                    <list.item>
                      <para>
                        <paratext>
                          Model article 9(3) (Notice of meetings need not be in writing): Model article 9(3) should be excluded if 
                          <internal.reference refid="a349920">article 4.6</internal.reference>
                           requires notice of directors' meetings to be given in writing, but not otherwise (see 
                          <internal.reference refid="a826429">Drafting note, Calling directors' meetings</internal.reference>
                          ).
                        </paratext>
                      </para>
                    </list.item>
                    <list.item>
                      <para>
                        <paratext>
                          Model article 11(2) (Quorum for a directors' meeting never less than two): Model article 11(2) is replaced by 
                          <internal.reference refid="a873305">article 4.7</internal.reference>
                          .
                        </paratext>
                      </para>
                    </list.item>
                    <list.item>
                      <para>
                        <paratext>
                          Model article 11(3) (Proceedings if insufficient directors to form quorum): Model article 11(3) is replaced by 
                          <internal.reference refid="a158054">article 4.9</internal.reference>
                           (see 
                          <internal.reference refid="a1055492">Drafting note, Insufficient directors to form a quorum</internal.reference>
                          ).
                        </paratext>
                      </para>
                    </list.item>
                    <list.item>
                      <para>
                        <paratext>
                          Model article 12 (Chairing of directors' meetings): Model article 12 is replaced by 
                          <internal.reference refid="a798536">article 6.6</internal.reference>
                           (see 
                          <internal.reference refid="a841647">Drafting note, Chair</internal.reference>
                          ).
                        </paratext>
                      </para>
                    </list.item>
                    <list.item>
                      <para>
                        <paratext>
                          Model article 13 (Casting vote): Model article 13 should be excluded if 
                          <internal.reference refid="a463370">article 4.10</internal.reference>
                           is included (and vice-versa) (see 
                          <internal.reference refid="a437900">Drafting note, Casting vote</internal.reference>
                          ).
                        </paratext>
                      </para>
                    </list.item>
                    <list.item>
                      <para>
                        <paratext>
                          Model article 14(1) to (4) (inclusive) (Conflicts of interest): Model articles 14(1), (2), (3) and (4) are replaced by 
                          <internal.reference refid="a168790">article 7</internal.reference>
                          .
                        </paratext>
                      </para>
                    </list.item>
                    <list.item>
                      <para>
                        <paratext>
                          Model article 16 (Directors' discretion to make further rules): Model article 16 should be excluded if 
                          <internal.reference refid="a527458">article 4.12</internal.reference>
                           is included (and vice-versa) (see 
                          <internal.reference refid="a361709">Drafting note, Rules of procedure</internal.reference>
                          ).
                        </paratext>
                      </para>
                    </list.item>
                    <list.item>
                      <para>
                        <paratext>
                          Model article 18(e) (Now deleted under the Mental Health (Discrimination) Act 2013): See 
                          <internal.reference refid="a815079">Drafting note, Definition: Model Articles</internal.reference>
                          .
                        </paratext>
                      </para>
                    </list.item>
                    <list.item>
                      <para>
                        <paratext>
                          Model article 22 (Powers to issue different classes of share): Model article 22(1) is replaced by 
                          <internal.reference refid="a583587">article 16.1</internal.reference>
                           and 
                          <internal.reference refid="a312508">article 16.2</internal.reference>
                          .
                        </paratext>
                      </para>
                      <para>
                        <paratext>
                          Model article 22(2) is omitted to exclude the directors' right to determine the terms, conditions and manner of redemption of any redeemable shares. Subject to investor vetoes over the creation of new shares (see 
                          <internal.reference refid="a971415">article 13.2</internal.reference>
                          ), the directors will have the right to issue redeemable shares under 
                          <link href="8-505-5192" style="ACTLinkPLCtoPLC">
                            <ital>section 684(1)</ital>
                          </link>
                           of the CA 2006. No further authority is required in the Articles. The exclusion of model article 22(2) means that if any redeemable shares are issued, the terms, conditions and manner of redemption must be set out in the Articles (
                          <link href="0-505-5228" style="ACTLinkPLCtoPLC">
                            <ital>section 685(4)</ital>
                          </link>
                          <ital>, CA 2006</ital>
                          ).
                        </paratext>
                      </para>
                    </list.item>
                  </list>
                  <list type="bulleted">
                    <list.item>
                      <para>
                        <paratext>
                          Model article 26(5) (Directors may refuse to register the transfer of a share): Model article 26(5) is replaced by 
                          <internal.reference refid="a253734">article 17.2</internal.reference>
                          .
                        </paratext>
                      </para>
                    </list.item>
                    <list.item>
                      <para>
                        <paratext>
                          Model article 38 (Quorum for general meetings): Model article 38 is replaced by 
                          <internal.reference refid="a898417">article 24.1</internal.reference>
                          .
                        </paratext>
                      </para>
                    </list.item>
                    <list.item>
                      <para>
                        <paratext>
                          Model article 39 (Chairing general meetings): Model article 39 is replaced by 
                          <internal.reference refid="a561265">article 24.2</internal.reference>
                          .
                        </paratext>
                      </para>
                    </list.item>
                    <list.item>
                      <para>
                        <paratext>
                          Model article 44(2) (Persons who may demand a poll): Model article 44(2) should be excluded if 
                          <internal.reference refid="a461088">article 25.2</internal.reference>
                           is included.
                        </paratext>
                      </para>
                    </list.item>
                    <list.item>
                      <para>
                        <paratext>
                          Model article 49 (Company seals): Model article 49 may be excluded if the company does not have a common seal, although there is no requirement to do so. 
                          <link href="0-505-5228" style="ACTLinkPLCtoPLC">
                            <ital>Section 45(1)</ital>
                          </link>
                           of the CA 2006 provides that a company may have a common seal, but need not have one.
                        </paratext>
                      </para>
                    </list.item>
                    <list.item>
                      <para>
                        <paratext>
                          Model article 50 (No right to inspect accounts and other records): Model article 50 may be excluded where an investor wishes to have the right to inspect the accounting and other records of the company in its capacity as shareholder. However, excluding model article 50 would also vest that right (subject to any restrictions in the 
                          <link href="3-503-8567" style="ACTLinkPLCtoPLC">
                            <ital>CA 2006</ital>
                          </link>
                          ) in all shareholders equally.
                        </paratext>
                      </para>
                      <para>
                        <paratext>It is more likely that an investor will seek express rights to receive and inspect company records in the investment agreement (which would exist as contractual rights despite the inclusion of model article 50).</paratext>
                      </para>
                    </list.item>
                  </list>
                  <list type="bulleted">
                    <list.item>
                      <para>
                        <paratext>Model article 51 (Provision for employees on cessation of business): By excluding model article 51, the power to make provision for the company's employees on the cessation or transfer of the business is reserved to the shareholders. Such exclusion should usually be accompanied by an express veto within the investment agreement over any approval of such arrangements, without investor consent.</paratext>
                      </para>
                    </list.item>
                    <list.item>
                      <para>
                        <paratext>
                          Model articles 52 (Indemnity) and 53 (Insurance): Model articles 52 and 53 are replaced by 
                          <internal.reference refid="a934506">article 30</internal.reference>
                          .
                        </paratext>
                      </para>
                    </list.item>
                  </list>
                </division>
              </drafting.note>
            </subclause1>
            <subclause1 condition="optional" id="a282173">
              <identifier>2.3</identifier>
              <para>
                <paratext>Model article 20 shall be amended by the insertion of the words "and the secretary" before the words "properly incur".</paratext>
              </para>
            </subclause1>
            <subclause1 condition="optional" id="a523798">
              <identifier>2.4</identifier>
              <para>
                <paratext>In model article 25(2)(c), the words "evidence, indemnity and the payment of a reasonable fee" shall be deleted and replaced with the words "evidence and indemnity".</paratext>
              </para>
            </subclause1>
            <subclause1 id="a442393">
              <identifier>2.5</identifier>
              <para>
                <paratext>Model article 29 shall be amended by the insertion of the words ", or the name of any person(s) named as the transferee(s) in an instrument of transfer executed under article 28(2)," after the words "the transmittee's name".</paratext>
              </para>
            </subclause1>
          </clause>
          <head align="left" preservecase="true">
            <headtext>DIRECTORS</headtext>
          </head>
          <clause id="a918621">
            <identifier>3.</identifier>
            <head align="left" preservecase="true">
              <headtext>Number of directors</headtext>
            </head>
            <subclause1 id="a698359">
              <para>
                <paratext>Unless otherwise determined by ordinary resolution, the number of Directors shall [not exceed [NUMBER] but shall] not be less than [two].</paratext>
              </para>
              <drafting.note id="a777559" jurisdiction="">
                <head align="left" preservecase="true">
                  <headtext>Number of directors</headtext>
                </head>
                <division id="a000029" level="1">
                  <para>
                    <paratext>
                      The 
                      <link href="3-503-8567" style="ACTLinkPLCtoPLC">
                        <ital>CA 2006</ital>
                      </link>
                       only requires a private company to have one director, who must be a natural person (
                      <link href="7-505-5381" style="ACTLinkPLCtoPLC">
                        <ital>sections 154</ital>
                      </link>
                      <ital> and </ital>
                      <link href="5-505-5382" style="ACTLinkPLCtoPLC">
                        <ital>155</ital>
                      </link>
                      <ital>, CA 2006</ital>
                      ). However, a key part of any venture capital investment will be the composition and quality of the board. 
                      <internal.reference refid="a918621">Article 3</internal.reference>
                       provides that, to transact business, there must be at least two directors, although whether that number should be higher will be a matter for negotiation between the parties.
                    </paratext>
                  </para>
                  <para>
                    <paratext>
                      At the same time, a board consisting of a large number of directors may become unwieldy. As such, 
                      <internal.reference refid="a918621">article 3</internal.reference>
                       permits the parties to place a cap on the number of directors which may be appointed.
                    </paratext>
                  </para>
                  <para>
                    <paratext>
                      In the event that the number of directors in office falls below the minimum number, 
                      <link href="6-505-5094" style="ACTLinkPLCtoPLC">
                        <ital>model article 11(3)</ital>
                      </link>
                       will apply. The remaining directors may not transact any business other than to appoint further directors (or to call a general meeting to allow the shareholders to appoint further directors). Any such appointment is likely to be subject to receiving investor consent to such appointment, whether under the investment agreement or a variation of class rights provision in the Articles (see 
                      <internal.reference refid="a779152">article 13.2(j)</internal.reference>
                      ).
                    </paratext>
                  </para>
                  <para>
                    <paratext>
                      Note that 
                      <link href="6-505-5555" style="ACTLinkPLCtoPLC">
                        <ital>section 157</ital>
                      </link>
                       of the CA 2006 provides for a minimum age (of 16 years) for any natural person to be appointed as a director.
                    </paratext>
                  </para>
                </division>
              </drafting.note>
            </subclause1>
          </clause>
          <clause id="a858579">
            <identifier>4.</identifier>
            <head align="left" preservecase="true">
              <headtext>Proceedings of directors</headtext>
            </head>
            <subclause1 id="a574254">
              <identifier>4.1</identifier>
              <para>
                <paratext>
                  Any decision of the Directors must be taken at a meeting of Directors in accordance with these Articles or must be a decision taken in accordance with 
                  <internal.reference refid="a167806">article 4.2</internal.reference>
                   (subject to 
                  <internal.reference refid="a573139">article 4.3</internal.reference>
                   and 
                  <internal.reference refid="a947466">article 4.4</internal.reference>
                  ). [All decisions made at any meeting of the Directors (or any committee of the Directors) shall be made only by resolution and resolutions at any meeting of the Directors (or committee of the Directors) shall be decided by a majority of votes.]
                </paratext>
              </para>
              <drafting.note id="a678345" jurisdiction="">
                <head align="left" preservecase="true">
                  <headtext>Decisions of directors</headtext>
                </head>
                <division id="a000030" level="1">
                  <para>
                    <paratext>
                      <internal.reference refid="a574254">article 4.1</internal.reference>
                       replaces 
                      <link href="6-505-5094" style="ACTLinkPLCtoPLC">
                        <ital>model article 7(1)</ital>
                      </link>
                      . The terms of model article 7(1) are not substantively amended by 
                      <internal.reference refid="a574254">article 4.1</internal.reference>
                      , which serves as introduction to the bespoke provisions on unanimous decisions, set out in 
                      <internal.reference refid="a167806">article 4.2</internal.reference>
                       to 
                      <internal.reference refid="a947466">article 4.4</internal.reference>
                      . However, if the Articles are to grant any weighted voting rights to any particular director, or vetoes over particular resolutions given to any director, the second sentence of 
                      <internal.reference refid="a574254">article 4.1</internal.reference>
                       (in square brackets) should be made expressly subject to any article setting out such weighted voting rights.
                    </paratext>
                  </para>
                </division>
              </drafting.note>
            </subclause1>
            <subclause1 id="a167806">
              <identifier>4.2</identifier>
              <para>
                <paratext>A unanimous decision of the Directors is taken when all Eligible Directors indicate to each other by any means that they share a common view on a matter.</paratext>
              </para>
              <drafting.note id="a468072" jurisdiction="">
                <head align="left" preservecase="true">
                  <headtext>Decisions of directors other than at meetings</headtext>
                </head>
                <division id="a000031" level="1">
                  <para>
                    <paratext>
                      The 
                      <link href="https://uk.practicallaw.thomsonreuters.com/6-505-5094?originationContext=document&amp;amp;transitionType=PLDocumentLink&amp;amp;contextData=(sc.Default)&amp;amp;ppcid=60afe8505bc04d73a9d423acaf11dd9b" style="ACTLinkURL">
                        <ital>Model Articles</ital>
                      </link>
                       broadened the manner in which directors may take decisions beyond the two methods (meeting or written resolution) provided by Table A (regulations 88 and 93, Table A), to take account of modern ways of communicating. 
                      <link anchor="co_anchor_a167806" href="https://uk.practicallaw.thomsonreuters.com/Document/I64dd8fe1e1a211e398db8b09b4f043e0/View/FullText.html?navigationPath=Search%2Fv1%2Fresults%2Fnavigation%2Fi0ad604ab0000017c1761b615dc9af1d5%3Fppcid%3D53c80ade99cb43678211c0febe901c34%26Nav%3DKNOWHOW_TOPIC_UK%26fragmentIdentifier%3DI64dd8fe1e1a211e398db8b09b4f043e0%26parentRank%3D0%26startIndex%3D1%26contextData%3D%2528sc.Default%2529%26transitionType%3DSearchItem&amp;amp;listSource=Search&amp;amp;listPageSource=94f4699de93f353ea2f2bf3d22ee1ffc&amp;amp;list=KNOWHOW_TOPIC_UK&amp;amp;rank=1&amp;amp;sessionScopeId=001a2bceb1c5460d4fc37042ab937b391965b454ae2ba440f776b21888900bbd&amp;amp;ppcid=53c80ade99cb43678211c0febe901c34&amp;amp;originationContext=Search%20Result&amp;amp;transitionType=SearchItem&amp;amp;contextData=(sc.Default)&amp;amp;comp=pluk" style="ACTLinkURL">
                        <ital>Article 4.2</ital>
                      </link>
                       duplicates model article 8(1) which permits decisions to be made outside board meetings, provided such decisions are passed by unanimity of the eligible directors. The use of the words "any means" in 
                      <link anchor="co_anchor_a167806" href="https://uk.practicallaw.thomsonreuters.com/Document/I64dd8fe1e1a211e398db8b09b4f043e0/View/FullText.html?navigationPath=Search%2Fv1%2Fresults%2Fnavigation%2Fi0ad604ab0000017c1761b615dc9af1d5%3Fppcid%3D53c80ade99cb43678211c0febe901c34%26Nav%3DKNOWHOW_TOPIC_UK%26fragmentIdentifier%3DI64dd8fe1e1a211e398db8b09b4f043e0%26parentRank%3D0%26startIndex%3D1%26contextData%3D%2528sc.Default%2529%26transitionType%3DSearchItem&amp;amp;listSource=Search&amp;amp;listPageSource=94f4699de93f353ea2f2bf3d22ee1ffc&amp;amp;list=KNOWHOW_TOPIC_UK&amp;amp;rank=1&amp;amp;sessionScopeId=001a2bceb1c5460d4fc37042ab937b391965b454ae2ba440f776b21888900bbd&amp;amp;ppcid=53c80ade99cb43678211c0febe901c34&amp;amp;originationContext=Search%20Result&amp;amp;transitionType=SearchItem&amp;amp;contextData=(sc.Default)&amp;amp;comp=pluk" style="ACTLinkURL">
                        <ital>Article 4.2</ital>
                      </link>
                       suggests that decisions may be taken, for example, by text message, provided that a particular director's decision is notified to each other eligible director.
                    </paratext>
                  </para>
                  <para>
                    <paratext>
                      If the parties do not wish the means of the directors taking decisions to be as broad as this, the standard document will need to be amended to specify, for example, the use only of written resolutions as an alternative to directors' meetings. Article 7, article 17 and article 18 for public companies (Schedule 3 to the 
                      <link href="https://uk.practicallaw.thomsonreuters.com/6-505-5094?originationContext=document&amp;amp;transitionType=PLDocumentLink&amp;amp;contextData=(sc.Default)&amp;amp;ppcid=60afe8505bc04d73a9d423acaf11dd9b" style="ACTLinkURL">
                        <ital>Companies (Model Articles) Regulations 2008</ital>
                      </link>
                       (
                      <ital>SI 2008/3229</ital>
                      )) provide language which may be adapted for this purpose.
                    </paratext>
                  </para>
                  <para>
                    <paratext>
                      A decision is passed unanimously when passed by all eligible directors (see the definition of 
                      <link anchor="co_anchor_a517407" href="https://uk.practicallaw.thomsonreuters.com/Document/I64dd8fe1e1a211e398db8b09b4f043e0/View/FullText.html?navigationPath=Search%2Fv1%2Fresults%2Fnavigation%2Fi0ad604ab0000017c1761b615dc9af1d5%3Fppcid%3D53c80ade99cb43678211c0febe901c34%26Nav%3DKNOWHOW_TOPIC_UK%26fragmentIdentifier%3DI64dd8fe1e1a211e398db8b09b4f043e0%26parentRank%3D0%26startIndex%3D1%26contextData%3D%2528sc.Default%2529%26transitionType%3DSearchItem&amp;amp;listSource=Search&amp;amp;listPageSource=94f4699de93f353ea2f2bf3d22ee1ffc&amp;amp;list=KNOWHOW_TOPIC_UK&amp;amp;rank=1&amp;amp;sessionScopeId=001a2bceb1c5460d4fc37042ab937b391965b454ae2ba440f776b21888900bbd&amp;amp;ppcid=53c80ade99cb43678211c0febe901c34&amp;amp;originationContext=Search%20Result&amp;amp;transitionType=SearchItem&amp;amp;contextData=(sc.Default)&amp;amp;comp=pluk" style="ACTLinkURL">
                        <ital>Eligible Director</ital>
                      </link>
                       and 
                      <link anchor="co_anchor_a225541" href="https://uk.practicallaw.thomsonreuters.com/Document/I64dd8fe1e1a211e398db8b09b4f043e0/View/FullText.html?navigationPath=Search%2Fv1%2Fresults%2Fnavigation%2Fi0ad604ab0000017c1761b615dc9af1d5%3Fppcid%3D53c80ade99cb43678211c0febe901c34%26Nav%3DKNOWHOW_TOPIC_UK%26fragmentIdentifier%3DI64dd8fe1e1a211e398db8b09b4f043e0%26parentRank%3D0%26startIndex%3D1%26contextData%3D%2528sc.Default%2529%26transitionType%3DSearchItem&amp;amp;listSource=Search&amp;amp;listPageSource=94f4699de93f353ea2f2bf3d22ee1ffc&amp;amp;list=KNOWHOW_TOPIC_UK&amp;amp;rank=1&amp;amp;sessionScopeId=001a2bceb1c5460d4fc37042ab937b391965b454ae2ba440f776b21888900bbd&amp;amp;ppcid=53c80ade99cb43678211c0febe901c34&amp;amp;originationContext=Search%20Result&amp;amp;transitionType=SearchItem&amp;amp;contextData=(sc.Default)&amp;amp;comp=pluk" style="ACTLinkURL">
                        <ital>Drafting note, Definition: Eligible Directors</ital>
                      </link>
                      ). 
                      <link href="https://uk.practicallaw.thomsonreuters.com/0-505-5167?originationContext=document&amp;amp;transitionType=PLDocumentLink&amp;amp;contextData=(sc.Default)&amp;amp;ppcid=60afe8505bc04d73a9d423acaf11dd9b" style="ACTLinkURL">
                        <ital>Section 175(6)</ital>
                      </link>
                       of the CA 2006 provides that a resolution to authorise a director's conflict will be ineffective unless the meeting is quorate without counting the conflicted director and that the authorising resolution would be passed without the conflicted director's voting, or without their vote being counted. It is arguable that this means that the conflicted director is entitled to vote on the resolution to authorise the conflict, but that their vote must not be counted. In that case, a conflicted director would not be excluded from the definition of an 'eligible director' within its meaning in 
                      <link href="https://uk.practicallaw.thomsonreuters.com/6-505-5094?originationContext=document&amp;amp;transitionType=PLDocumentLink&amp;amp;contextData=(sc.Default)&amp;amp;ppcid=60afe8505bc04d73a9d423acaf11dd9b" style="ACTLinkURL">
                        <ital>model article 8(3)</ital>
                      </link>
                       (as they are, technically, entitled to vote).
                    </paratext>
                  </para>
                  <para>
                    <paratext>
                      The definition of 
                      <link anchor="co_anchor_a517407" href="https://uk.practicallaw.thomsonreuters.com/Document/I64dd8fe1e1a211e398db8b09b4f043e0/View/FullText.html?navigationPath=Search%2Fv1%2Fresults%2Fnavigation%2Fi0ad604ab0000017c1761b615dc9af1d5%3Fppcid%3D53c80ade99cb43678211c0febe901c34%26Nav%3DKNOWHOW_TOPIC_UK%26fragmentIdentifier%3DI64dd8fe1e1a211e398db8b09b4f043e0%26parentRank%3D0%26startIndex%3D1%26contextData%3D%2528sc.Default%2529%26transitionType%3DSearchItem&amp;amp;listSource=Search&amp;amp;listPageSource=94f4699de93f353ea2f2bf3d22ee1ffc&amp;amp;list=KNOWHOW_TOPIC_UK&amp;amp;rank=1&amp;amp;sessionScopeId=001a2bceb1c5460d4fc37042ab937b391965b454ae2ba440f776b21888900bbd&amp;amp;ppcid=53c80ade99cb43678211c0febe901c34&amp;amp;originationContext=Search%20Result&amp;amp;transitionType=SearchItem&amp;amp;contextData=(sc.Default)&amp;amp;comp=pluk" style="ACTLinkURL">
                        <ital>Eligible Director</ital>
                      </link>
                       (extending (and excluding) the definition contained in 
                      <link href="https://uk.practicallaw.thomsonreuters.com/6-505-5094?originationContext=document&amp;amp;transitionType=PLDocumentLink&amp;amp;contextData=(sc.Default)&amp;amp;ppcid=60afe8505bc04d73a9d423acaf11dd9b" style="ACTLinkURL">
                        <ital>model article 8(3)</ital>
                      </link>
                      ) is intended to remove any risk of challenge to the validity of a unanimous decision not passed by any conflicted directors (so that only non-conflicted directors are required to pass an effective unanimous resolution).
                    </paratext>
                  </para>
                  <para>
                    <paratext>
                      There is no requirement, under the 
                      <link href="https://uk.practicallaw.thomsonreuters.com/6-505-5094?originationContext=document&amp;amp;transitionType=PLDocumentLink&amp;amp;contextData=(sc.Default)&amp;amp;ppcid=60afe8505bc04d73a9d423acaf11dd9b" style="ACTLinkURL">
                        <ital>Model Articles</ital>
                      </link>
                      , for notice of proposed unanimous decisions of directors to be given in writing. However, 
                      <link anchor="co_anchor_a463370" href="https://uk.practicallaw.thomsonreuters.com/Document/I64dd8fe1e1a211e398db8b09b4f043e0/View/FullText.html?navigationPath=Search%2Fv1%2Fresults%2Fnavigation%2Fi0ad604ab0000017c1761b615dc9af1d5%3Fppcid%3D53c80ade99cb43678211c0febe901c34%26Nav%3DKNOWHOW_TOPIC_UK%26fragmentIdentifier%3DI64dd8fe1e1a211e398db8b09b4f043e0%26parentRank%3D0%26startIndex%3D1%26contextData%3D%2528sc.Default%2529%26transitionType%3DSearchItem&amp;amp;listSource=Search&amp;amp;listPageSource=94f4699de93f353ea2f2bf3d22ee1ffc&amp;amp;list=KNOWHOW_TOPIC_UK&amp;amp;rank=1&amp;amp;sessionScopeId=001a2bceb1c5460d4fc37042ab937b391965b454ae2ba440f776b21888900bbd&amp;amp;ppcid=53c80ade99cb43678211c0febe901c34&amp;amp;originationContext=Search%20Result&amp;amp;transitionType=SearchItem&amp;amp;contextData=(sc.Default)&amp;amp;comp=pluk" style="ACTLinkURL">
                        <ital>Article 4.10</ital>
                      </link>
                       requires records of unanimous decisions taken by electronic means to be kept in permanent form
                    </paratext>
                  </para>
                </division>
              </drafting.note>
            </subclause1>
            <subclause1 id="a573139">
              <identifier>4.3</identifier>
              <para>
                <paratext>
                  A decision taken in accordance with 
                  <internal.reference refid="a167806">article 4.2</internal.reference>
                   may take the form of a resolution in writing, where each Eligible Director has signed one or more copies of it, or to which each Eligible Director has otherwise indicated agreement in writing.
                </paratext>
              </para>
              <drafting.note id="a896672" jurisdiction="">
                <head align="left" preservecase="true">
                  <headtext>Directors' written resolutions</headtext>
                </head>
                <division id="a000032" level="1">
                  <para>
                    <paratext>
                      The drafting of the provision on written resolutions in model article 8(2) is unsatisfactory as it is not clear whether, in the case of there being multiple copies, each has to be signed by every director. The amendments to that model article made by 
                      <internal.reference refid="a573139">article 4.3</internal.reference>
                       reflect the wording of article 18(1) of the model articles for public companies (Schedule 3 to the 
                      <link href="6-505-5094" style="ACTLinkPLCtoPLC">
                        <ital>Companies (Model Articles) Regulations 2008</ital>
                      </link>
                       (
                      <ital>SI 2008/3229</ital>
                      )).
                    </paratext>
                  </para>
                </division>
              </drafting.note>
            </subclause1>
            <subclause1 id="a947466">
              <identifier>4.4</identifier>
              <para>
                <paratext>
                  A decision may not be taken in accordance with 
                  <internal.reference refid="a167806">article 4.2</internal.reference>
                   if the Eligible Directors would not have formed a quorum at a Directors' meeting to vote on the matter in accordance with 
                  <internal.reference refid="a873305">article 4.7</internal.reference>
                   and 
                  <internal.reference refid="a86827">article 4.8</internal.reference>
                  .
                </paratext>
              </para>
            </subclause1>
            <subclause1 condition="optional" id="a612908">
              <identifier>4.5</identifier>
              <para>
                <paratext>Model articles 5(1) to (3) (inclusive) and 6(2) shall be modified by the insertion of the words "(acting with Investor Consent)" following each reference to "the directors" in such model articles.</paratext>
              </para>
              <drafting.note id="a630929" jurisdiction="">
                <head align="left" preservecase="true">
                  <headtext>Limit of directors' discretion</headtext>
                </head>
                <division id="a000033" level="1">
                  <para>
                    <paratext>
                      Although an investor will have appointed a director to the board, such investor director will (unless granted weighted voting rights) only hold one vote at board meetings. 
                      <link href="6-505-5094" style="ACTLinkPLCtoPLC">
                        <ital>Model articles 5(1) to (3)</ital>
                      </link>
                       permit the directors to delegate any of their authority to any person they see fit (and to revoke such delegation). Model article 6(2) allows the directors to overrule the Articles and create rules of procedure for committee meetings. For more, see 
                      <link href="8-384-4772" style="ACTLinkPLCtoPLC">
                        <ital>Practice note, Model articles: private companies limited by shares: Companies Act 2006</ital>
                      </link>
                      . It is likely that an investor will seek to restrict the exercise of this discretion afforded to the directors, without its consent first being obtained. 
                      <internal.reference refid="a574254">article 4.1</internal.reference>
                       provides such restriction, although such restriction might also be set out in the investment agreement.
                    </paratext>
                  </para>
                </division>
              </drafting.note>
            </subclause1>
            <subclause1 id="a349920">
              <identifier>4.6</identifier>
              <para>
                <paratext>Meetings of the Directors shall take place at least [NUMBER] times in each year, with a period of not more than [NUMBER] weeks between any two meetings. Any Director may call a meeting of the Directors [, or authorise the company secretary (if any) to give such notice]. At least [NUMBER] Business Days' advance notice [in writing] of each such meeting shall be given to each Director (except with the prior consent [in writing] of an Investor Director, when meetings of the Directors may take place less frequently or on shorter notice).</paratext>
              </para>
              <drafting.note id="a826429" jurisdiction="">
                <head align="left" preservecase="true">
                  <headtext>Calling directors' meetings</headtext>
                </head>
                <division id="a000034" level="1">
                  <para>
                    <paratext>
                      Neither the 
                      <link href="3-503-8567" style="ACTLinkPLCtoPLC">
                        <ital>CA 2006</ital>
                      </link>
                       nor the 
                      <link href="6-505-5094" style="ACTLinkPLCtoPLC">
                        <ital>Model Articles</ital>
                      </link>
                       specify the frequency with which board meetings must be held. 
                      <internal.reference refid="a349920">article 4.6</internal.reference>
                       provides for a minimum number of meetings to be held each year, at regular intervals. Although the investment agreement will usually set out the periodic information which an investor is entitled to receive (for example, management accounts), an investor will usually want regular board meetings to be held to allow its non-executive investor director to keep up to date with the company's operations and to contribute to discussions on matters of strategic or operational importance.
                    </paratext>
                  </para>
                  <para>
                    <paratext>
                      <internal.reference refid="a349920">article 4.6</internal.reference>
                       requires a minimum period of notice to be given of each meeting. Notice must be given to all directors, whether within or outside the United Kingdom. An investor will not want board meetings to be called on short notice, at a time when its investor director is not able to attend. Also, as the directors have a statutory duty to promote the best interests of the company (
                      <link href="5-505-5377" style="ACTLinkPLCtoPLC">
                        <ital>section 172</ital>
                      </link>
                      <ital>, CA 2006</ital>
                      ), it may not be appropriate for decisions to be proposed before sufficient background information has been produced (for example, by way of board papers) to enable a director to make an informed decision.
                    </paratext>
                  </para>
                  <para>
                    <paratext>
                      At the same time, there may be circumstances in which urgent consideration of a particular matter is required at board level. Given the lack of a notice requirement for directors' unanimous decisions under 
                      <internal.reference refid="a167806">article 4.2</internal.reference>
                      , it could be seen as anomalous for the directors to be able to take immediate decisions by email, but not by face to face meeting. 
                      <internal.reference refid="a349920">article 4.6</internal.reference>
                       therefore allows meetings to be called on short notice, provided the investor director consents. In any event, in these Articles, no board meeting (except one in relation to which the investor director is not an eligible director) can be quorate without their attendance. Were that not to be the case, the inclusion of 
                      <internal.reference refid="a349920">article 4.6</internal.reference>
                       would take on greater importance to ensure that the investor director has every opportunity to attend board meetings. 
                      <link href="6-505-5094" style="ACTLinkPLCtoPLC">
                        <ital>Model article 10</ital>
                      </link>
                       allows remote participation in directors' meetings, subject only to the requirements of that model article and so physical attendance by the investor director will not be required.
                    </paratext>
                  </para>
                  <para>
                    <paratext>
                      Including a requirement that notice of directors' meetings be given in writing may formalise the calling of meetings, although such an article would dilute much of the flexibility which the Model Articles are designed to afford. It seems unlikely, then, that many investors will require inclusion of the words "in writing". However, if written notice of board meetings is required, it may be appropriate to include further requirements of such notice (for example, see 
                      <link anchor="a775041" href="6-386-2465" style="ACTLinkPLCtoPLC">
                        <ital>Standard document, Articles of association: joint venture deadlock company: articles 6.2 and 6.3</ital>
                      </link>
                      ).
                    </paratext>
                  </para>
                  <para>
                    <paratext>
                      Any director may call a board meeting (or authorise the secretary, if any, to do so). Despite the exclusion of 
                      <link href="6-505-5094" style="ACTLinkPLCtoPLC">
                        <ital>model articles 9(1)</ital>
                      </link>
                       and 9(3) (see 
                      <internal.reference refid="a852328">article 2.2</internal.reference>
                      ), model article 9(2) will apply and sets out the minimum content requirements for such notice (whether given in writing or otherwise). If any observer has been appointed, such observer will also be entitled to receive notice of all board (and committee) meetings, as if they were a director (see 
                      <internal.reference refid="a196337">article 6.4</internal.reference>
                      ).
                    </paratext>
                  </para>
                </division>
              </drafting.note>
            </subclause1>
            <subclause1 id="a873305">
              <identifier>4.7</identifier>
              <para>
                <paratext>The quorum for any meeting (or, where specified below, part of a meeting) of the Directors shall be two Eligible Directors, which must include the Investor Director in office for the time being, unless:</paratext>
              </para>
              <subclause2 id="a303150">
                <identifier>(a)</identifier>
                <para>
                  <paratext>there is no Investor Director in office for the time being; or</paratext>
                </para>
              </subclause2>
              <subclause2 id="a544775">
                <identifier>(b)</identifier>
                <para>
                  <paratext>such Investor Director has, in respect of any particular meeting (or part of a meeting), otherwise agreed [in writing] ahead of such meeting; or</paratext>
                </para>
              </subclause2>
              <subclause2 id="a819898">
                <identifier>(c)</identifier>
                <para>
                  <paratext>such Investor Director is not, in respect of any particular meeting (or part of a meeting), an Eligible Director.</paratext>
                </para>
              </subclause2>
              <para>
                <paratext>
                  in which case, subject to 
                  <internal.reference refid="a86827">article 4.8</internal.reference>
                  , the quorum for such meeting (or part of the meeting, as the case may be) shall be any two Eligible Directors. If the necessary quorum is not present within 30 minutes from the time appointed for the meeting, or if, during a meeting, such quorum ceases to be present, the meeting shall stand adjourned to such time and place as the [Chair 
                  <bold>OR</bold>
                   Directors] determine. [If a quorum is not present at any such adjourned meeting within 30 minutes from the time appointed, then the meeting shall proceed.]
                </paratext>
              </para>
              <drafting.note id="a216686" jurisdiction="">
                <head align="left" preservecase="true">
                  <headtext>Quorum for directors' meetings</headtext>
                </head>
                <division id="a000035" level="1">
                  <para>
                    <paratext>
                      An investor will usually insist that their appointee to the board be present at every board meeting, to allow such director to monitor board discussions and decisions. However, in certain cases, a director will not be entitled to count towards the quorum and so, without the carve out of 
                      <internal.reference refid="a819898">article 4.7(c)</internal.reference>
                      , there would be risk of the board not being able to transact business.
                    </paratext>
                  </para>
                  <para>
                    <paratext>
                      For example, 
                      <link href="0-505-5167" style="ACTLinkPLCtoPLC">
                        <ital>section 175(6)(a)</ital>
                      </link>
                       of the CA 2006 provides that a resolution to authorise a director's situational conflict will be invalid if the relevant meeting would not have been quorate had the conflicted director not attended. As such, it will be important to ensure that any quorum provision set out in the Articles makes adequate provision to ensure that a directors' meeting may be quorate without a conflicted investor director.
                    </paratext>
                  </para>
                  <para>
                    <paratext>
                      If the independent directors, when authorising an investor director's conflict of interest under 
                      <internal.reference refid="a1004072">article 8</internal.reference>
                      , attach particular conditions to such authorisation (see 
                      <internal.reference refid="a865667">article 8.3</internal.reference>
                      ), for example that the investor director in question is not permitted to attend and vote on matters connected with their conflict, or their vote should not be counted on any decision related to the matter connected with their conflict, they would not constitute an eligible director for these purposes and the quorum for that part of the meeting would, under 
                      <internal.reference refid="a873305">article 4.7</internal.reference>
                      , be any two eligible directors.
                    </paratext>
                  </para>
                  <para>
                    <paratext>If there is more than one investor, each of whom has the right to appoint an investor director, consider whether the quorum should require the attendance of each of them, or whether one (or other number) will suffice. The greater the number of directors whose attendance is required before business can be transacted, the greater the risk of not convening a quorate board meeting on any given occasion.</paratext>
                  </para>
                  <para>
                    <paratext>The final words in square brackets allows adjourned meetings to be held where the investor director is not present within 30 minutes of the start of the meeting. Consideration should be given to the need to balance the company's ability to transact business in the absence of the investor director and the investor's desire for the investor director to attend all meetings. This will be a matter for negotiation between the parties.</paratext>
                  </para>
                </division>
              </drafting.note>
            </subclause1>
            <subclause1 id="a86827">
              <identifier>4.8</identifier>
              <para>
                <paratext>
                  For the purposes of any meeting (or part of a meeting) held pursuant to 
                  <internal.reference refid="a1004072">article 8</internal.reference>
                   to authorise a Conflict (as defined in 
                  <internal.reference refid="a442007">article 8.1</internal.reference>
                  ), if there is only one Eligible Director in office other than the conflicted Director(s), the quorum for such meeting (or part of a meeting) shall be one Eligible Director.
                </paratext>
              </para>
              <drafting.note id="a578987" jurisdiction="">
                <head align="left" preservecase="true">
                  <headtext>Quorum for authorisation of directors' conflicts</headtext>
                </head>
                <division id="a000036" level="1">
                  <para>
                    <paratext>
                      <link href="0-505-5167" style="ACTLinkPLCtoPLC">
                        <ital>Section 175(6)(a)</ital>
                      </link>
                       of the CA 2006 provides that a resolution to authorise a director's situational conflict will be invalid if the relevant meeting would not have been quorate had the conflicted director not attended. As such, it will be important to ensure that any quorum provision set out in a company's articles makes adequate provision to ensure that a directors' meeting may be quorate without the conflicted director(s).
                    </paratext>
                  </para>
                </division>
              </drafting.note>
            </subclause1>
            <subclause1 id="a158054">
              <identifier>4.9</identifier>
              <para>
                <paratext>If the number of Directors in office for the time being is less than [two], the Director[s] in office must not take any decision other than a decision to:</paratext>
              </para>
              <subclause2 id="a866771">
                <identifier>(a)</identifier>
                <para>
                  <paratext>appoint further Directors; or</paratext>
                </para>
              </subclause2>
              <subclause2 id="a264254">
                <identifier>(b)</identifier>
                <para>
                  <paratext>call a general meeting so as to enable the Shareholders to appoint further Directors.</paratext>
                </para>
                <drafting.note id="a1055492" jurisdiction="">
                  <head align="left" preservecase="true">
                    <headtext>Insufficient directors to form a quorum</headtext>
                  </head>
                  <division id="a000037" level="1">
                    <para>
                      <paratext>
                        <link href="6-505-5094" style="ACTLinkPLCtoPLC">
                          <ital>Model article 7(2)</ital>
                        </link>
                        , which permits a sole director to transact business, will not apply to these Articles, as they specify a minimum requirement of two directors to hold office at all times (see 
                        <internal.reference refid="a918621">article 3</internal.reference>
                        ).
                      </paratext>
                    </para>
                    <para>
                      <paratext>
                        <internal.reference refid="a158054">Article 4.9</internal.reference>
                         replaces 
                        <link href="6-505-5094" style="ACTLinkPLCtoPLC">
                          <ital>model article 11(3)</ital>
                        </link>
                         which provides that if the directors in office cannot form a quorum, the extent to which the remaining directors can transact business is limited to the appointment of further directors (whether at board or shareholder level). However, in these Articles:
                      </paratext>
                    </para>
                    <list type="bulleted">
                      <list.item>
                        <para>
                          <paratext>
                            If an investor director is the sole director in office, they may form a quorum for directors' meetings on their own (see 
                            <internal.reference refid="a873305">article 4.7</internal.reference>
                            ), but would not satisfy the minimum director requirement of 
                            <internal.reference refid="a918621">article 3</internal.reference>
                            .
                          </paratext>
                        </para>
                      </list.item>
                      <list.item>
                        <para>
                          <paratext>
                            If no investor director is in office, the quorum is any two eligible directors, or one eligible director in the circumstances set out in 
                            <internal.reference refid="a86827">article 4.8</internal.reference>
                            . However, there must still always be two directors in office.
                          </paratext>
                        </para>
                      </list.item>
                    </list>
                    <para>
                      <paratext>
                        As a result, it would be inappropriate in these Articles to use the wording of 
                        <link href="6-505-5094" style="ACTLinkPLCtoPLC">
                          <ital>model article 11(3)</ital>
                        </link>
                         ("If the total number of directors for the time being is less than the quorum required..."). 
                        <internal.reference refid="a158054">article 4.9</internal.reference>
                         omits reference to the quorum requirement and refers instead to the situation where the number of directors in office is less than the number specified in 
                        <internal.reference refid="a918621">article 3</internal.reference>
                        . In that case:
                      </paratext>
                    </para>
                    <list type="bulleted">
                      <list.item>
                        <para>
                          <paratext>
                            A sole director may (subject to investor consent under 
                            <internal.reference refid="a779152">article 13.2(j)</internal.reference>
                            ), appoint another director (or call a general meeting for the shareholders to do so).
                          </paratext>
                        </para>
                      </list.item>
                      <list.item>
                        <para>
                          <paratext>
                            Where the sole director is not an investor director, the investor may appoint an investor director under 
                            <internal.reference refid="a907940">article 6.1</internal.reference>
                            .
                          </paratext>
                        </para>
                      </list.item>
                    </list>
                  </division>
                </drafting.note>
              </subclause2>
            </subclause1>
            <subclause1 id="a463370">
              <identifier>4.10</identifier>
              <para>
                <paratext>Questions arising at any meeting of the Directors shall be decided by a majority of votes. If there is an equality of votes, the Chair (or other chair of the meeting) shall [not] have a second or casting vote [unless, in respect of a particular meeting (or part of a meeting), in accordance with the Articles, the Chair (or other chair of the meeting) is not an Eligible Director for the purposes of that meeting (or part of a meeting)].</paratext>
              </para>
              <drafting.note id="a437900" jurisdiction="">
                <head align="left" preservecase="true">
                  <headtext>Casting vote</headtext>
                </head>
                <division id="a000038" level="1">
                  <para>
                    <paratext>
                      <link href="6-505-5094" style="ACTLinkPLCtoPLC">
                        <ital>Model article 13</ital>
                      </link>
                       (excluded by 
                      <internal.reference refid="a852328">article 2.2</internal.reference>
                      ) provides that, if the numbers of votes for and against a proposal are equal, the chair or other director chairing a directors' meeting has a casting vote. 
                      <internal.reference refid="a971415">article 13.2</internal.reference>
                       clarifies that such casting vote will not apply if the chair is not entitled to form part of the quorum or is not entitled to vote at the meeting (for example in relation to the authorisation of a conflict of interest under 
                      <link href="0-505-5167" style="ACTLinkPLCtoPLC">
                        <ital>section 175</ital>
                      </link>
                       of the CA 2006) (
                      <link href="6-505-5094" style="ACTLinkPLCtoPLC">
                        <ital>model article 14(1)</ital>
                      </link>
                      ). 
                      <internal.reference refid="a463370">article 4.10</internal.reference>
                       provides alternative wording to exclude that casting vote. If the chair is to have a casting vote, the words in square brackets at the end of 
                      <internal.reference refid="a463370">article 4.10</internal.reference>
                       should be included. For more on eligible directors, see 
                      <internal.reference refid="a225541">Drafting note, Definition: Eligible Directors</internal.reference>
                      .
                    </paratext>
                  </para>
                  <para>
                    <paratext>
                      References in 
                      <internal.reference refid="a463370">article 4.10</internal.reference>
                       to a 'chair of the meeting' allow for the possibility that there is no formal chair in office at the time, or is unable to attend a particular meeting (see 
                      <internal.reference refid="a798536">article 6.6</internal.reference>
                      ).
                    </paratext>
                  </para>
                </division>
              </drafting.note>
            </subclause1>
            <subclause1 id="a694601">
              <identifier>4.11</identifier>
              <para>
                <paratext>Where decisions of the Directors are taken by electronic means, such decisions shall be recorded by the Directors in permanent form, so that they may be read with the naked eye.</paratext>
              </para>
              <drafting.note id="a466248" jurisdiction="">
                <head align="left" preservecase="true">
                  <headtext>Records of decisions to be kept</headtext>
                </head>
                <division id="a000039" level="1">
                  <para>
                    <paratext>
                      <link href="https://uk.practicallaw.thomsonreuters.com/Document/I5C14C6A08B3311DBA1DB80994EEB92DE/View/FullText.html?comp=pluk&amp;amp;transitionType=Default&amp;amp;contextData=(sc.Default)" style="ACTLinkURL">
                        <ital>Section 248</ital>
                      </link>
                       of the CA 2006 requires companies to retain records of the minutes of all directors' meetings for ten years from the date of each meeting. 
                      <link href="6-505-5094" style="ACTLinkPLCtoPLC">
                        <ital>Model article 15</ital>
                      </link>
                       extends this requirement to every decision of the directors, whether or not taken at a meeting. Given the breadth of the manner in which the Model Articles permit decisions to be taken (see 
                      <internal.reference refid="a468072">Drafting note, Decisions of directors other than at meetings</internal.reference>
                      ), it is quite possible for directors to take unanimous decisions through a medium that does not lend itself to permanent record (for example, text messages).
                    </paratext>
                  </para>
                  <para>
                    <paratext>
                      The obligation is to record decisions in 'writing' which, under the definition of "writing" in model article 1, means it can be recorded in visible form by any method (or combination of methods), including in electronic form. While the definition of 'writing' is likely to include a text message, 
                      <internal.reference refid="a694601">article 4.11</internal.reference>
                       is intended to provide a means to record such a message in permanent form (although 
                      <internal.reference refid="a573139">article 4.3</internal.reference>
                       will, in any event, require some evidence of a directors' assent to the stated decision).
                    </paratext>
                  </para>
                </division>
              </drafting.note>
            </subclause1>
            <subclause1 condition="optional" id="a527458">
              <identifier>4.12</identifier>
              <para>
                <paratext>The Directors (acting with Investor Consent) may make any rule which they think fit about how they take decisions and about how such rules are to be recorded or communicated to Directors.</paratext>
              </para>
              <drafting.note id="a361709" jurisdiction="">
                <head align="left" preservecase="true">
                  <headtext>Rules of procedure</headtext>
                </head>
                <division id="a000040" level="1">
                  <para>
                    <paratext>
                      <internal.reference refid="a527458">article 4.12</internal.reference>
                       restricts the power of the directors, in 
                      <link href="6-505-5094" style="ACTLinkPLCtoPLC">
                        <ital>model article 16</ital>
                      </link>
                      , to make rules of procedure as they think fit by requiring prior investor consent to any such decision. An investor will rely on its investor director to be aware of all company matters relevant to the investor and so is likely to insist on being involved in any decision which may affect the way in which such an investor director receives information. Management may seek to resist the inclusion of this restriction, on the basis that it may impinge too heavily on the day to day operation of the board of directors (in which case 
                      <internal.reference refid="a527458">article 4.12</internal.reference>
                       should be omitted and model article 16 reinstated).
                    </paratext>
                  </para>
                </division>
              </drafting.note>
            </subclause1>
          </clause>
          <clause id="a606272">
            <identifier>5.</identifier>
            <head align="left" preservecase="true">
              <headtext>Appointment and removal of directors</headtext>
            </head>
            <subclause1 condition="optional" id="a104250">
              <identifier>5.1</identifier>
              <para>
                <paratext>
                  Model article 17(1) shall be modified by the inclusion, at the end of that model article, of the words "provided that the appointment does not cause the number of Directors to exceed the maximum number set out in 
                  <internal.reference refid="a698359">Unless otherwise determined by ordinary resolution, the number of Directors shall [not exceed [NUMBER] but shall] not be less than [two].</internal.reference>
                   of these Articles".
                </paratext>
              </para>
              <drafting.note id="a252327" jurisdiction="">
                <head align="left" preservecase="true">
                  <headtext>Appointment of directors</headtext>
                </head>
                <division id="a000041" level="1">
                  <para>
                    <paratext>
                      <link href="6-505-5094" style="ACTLinkPLCtoPLC">
                        <ital>Model article 17(1)</ital>
                      </link>
                       allows the appointment of directors either by ordinary resolution or a decision of the directors. If 
                      <internal.reference refid="a918621">article 3</internal.reference>
                       imposes a cap on the number of directors which may hold office at any one time, 
                      <internal.reference refid="a104250">article 5.1</internal.reference>
                       (which extends the wording of model article 17(1)) should be included, to avoid any conflict with the power under model article 17(1). If no maximum number of directors is specified in 
                      <internal.reference refid="a918621">article 3</internal.reference>
                      , 
                      <internal.reference refid="a104250">article 5.1</internal.reference>
                       should be omitted.
                    </paratext>
                  </para>
                  <para>
                    <paratext>
                      If no minimum number of directors is specified, a sole director will have complete freedom to act, under the provisions of 
                      <link href="6-505-5094" style="ACTLinkPLCtoPLC">
                        <ital>model article 7(2)</ital>
                      </link>
                      .
                    </paratext>
                  </para>
                  <para>
                    <paratext>
                      The power of the directors or shareholders to appoint further directors is likely to be subject to the prior consent of the investor to such appointment (see 
                      <internal.reference refid="a779152">article 13.2(j)</internal.reference>
                      ).
                    </paratext>
                  </para>
                </division>
              </drafting.note>
            </subclause1>
            <subclause1 condition="optional" id="a875896">
              <identifier>5.2</identifier>
              <para>
                <paratext>Model article 18 shall be modified by the addition of the following events upon the occurrence of which a person shall cease to be a Director:</paratext>
              </para>
              <subclause2 id="a826535">
                <identifier>(a)</identifier>
                <para>
                  <paratext>they are convicted of a criminal offence (other than a minor motoring offence) and a majority of the other Directors resolve that they cease to be a Director;</paratext>
                </para>
              </subclause2>
              <subclause2 id="a709040">
                <identifier>(b)</identifier>
                <para>
                  <paratext>save in the case of an Investor Director, a majority of the other Directors resolve that they cease to be a Director; and</paratext>
                </para>
              </subclause2>
              <subclause2 id="a61525">
                <identifier>(c)</identifier>
                <para>
                  <paratext>in the case of an executive Director only, they shall cease to be employed by the Company or other Group Company (as appropriate) and does not continue as an employee of any other Group Company.</paratext>
                </para>
              </subclause2>
            </subclause1>
          </clause>
          <clause id="a93569">
            <identifier>6.</identifier>
            <head align="left" preservecase="true">
              <headtext>Investor director, Chair and observer</headtext>
            </head>
            <subclause1 id="a907940">
              <identifier>6.1</identifier>
              <para>
                <paratext>
                  An Investor Majority shall have the right [, for so long as the Investors hold at least [PERCENTAGE]% by nominal value of the Equity Shares in issue for the time being, 
                  <bold>OR</bold>
                   for so long as the Investors hold Equity Shares] to appoint from time to time, by notice in writing addressed to the Company, and to maintain in office, one person as a Director (an 
                  <defn.term>Investor Director</defn.term>
                  ) and to remove any such Investor Director and, whether such an Investor Director is removed by and Investor Majority or otherwise, to appoint a replacement.
                </paratext>
              </para>
              <drafting.note id="a585295" jurisdiction="">
                <head align="left" preservecase="true">
                  <headtext>Investor directors</headtext>
                </head>
                <division id="a000042" level="1">
                  <para>
                    <paratext>
                      It is common for each investor group to have the right to appoint their own director to the board of the investee company. Despite being selected to sit on the board as an investor's representative, such an investor director must comply with all the general duties of directors, including the duty to act in the way they consider to be most likely to promote the success of the company (
                      <link href="5-505-5377" style="ACTLinkPLCtoPLC">
                        <ital>section 172</ital>
                      </link>
                      <ital>, CA 2006</ital>
                      ). For more on directors' duties under the 
                      <link href="3-503-8567" style="ACTLinkPLCtoPLC">
                        <ital>CA 2006</ital>
                      </link>
                      , see 
                      <link href="2-203-1391" style="ACTLinkPLCtoPLC">
                        <ital>Practice note, Directors' duties: Companies Act 2006</ital>
                      </link>
                      .
                    </paratext>
                  </para>
                  <para>
                    <paratext>The standard document assumes that there is only one venture capital house invested. However, as such house may invest through a number of managed funds, the right to appoint an investor director is vested in an investor majority. If more than one venture capital house holds shares in the company, it is likely that each house will seek a separate right to appoint an investor director.</paratext>
                  </para>
                  <para>
                    <paratext>The alternative wording in square brackets provides the option for such appointment right to fall away if the investor's shareholding drops below a certain level (to be agreed between the parties).</paratext>
                  </para>
                </division>
              </drafting.note>
            </subclause1>
            <subclause1 id="a730403">
              <identifier>6.2</identifier>
              <para>
                <paratext>
                  Any appointment or removal of an Investor Director made in accordance with 
                  <internal.reference refid="a907940">article 6.1</internal.reference>
                   shall take immediate effect upon receipt (or deemed receipt) by the Company of such notice in writing, or the production of such notice at a meeting of the Directors or, if later, the date (if any) specified in such notice.
                </paratext>
              </para>
              <drafting.note id="a854919" jurisdiction="">
                <head align="left" preservecase="true">
                  <headtext>Appointment of an Investor Director</headtext>
                </head>
                <division id="a000043" level="1">
                  <para>
                    <paratext>Appointment of an investor director will lie within the exclusive control of their appointor(s). Such an appointment will not rely on any shareholder or director approval, but will occur on service of a notice of appointment on the company. Companies House will still require the filing of Form AP01 in respect of any investor director, which must be countersigned by each of the incoming investor director and the company to whose board they are appointed.</paratext>
                  </para>
                  <para>
                    <paratext>
                      <internal.reference refid="a779152">article 13.2(j)</internal.reference>
                       provides that no director may be appointed or removed without investor consent, save for the appointment or removal of an investor director made in accordance with 
                      <internal.reference refid="a93569">article 6</internal.reference>
                      . The words "save as provided by law" carve out the ability of the company to remove a director by ordinary resolution under 
                      <link href="8-505-8379" style="ACTLinkPLCtoPLC">
                        <ital>section 168</ital>
                      </link>
                       of the CA 2006. To exclude that power of the shareholders would constitute an unlawful fetter on the company's statutory powers and so be unenforceable against the company (
                      <link href="D-000-5174" style="ACTLinkURL">
                        <ital>Russell v Northern Bank Development Corp Ltd [1992] 3 All E.R. 161</ital>
                      </link>
                      ). However, there is nothing to prevent a company's articles including an additional removal process, such as the automatic removal of an investor director under 
                      <internal.reference refid="a93569">article 6</internal.reference>
                       (which, unlike section 168 of the CA 2006, does not require special notice).
                    </paratext>
                  </para>
                  <para>
                    <paratext>
                      In the event that an investor director is removed by the shareholders under 
                      <link href="8-505-8379" style="ACTLinkPLCtoPLC">
                        <ital>section 168</ital>
                      </link>
                       of the CA 2006, the appointing investor will be able to immediately appoint another person in their place under 
                      <internal.reference refid="a907940">article 6.1</internal.reference>
                      . It is also possible in theory for that investor to re-appoint the person just removed by ordinary resolution. That investor, as a shareholder, is under no duty to act in the best interests of the company in selecting its appointee. However, aside any unwarranted removal by the shareholders, such re-appointment may not make commercial sense if the shareholders had reason to remove that person in the first place.
                    </paratext>
                  </para>
                </division>
              </drafting.note>
            </subclause1>
            <subclause1 id="a997436">
              <identifier>6.3</identifier>
              <para>
                <paratext>An Investor Director shall be entitled to be appointed to any committee of the Directors established from time to time. On the receipt of the request in writing of their appointor(s), the Company shall procure that an Investor Director shall be appointed as a director of any other Group Company, to the extent specified in such request (but such Investor Director shall not be entitled to any additional fee).</paratext>
              </para>
              <drafting.note id="a247417" jurisdiction="">
                <head align="left" preservecase="true">
                  <headtext>Committees</headtext>
                </head>
                <division id="a000044" level="1">
                  <para>
                    <paratext>
                      <link href="6-505-5094" style="ACTLinkPLCtoPLC">
                        <ital>Model article 6</ital>
                      </link>
                       (incorporated into these Articles) provides that the provisions of these Articles which relate to director meetings will also apply to meetings of committees of the directors. Consideration should therefore be given to whether such provisions, for example in relation to the quorum of such meetings will also be appropriate for committees. In particular, it would be common to provide that, in addition to requiring the attendance of an investor director:
                    </paratext>
                  </para>
                  <list type="bulleted">
                    <list.item>
                      <para>
                        <paratext>Any audit committee would not be quorate without the attendance of the financial director and/or the Chair of the relevant company.</paratext>
                      </para>
                    </list.item>
                    <list.item>
                      <para>
                        <paratext>Any remuneration committee would not be quorate without the attendance of the chief executive officer of the relevant company.</paratext>
                      </para>
                    </list.item>
                  </list>
                  <para>
                    <paratext>
                      Note 
                      <link href="6-505-5094" style="ACTLinkPLCtoPLC">
                        <ital>model article 6(2)</ital>
                      </link>
                       which provides that the directors may vary the rules of procedure for committees, regardless of any provisions of the Articles. Any investor should consider whether they are prepared to accept their lack of control of any such variation, assuming the appointed investor directors do not form a majority of the directors on the board.
                    </paratext>
                  </para>
                </division>
              </drafting.note>
            </subclause1>
            <subclause1 id="a196337">
              <identifier>6.4</identifier>
              <para>
                <paratext>
                  An Investor Majority shall from time to time have the right to nominate one person to be an observer, who shall be entitled to receive notice of all meetings of [Directors (and committees of the Directors) 
                  <bold>OR</bold>
                   directors (and committees of the directors) of each Group Company] and copies of all board papers as if they were a [Director 
                  <bold>OR</bold>
                   director of each such Group Company] and to attend, propose resolutions and speak at, but not vote at, any meeting of the [Directors (and committees of the Directors) 
                  <bold>OR</bold>
                   directors (and committees of the directors) of each Group Company].
                </paratext>
              </para>
              <drafting.note id="a688063" jurisdiction="">
                <head align="left" preservecase="true">
                  <headtext>Observer</headtext>
                </head>
                <division id="a000045" level="1">
                  <para>
                    <paratext>
                      An observer will not, on the face of it, be a director of the company. An observer will have the right to attend, but not to vote at, board meetings (and board committee meetings). Care should be exercised by any person that is appointed as an observer however, as, depending on the level of involvement that they have in the proceedings at directors' meetings and in the management of the company, they may be regarded as either a 
                      <link href="9-107-7249" style="ACTLinkPLCtoPLC">
                        <bold>
                          <ital>shadow director</ital>
                        </bold>
                      </link>
                       or a 
                      <link href="5-107-6063" style="ACTLinkPLCtoPLC">
                        <bold>
                          <ital>de facto director</ital>
                        </bold>
                      </link>
                       of the company (see 
                      <link href="5-107-3583" style="ACTLinkPLCtoPLC">
                        <ital>Practice note, Directors' duties and shadow directors: joint ventures</ital>
                      </link>
                      ).
                    </paratext>
                  </para>
                  <para>
                    <paratext>The ability to appoint an observer may be in addition to, or in place of, a right to appoint an investor director. Where there are several investors, not all may be able to negotiate the right to appoint an investor director. Although an observer will only have the right to receive notice of the meetings and to attend the directors' meetings, rather than voting rights, an observer gives such an investor more immediate access to information on decisions taken at board level than they would otherwise have as a shareholder, without the responsibility associated with making the day to day decisions.</paratext>
                  </para>
                  <para>
                    <paratext>In relation to any right to appoint an observer, consider whether such right should be absolute, or conditional upon the appointing investor holding a minimum specified percentage of the shares (or Preferred Shares) in the company.</paratext>
                  </para>
                  <para>
                    <paratext>The investee company should consider its position on confidentiality carefully. The observer may be covered by a confidentiality agreement signed by their appointing investor but, if they are not, the company should consider requiring the observer to enter into a separate confidentiality agreement before the observer's rights are exercised.</paratext>
                  </para>
                </division>
              </drafting.note>
            </subclause1>
            <subclause1 id="a865215">
              <identifier>6.5</identifier>
              <para>
                <paratext>The [reasonable] expenses of each Investor Director and each observer shall be payable by the Company [but no other fees shall be payable to an Investor Director by the Company].</paratext>
              </para>
              <drafting.note id="a983095" jurisdiction="">
                <head align="left" preservecase="true">
                  <headtext>Investor director fees and expenses</headtext>
                </head>
                <division id="a000046" level="1">
                  <para>
                    <paratext>
                      An investor director and any observer will have the right to attend all board meetings and, under 
                      <internal.reference refid="a865215">article 6.5</internal.reference>
                      , to be reimbursed their reasonable expenses. An investor may seek to omit the word 'reasonable' to ensure that there is no risk of an investor director or observer being out of pocket for expenses not deemed by the board to be 'reasonable'. However, if such investor director or observer is resident outside the United Kingdom, management should consider the risk of having to reimburse the cost of flights and hotels for such person to attend board meetings. 
                      <link href="6-505-5094" style="ACTLinkPLCtoPLC">
                        <ital>Model article 10</ital>
                      </link>
                       provides that directors may, but are not obliged to, remotely attend board meetings, provided the conditions of that model article are met (see 
                      <link href="8-384-4772#a480695" style="ACTLinkPLCtoPLC">
                        <ital>Practice note, Model articles: private companies limited by shares: Companies Act 2006: participation in directors' meetings</ital>
                      </link>
                      ).
                    </paratext>
                  </para>
                  <para>
                    <paratext>Whether or not any additional fee is to be payable to an investor director by the company will be a matter for agreement between the parties, although will often be set out in any term sheet signed at the beginning of the deal. If the investment agreement provides for such a payment to be made, this optional wording should be omitted.</paratext>
                  </para>
                  <para>
                    <paratext>
                      <internal.reference refid="a865215">Article 6.5</internal.reference>
                       supplements 
                      <link href="6-505-5094" style="ACTLinkPLCtoPLC">
                        <ital>model article 20</ital>
                      </link>
                      , which will apply to all other directors. Model article 20 gives the directors discretion as to whether or not to pay expenses (where 
                      <internal.reference refid="a865215">article 6.5</internal.reference>
                       obliges the company to pay investor director and observer expenses).
                    </paratext>
                  </para>
                </division>
              </drafting.note>
            </subclause1>
            <subclause1 id="a798536">
              <identifier>6.6</identifier>
              <para>
                <paratext>
                  The Directors may, with Investor Consent, appoint any person as chair of the board of Directors (
                  <defn.term>Chair</defn.term>
                  ) and may, with Investor Consent, remove and replace any such Chair. [If the Chair has not been appointed within [NUMBER] calendar months of the Adoption Date, or within [NUMBER] months of the Chair's resignation or removal, an Investor Majority shall be entitled to appoint a Chair by notice in writing addressed to the Company.] [If there is no Chair in office for the time being, or the Chair is unable to attend any meeting of the Directors, the Directors present at the meeting must appoint another Director present at the meeting to chair the meeting and the appointment of the chair of the meeting must be the first business of the meeting.]
                </paratext>
              </para>
              <drafting.note id="a841647" jurisdiction="">
                <head align="left" preservecase="true">
                  <headtext>Chair</headtext>
                </head>
                <division id="a000047" level="1">
                  <para>
                    <paratext>
                      <internal.reference refid="a798536">Article 6.6</internal.reference>
                       replaces 
                      <link href="6-505-5094" style="ACTLinkPLCtoPLC">
                        <ital>model article 12</ital>
                      </link>
                       removing the directors' discretion to appoint and remove the chair of the board at will. An investor will want to be involved in the selection and appointment of a chair of the board and in particular if such chair is to have a casting vote (see 
                      <internal.reference refid="a463370">article 4.10</internal.reference>
                      ).
                    </paratext>
                  </para>
                  <para>
                    <paratext>
                      The words in square brackets in 
                      <internal.reference refid="a798536">article 6.6</internal.reference>
                       allow an investor to ensure the appointment of a chair in the absence of action by the board of directors. While the investor has the right to consent to any person the board proposes to appoint as chair, it does not have the right to force the board to appoint. Where the board fails to appoint a chair within three months, the investor will, if the words in square brackets are included, be able to make an appointment independent of the board. If such wording is included, the directors may seek the right to approve, or at least be consulted on, the identity of any person the investor proposes to appoint.
                    </paratext>
                  </para>
                  <para>
                    <paratext>
                      Whilst one director will hold the title of chair, board meetings do not require the chair's attendance to be quorate. The last sentence (in square brackets) of 
                      <internal.reference refid="a798536">article 6.6</internal.reference>
                       makes it clear that board meetings may proceed in the absence of the chair.
                    </paratext>
                  </para>
                </division>
              </drafting.note>
            </subclause1>
          </clause>
          <clause id="a168790">
            <identifier>7.</identifier>
            <head align="left" preservecase="true">
              <headtext>Transactions or other arrangements with the Company</headtext>
            </head>
            <subclause1 id="a212868">
              <para>
                <paratext>Subject to sections 177(5) and 177(6) and sections 182(5) and 182(6) of the Act and provided they have declared the nature and extent of their interest in accordance with the requirements of the Act, a Director who is in any way, whether directly or indirectly, interested in an existing or proposed transaction or arrangement with the Company:</paratext>
              </para>
              <subclause2 id="a505308">
                <identifier>(a)</identifier>
                <para>
                  <paratext>may be a party to, or otherwise interested in, any transaction or arrangement with the Company or in which the Company is otherwise (directly or indirectly) interested;</paratext>
                </para>
              </subclause2>
              <subclause2 id="a362406">
                <identifier>(b)</identifier>
                <para>
                  <paratext>shall be an Eligible Director for the purposes of any proposed decision of the Directors (or committee of the Directors) in respect of such existing or proposed transaction or arrangement in which they are interested;</paratext>
                </para>
              </subclause2>
              <subclause2 id="a56693">
                <identifier>(c)</identifier>
                <para>
                  <paratext>shall be entitled to vote at a meeting of Directors (or of a committee of the Directors) or participate in any unanimous decision, in respect of such existing or proposed transaction or arrangement in which they are interested;</paratext>
                </para>
              </subclause2>
              <subclause2 id="a708253">
                <identifier>(d)</identifier>
                <para>
                  <paratext>may act by themselves, or their firm in a professional capacity for the Company (otherwise than as auditor) and they, or their firm shall be entitled to remuneration for professional services as if they were not a Director;</paratext>
                </para>
              </subclause2>
              <subclause2 id="a753570">
                <identifier>(e)</identifier>
                <para>
                  <paratext>may be a Director or other officer of, or employed by, or a party to a transaction or arrangement with, or otherwise interested in, any body corporate in which the Company is otherwise (directly or indirectly) interested; and</paratext>
                </para>
              </subclause2>
              <subclause2 id="a148780">
                <identifier>(f)</identifier>
                <para>
                  <paratext>shall not, save as they may otherwise agree, be accountable to the Company for any benefit which they (or a person connected with them) derives from any such transaction or arrangement or from any such office or employment or from any interest in any such body corporate and no such transaction or arrangement shall be liable to be avoided on the grounds of any such interest or benefit nor shall the receipt of any such remuneration or other benefit constitute a breach of their duty under section 176 of the Act.</paratext>
                </para>
                <drafting.note id="a697572" jurisdiction="">
                  <head align="left" preservecase="true">
                    <headtext>Directors' transactional conflicts</headtext>
                  </head>
                  <division id="a000048" level="1">
                    <para>
                      <paratext>
                        <link href="7-505-5215" style="ACTLinkPLCtoPLC">
                          <ital>Sections 177</ital>
                        </link>
                         and 
                        <link href="5-505-5216" style="ACTLinkPLCtoPLC">
                          <ital>182</ital>
                        </link>
                         of the CA 2006 require a director to declare any interest (direct or indirect) in any actual or proposed transaction or arrangement with the company (a transactional conflict). For further information, see 
                        <link href="5-202-4474" style="ACTLinkPLCtoPLC">
                          <ital>Practice note, Declarations of directors' interests: Companies Act 2006</ital>
                        </link>
                        .
                      </paratext>
                    </para>
                    <para>
                      <paratext>
                        <internal.reference refid="a168790">Article 7</internal.reference>
                         replaces 
                        <link href="6-505-5094" style="ACTLinkPLCtoPLC">
                          <ital>model articles 14(1) and (2)</ital>
                        </link>
                        , which would otherwise restrict a director's ability to participate in directors' decisions if they had any interest in a proposed or actual transaction or arrangement with the company. The 
                        <link href="3-503-8567" style="ACTLinkPLCtoPLC">
                          <ital>CA 2006</ital>
                        </link>
                         makes no provision prohibiting an interested director from participating in those decisions.
                      </paratext>
                    </para>
                    <para>
                      <paratext>
                        Although there is no directors' duty to avoid having an interest in transactions or arrangements with the company, where there is an underlying conflict situation for the director (for example, the investee company proposes to enter into a contract with a key supplier to the business and the director is also a director of, or shareholder in, that supplier), then that conflict situation would need to be authorised. It may be the case that, when granting the authorisation of the director's interest in the supplier, the directors impose certain terms and conditions in the authorisation (see 
                        <internal.reference refid="a865667">article 8.3</internal.reference>
                        ). For example, the authorisation may provide that the director in question be excluded from making decisions in relation to any supply arrangement with that supplier. If that is the case, the director will not be entitled to vote on the supply arrangement or count in the quorum and will not, therefore, be considered to be an eligible director for such purposes.
                      </paratext>
                    </para>
                    <para>
                      <paratext>
                        Directors are also subject to certain other statutory duties, in particular, to act in a way they consider most likely to promote the success of the company (
                        <link href="5-505-5377" style="ACTLinkPLCtoPLC">
                          <ital>section 172</ital>
                        </link>
                        <ital>, CA 2006</ital>
                        ) and to exercise independent judgement (
                        <link href="2-505-5166" style="ACTLinkPLCtoPLC">
                          <ital>section 173</ital>
                        </link>
                        <ital>, CA 2006</ital>
                        ). As such, despite having made a declaration of interest, a director should carefully consider whether they would be able to participate in a meeting to discuss the transaction or arrangement in which they have the interest without being influenced by their personal interest to the detriment of the company. For further information, see 
                        <link href="7-376-4884" style="ACTLinkPLCtoPLC">
                          <ital>Practice note, Directors' general duties under the Companies Act 2006</ital>
                        </link>
                        .
                      </paratext>
                    </para>
                  </division>
                </drafting.note>
              </subclause2>
            </subclause1>
          </clause>
          <clause id="a1004072">
            <identifier>8.</identifier>
            <head align="left" preservecase="true">
              <headtext>Directors' conflicts</headtext>
            </head>
            <subclause1 id="a442007">
              <identifier>8.1</identifier>
              <para>
                <paratext>
                  The Directors may, in accordance with the requirements set out in this 
                  <internal.reference refid="a1004072">article 8</internal.reference>
                  , authorise any matter or situation proposed to them by any Director which would, if not authorised, involve a Director (an 
                  <defn.term>Interested Director</defn.term>
                  ) breaching their duty under section 175 of the Act to avoid conflicts of interest (
                  <defn.term>Conflict</defn.term>
                  ).
                </paratext>
              </para>
              <drafting.note id="a532183" jurisdiction="">
                <head align="left" preservecase="true">
                  <headtext>Authorisation of directors' conflicts</headtext>
                </head>
                <division id="a000049" level="1">
                  <para>
                    <paratext>
                      "Transactional conflicts" (being those requiring disclosure under sections 177 and 182 of the CA 2006; see 
                      <internal.reference refid="a697572">Drafting note, Directors' transactional conflicts</internal.reference>
                      ) must be distinguished from "situational conflicts" (being those prohibited under section 175 of CA 2006). The latter category of conflicts covers any conflict arising other than in relation to a transaction or arrangement with the company (section 175(3), CA 2006). For further information, see 
                      <link anchor="a347319" href="7-376-4884" style="ACTLinkPLCtoPLC">
                        <ital>Practice note, Directors' duties: directors' general duties under the Companies Act 2006: Duty to avoid conflicts of interest (section 175)</ital>
                      </link>
                      .
                    </paratext>
                  </para>
                  <para>
                    <paratext>
                      A private company does not require express authority in its articles for its directors to have power to authorise directors' conflicts. However, if the shareholders wish to retain the exclusive right to authorise such conflicts, it is possible to exclude the directors' ability to do so in the articles (
                      <link href="0-505-5167" style="ACTLinkPLCtoPLC">
                        <ital>section 175(5)</ital>
                      </link>
                      <ital>, CA 2006</ital>
                      ). Consider whether, in the context of the particular investee company, the parties (or, more particularly, any investors) wish to preclude the independent directors from authorising a director's interests that may give rise to conflicts under section 175 of the CA 2006, and to reserve such authorisation for the shareholders instead.
                    </paratext>
                  </para>
                  <para>
                    <paratext>An investor holding a significant proportion of a company's issued shares, but which only has the right to nominate one investor director to the board, may try to negotiate that authorisation of conflicts be reserved for the shareholders so that it is able to retain some control over the authorisation process and any conditions imposed. At the same time, such investor would not be entitled to vote on a resolution to authorise a conflict of its appointee and so consideration should be given to the relationship such investor has with the other shareholders.</paratext>
                  </para>
                  <para>
                    <paratext>
                      If shareholder authorisation is preferred, the provisions of 
                      <link anchor="a126476" href="6-386-2465" style="ACTLinkPLCtoPLC">
                        <ital>Standard document, Articles of association: joint venture deadlock company: 9. Directors' interests</ital>
                      </link>
                       may be adapted for the purpose.
                    </paratext>
                  </para>
                  <para>
                    <paratext>
                      <internal.reference refid="a85930">Article 8.2</internal.reference>
                       to 
                      <internal.reference refid="a363645">article 8.8</internal.reference>
                       (inclusive) set out a procedure for dealing with the authorisation of directors' conflicts by the independent, non-conflicted directors. 
                      <link href="5-505-5202" style="ACTLinkPLCtoPLC">
                        <ital>Section 180(4)(b)</ital>
                      </link>
                       of the CA 2006 provides a safe harbour for directors, who will not be in breach of their general duties under the 
                      <link href="3-503-8567" style="ACTLinkPLCtoPLC">
                        <ital>CA 2006</ital>
                      </link>
                       provided they act in accordance with provisions for dealing with conflicts of interest that are set out in the company's articles. It will be for individual companies (and their shareholders) to determine the extent to which they wish to include bespoke wording, in a form similar to 
                      <internal.reference refid="a85930">article 8.2</internal.reference>
                       to 
                      <internal.reference refid="a363645">article 8.8</internal.reference>
                      , to deal with such conflicts (if at all).
                    </paratext>
                  </para>
                  <para>
                    <paratext>
                      Note that, when the independent directors consider whether to authorise a particular director's conflict of interest, they will still need to have regard to their other duties as directors, including the duty to promote the success of the investee company for the benefit of its members as a whole (
                      <link href="5-505-5377" style="ACTLinkPLCtoPLC">
                        <ital>section 172</ital>
                      </link>
                      <ital>, CA 2006</ital>
                      ).
                    </paratext>
                  </para>
                  <para>
                    <paratext>
                      For further information on a director's general duties under the 
                      <link href="3-503-8567" style="ACTLinkPLCtoPLC">
                        <ital>CA 2006</ital>
                      </link>
                       (and the consequences of breaching those duties), see 
                      <link href="7-376-4884" style="ACTLinkPLCtoPLC">
                        <ital>Practice note, Directors' duties: directors' general duties under the Companies Act 2006</ital>
                      </link>
                      .
                    </paratext>
                  </para>
                </division>
              </drafting.note>
            </subclause1>
            <subclause1 id="a85930">
              <identifier>8.2</identifier>
              <para>
                <paratext>
                  Any authorisation under this 
                  <internal.reference refid="a1004072">article 8</internal.reference>
                   will be effective only if:
                </paratext>
              </para>
              <subclause2 id="a66556">
                <identifier>(a)</identifier>
                <para>
                  <paratext>[to the extent permitted by the Act,] the matter in question shall have been proposed by any Director for consideration in the same way that any other matter may be proposed to the Directors under the provisions of these Articles [or in such other manner as the Directors may determine];</paratext>
                </para>
              </subclause2>
              <subclause2 id="a995846">
                <identifier>(b)</identifier>
                <para>
                  <paratext>any requirement as to the quorum for consideration of the relevant matter is met without counting the Interested Director; and</paratext>
                </para>
              </subclause2>
              <subclause2 id="a703705">
                <identifier>(c)</identifier>
                <para>
                  <paratext>the matter was agreed to without the Interested Director voting or would have been agreed to if the Interested Director's vote had not been counted.</paratext>
                </para>
                <drafting.note id="a707129" jurisdiction="">
                  <head align="left" preservecase="true">
                    <headtext>Authorisation by non-conflicted directors</headtext>
                  </head>
                  <division id="a000050" level="1">
                    <para>
                      <paratext>
                        <bold>Authorisation of conflicts outside a directors' meetings</bold>
                      </paratext>
                    </para>
                    <para>
                      <paratext>
                        <link href="0-505-5167" style="ACTLinkPLCtoPLC">
                          <ital>Section 175(5)</ital>
                        </link>
                         of the CA 2006 provides that private companies may give authorisation to a conflict by the matter being proposed to and authorised by the directors. No reference is made in that section to the manner in which such authorisation may be given. However, section 175(6)(a) of the CA 2006 specifically refers to a conflicted director not counting towards the quorum at a meeting of the directors held to authorise a conflict.
                      </paratext>
                    </para>
                    <para>
                      <paratext>
                        Although it is possible (whilst not necessarily the intention of the 
                        <link href="3-503-8567" style="ACTLinkPLCtoPLC">
                          <ital>CA 2006</ital>
                        </link>
                        ) that 
                        <link href="0-505-5167" style="ACTLinkPLCtoPLC">
                          <ital>section 175(6)</ital>
                        </link>
                         could be read as requiring a directors' meeting to be held for any authorisation of a conflict to be given, it is more likely that the purpose of section 175(6) is not to require a meeting to be held, but simply to ensure that the interested director is prevented from having their vote counted for the purposes of the authorisation of their conflict.
                      </paratext>
                    </para>
                    <para>
                      <paratext>
                        <internal.reference refid="a66556">article 8.2(a)</internal.reference>
                         permits authorisation to be given in any manner provided for the taking of directors' decisions in the Articles, which would include decisions taken outside of a meeting. If the parties wish to provide that the authorisation of conflicts will only take place at a meeting of the directors, the following alternative provision may be used:
                      </paratext>
                    </para>
                    <display.quote>
                      <para>
                        <paratext>
                          "8.2Any authorisation under this 
                          <internal.reference refid="a1004072">article 8</internal.reference>
                           will be effective only if:
                        </paratext>
                      </para>
                    </display.quote>
                    <display.quote>
                      <para>
                        <paratext>(a)the matter in question shall have been proposed by any Director for consideration at a meeting of Directors in the same way that any other matter may be proposed to the Directors for consideration at a meeting under the provisions of these Articles;</paratext>
                      </para>
                    </display.quote>
                    <display.quote>
                      <para>
                        <paratext>(b)any requirement as to the quorum at the meeting of the Directors at which the matter is considered is met without counting the Interested Director; and</paratext>
                      </para>
                    </display.quote>
                    <display.quote>
                      <para>
                        <paratext>(c)the matter was agreed to without their voting or would have been agreed to if the Interested Director's vote had not been counted."</paratext>
                      </para>
                    </display.quote>
                    <para>
                      <paratext>
                        <bold>Quorum for authorisation of a director's conflict</bold>
                      </paratext>
                    </para>
                    <para>
                      <paratext>
                        A director whose conflict is to be considered by the other, non-interested directors is entitled to attend the relevant meeting and to count towards its quorum. However, if there are insufficient other directors present to constitute a quorum without the interested director, or there are insufficient votes in favour to pass the resolution without counting the interested director's vote, any resolution to authorise the conflict will be ineffective (
                        <link href="0-505-5167" style="ACTLinkPLCtoPLC">
                          <ital>section 175(6)</ital>
                        </link>
                        <ital>, CA 2006</ital>
                        ).
                      </paratext>
                    </para>
                    <para>
                      <paratext>
                        If the directors are to be given the power to authorise directors' conflicts of interest, as is the case in the standard document, consider how the requirement for only the independent directors to form part of the quorum and to vote on a resolution to authorise a particular conflict interacts with any requirement there may be in the articles for an investor director to be present for a meeting to be quorate. 
                        <internal.reference refid="a819898">article 4.7(c)</internal.reference>
                         provides that the quorum for directors' meetings, where the investor director is not an eligible director, is any two eligible directors. If a company's articles permit an investor to appoint more than one investor director, or a number of investors have the right to appoint separate investor directors, it is likely that the quorum will require the attendance of at least one non-conflicted investor director (unless all such directors are conflicted).
                      </paratext>
                    </para>
                    <para>
                      <paratext>
                        Any unanimous decision to authorise a conflict only requires unanimity of the eligible directors (see 
                        <internal.reference refid="a468072">Drafting note, Decisions of directors other than at meetings</internal.reference>
                         and 
                        <internal.reference refid="a225541">Drafting note, Definition: Eligible Directors</internal.reference>
                        ).
                      </paratext>
                    </para>
                  </division>
                </drafting.note>
              </subclause2>
            </subclause1>
            <subclause1 id="a865667">
              <identifier>8.3</identifier>
              <para>
                <paratext>
                  Any authorisation of a Conflict under this 
                  <internal.reference refid="a1004072">article 8</internal.reference>
                   may (whether at the time of giving the authorisation or subsequently):
                </paratext>
              </para>
              <subclause2 id="a447428">
                <identifier>(a)</identifier>
                <para>
                  <paratext>extend to any actual or potential conflict of interest which may reasonably be expected to arise out of the matter or situation so authorised;</paratext>
                </para>
              </subclause2>
              <subclause2 id="a106958">
                <identifier>(b)</identifier>
                <para>
                  <paratext>provide that the Interested Director be excluded from the receipt of documents and information and the participation in discussions (whether at meetings of the Directors or otherwise) related to the Conflict;</paratext>
                </para>
              </subclause2>
              <subclause2 id="a899464">
                <identifier>(c)</identifier>
                <para>
                  <paratext>[subject to Investor Consent,] provide that the Interested Director shall or shall not be an Eligible Director in respect of any future decision of the Directors in relation to any resolution related to the Conflict;</paratext>
                </para>
              </subclause2>
              <subclause2 id="a130069">
                <identifier>(d)</identifier>
                <para>
                  <paratext>impose upon the Interested Director such other terms for the purposes of dealing with the Conflict as the Directors think fit;</paratext>
                </para>
              </subclause2>
              <subclause2 id="a462961">
                <identifier>(e)</identifier>
                <para>
                  <paratext>provide that, where the Interested Director obtains, or has obtained (through their involvement in the Conflict and otherwise than through the Interested Director's position as a Director of the Company) information that is confidential to a third party, they will not be obliged to disclose that information to the Company, or to use it in relation to the Company's affairs where to do so would amount to a breach of that confidence; and</paratext>
                </para>
              </subclause2>
              <subclause2 id="a215017">
                <identifier>(f)</identifier>
                <para>
                  <paratext>permit the Interested Director to absent themselves from the discussion of matters relating to the Conflict at any meeting of the Directors and be excused from reviewing papers prepared by, or for, the Directors to the extent they relate to such matters.</paratext>
                </para>
                <drafting.note id="a343964" jurisdiction="">
                  <head align="left" preservecase="true">
                    <headtext>Conditions attached to the directors' authorisation of a conflict</headtext>
                  </head>
                  <division id="a000051" level="1">
                    <para>
                      <paratext>
                        <internal.reference refid="a865667">article 8.3</internal.reference>
                         (and 
                        <internal.reference refid="a260877">article 8.4</internal.reference>
                        ) make some provision for the actual management of conflicts by setting out some of the terms and conditions upon which the directors may grant an authorisation.
                      </paratext>
                    </para>
                    <para>
                      <paratext>
                        <link href="5-505-5202" style="ACTLinkPLCtoPLC">
                          <ital>Section 180(4)(b)</ital>
                        </link>
                         of the CA 2006 gives a safe harbour for directors, by stating that they will not be in breach of their general duties under the 
                        <link href="3-503-8567" style="ACTLinkPLCtoPLC">
                          <ital>CA 2006</ital>
                        </link>
                         provided they act in accordance with provisions for dealing with conflicts of interest that are set out in the company's articles.
                      </paratext>
                    </para>
                    <para>
                      <paratext>In cases where a director is excused from an obligation to disclose a third party's confidential information to the investee company, the directors may want to ensure that such director has an equivalent release in relation to the investee company's confidential information from the relevant third party.</paratext>
                    </para>
                  </division>
                </drafting.note>
              </subclause2>
            </subclause1>
            <subclause1 id="a260877">
              <identifier>8.4</identifier>
              <para>
                <paratext>Where the Directors authorise a Conflict, the Interested Director will be obliged to conduct themselves in accordance with any terms and conditions imposed by the Directors in relation to the Conflict.</paratext>
              </para>
            </subclause1>
            <subclause1 id="a75249">
              <identifier>8.5</identifier>
              <para>
                <paratext>The Directors may revoke or vary such authorisation at any time, but this will not affect anything done by the Interested Director, prior to such revocation or variation, in accordance with the terms of such authorisation.</paratext>
              </para>
            </subclause1>
            <subclause1 id="a897711">
              <identifier>8.6</identifier>
              <para>
                <paratext>
                  A Director, notwithstanding their office, may be a Director or other officer of, employed by, or otherwise interested (including by the holding of shares) in their appointor(s) (or any Permitted Transferee of such appointor(s)) and no authorisation under 
                  <internal.reference refid="a442007">article 8.1</internal.reference>
                   shall be necessary in respect of any such interest.
                </paratext>
              </para>
              <drafting.note id="a809897" jurisdiction="">
                <head align="left" preservecase="true">
                  <headtext>Authorisation of director's interests in relation to their appointor</headtext>
                </head>
                <division id="a000052" level="1">
                  <para>
                    <paratext>The parties (in particular any investor) should consider, at the outset on formation of the investee company, what potential conflicts of interest their nominated directors may have and they should consider authorising any such conflicts on formation.</paratext>
                  </para>
                  <para>
                    <paratext>In order to deal with the most typical conflict situations that a director faces in a venture capital backed company, namely that:</paratext>
                  </para>
                  <list type="bulleted">
                    <list.item>
                      <para>
                        <paratext>In the case of any director, they are also a director of another group company.</paratext>
                      </para>
                    </list.item>
                    <list.item>
                      <para>
                        <paratext>In the case of an investor director, they have been appointed by an investor and therefore also represents the interests of that investor.</paratext>
                      </para>
                    </list.item>
                    <list.item>
                      <para>
                        <paratext>An investor director is likely to be employed by and/or a director or partner of the investor and other companies in the investor's group,</paratext>
                      </para>
                    </list.item>
                  </list>
                  <para>
                    <paratext>
                      <internal.reference refid="a897711">article 8.6</internal.reference>
                       expressly authorises this type of interest, without the need to seek a separate authorisation of the interest from the directors under 
                      <internal.reference refid="a442007">article 8.1</internal.reference>
                      . Directors should also be advised to keep potential conflict situations and interests, for example, other directorships that they may hold, under review, and to disclose these as soon as they arise, or as the nature of a potential conflict that has already been authorised changes, and to seek authorisation of the particular situation from the directors.
                    </paratext>
                  </para>
                </division>
              </drafting.note>
            </subclause1>
            <subclause1 id="a164745">
              <identifier>8.7</identifier>
              <para>
                <paratext>
                  An Investor Director shall be entitled from time to time to disclose to [their appointor(s) (and to any Permitted Transferee of such appointor(s)) 
                  <bold>OR</bold>
                   to any Investor [(and to any Permitted Transferee of an Investor)]] such information concerning the business and affairs of the Company as they shall at their discretion see fit.
                </paratext>
              </para>
              <drafting.note id="a472140" jurisdiction="">
                <head align="left" preservecase="true">
                  <headtext>Disclosure of information by Investor Director</headtext>
                </head>
                <division id="a000053" level="1">
                  <para>
                    <paratext>
                      <internal.reference refid="a164745">article 8.7</internal.reference>
                       authorises each director to disclose such information about the affairs of the investee company as they deem necessary to the investor(s) that appointed them (or, if the alternative wording is preferred, to any investor; this will be appropriate where a venture capital house invests through a number of managed funds, but not all such funds signed the notice of appointment of the relevant investor director; it may also be desirable where there are a number of independent investors, but not all have the right to appoint investor directors), thereby enabling the investor to stay informed about its investment in the company and preventing the director in question from being in breach of their duty of confidentiality to the investee company.
                    </paratext>
                  </para>
                  <para>
                    <paratext>Reference to permitted transferees of an Investor should be included if 'Investor' is defined as any holder of Preferred Shares (to allow disclosure to non-shareholder entities within an investor's group).</paratext>
                  </para>
                </division>
              </drafting.note>
            </subclause1>
            <subclause1 id="a363645">
              <identifier>8.8</identifier>
              <para>
                <paratext>A Director is not required, by reason of being a Director (or because of the fiduciary relationship established by reason of being a Director), to account to the Company for any remuneration, profit or other benefit which they derive from or in connection with a relationship involving a Conflict which has been authorised by the Directors in accordance with these Articles or by the Company in general meeting (subject in each case to any terms and conditions attaching to that authorisation) and no contract shall be liable to be avoided on such grounds.</paratext>
              </para>
            </subclause1>
          </clause>
          <clause condition="optional" id="a1007964">
            <identifier>9.</identifier>
            <head align="left" preservecase="true">
              <headtext>Secretary</headtext>
            </head>
            <subclause1 id="a702251">
              <para>
                <paratext>The Directors may appoint any person who is willing to act as the secretary for such term, at such remuneration and upon such conditions as they may think fit and from time to time remove such person and, if the Directors so decide, appoint a replacement, in each case by a decision of the Directors.</paratext>
              </para>
              <drafting.note id="a85349" jurisdiction="">
                <head align="left" preservecase="true">
                  <headtext>Secretary</headtext>
                </head>
                <division id="a000054" level="1">
                  <para>
                    <paratext>
                      A private company is not required to have a company secretary (
                      <link href="6-505-5126" style="ACTLinkPLCtoPLC">
                        <ital>section 270(1)</ital>
                      </link>
                      <ital>, CA 2006</ital>
                      ). Section 270(3) of the CA 2006 provides that if a private company does not have a secretary, anything that would have been done by a secretary may be done, among others, by a director.
                    </paratext>
                  </para>
                  <para>
                    <paratext>
                      For more information on company secretaries under the 
                      <link href="3-503-8567" style="ACTLinkPLCtoPLC">
                        <ital>CA 2006</ital>
                      </link>
                      , see 
                      <link href="6-384-9539" style="ACTLinkPLCtoPLC">
                        <ital>Practice note, Company secretary: appointment, role and responsibilities</ital>
                      </link>
                       and 
                      <link href="4-366-4065" style="ACTLinkPLCtoPLC">
                        <ital>Practice note, Companies Act 2006: company secretaries: a quick guide</ital>
                      </link>
                      .
                    </paratext>
                  </para>
                </division>
              </drafting.note>
            </subclause1>
          </clause>
          <head align="left" preservecase="true">
            <headtext>SHARES AND DISTRIBUTIONS</headtext>
          </head>
          <clause id="a862624">
            <identifier>10.</identifier>
            <head align="left" preservecase="true">
              <headtext>Dividends</headtext>
            </head>
            <subclause1 id="a652637">
              <identifier>10.1</identifier>
              <para>
                <paratext>
                  In respect of any Financial Year, the Available Profits of the Company shall be used to pay dividends as set out in this 
                  <internal.reference refid="a862624">article 10</internal.reference>
                  .
                </paratext>
              </para>
              <drafting.note id="a641453" jurisdiction="">
                <head align="left" preservecase="true">
                  <headtext>Available profits</headtext>
                </head>
                <division id="a000055" level="1">
                  <para>
                    <paratext>
                      <link href="3-505-9395" style="ACTLinkPLCtoPLC">
                        <ital>Section 832</ital>
                      </link>
                       of the CA 2006 provides that distributions (including dividends) can only be paid out of profits which are available for the purpose, being accumulated realised profits (so far as not previously utilised by distribution or capitalisation) less accumulated, realised losses (so far as not previously written off in a reduction or re-organisation of capital duly made) (
                      <ital>section 832(2), CA 2006</ital>
                      ). For more on dividends under the 
                      <link href="3-503-8567" style="ACTLinkPLCtoPLC">
                        <ital>CA 2006</ital>
                      </link>
                      , see 
                      <link href="3-107-4376" style="ACTLinkPLCtoPLC">
                        <ital>Practice note, Dividends</ital>
                      </link>
                      .
                    </paratext>
                  </para>
                </division>
              </drafting.note>
            </subclause1>
            <subclause1 id="a164894">
              <identifier>10.2</identifier>
              <para>
                <paratext>
                  Subject to 
                  <internal.reference refid="a291656">article 10.13</internal.reference>
                  , the Company shall, without need for a resolution of the Directors, or the Company in general meeting and before application of any Available Profits to reserves or for any other purpose, pay in respect of each Preferred Share a fixed, cumulative, preferential dividend (
                  <defn.term>Preferred Dividend</defn.term>
                  ) at an annual rate of [£[AMOUNT] per Preferred Share 
                  <bold>OR</bold>
                   [PERCENTAGE]% of the Issue Price per Preferred Share] to the person registered as its holder on the due date (such date determined in accordance with this 
                  <internal.reference refid="a862624">article 10</internal.reference>
                  ).
                </paratext>
              </para>
              <drafting.note id="a164074" jurisdiction="">
                <head align="left" preservecase="true">
                  <headtext>Preferred dividend</headtext>
                </head>
                <division id="a000056" level="1">
                  <para>
                    <paratext>
                      The general rule relating to the declaration of dividends is set out in 
                      <link href="6-505-5094" style="ACTLinkPLCtoPLC">
                        <ital>model article 30</ital>
                      </link>
                      , which provides that dividends are to be declared in general meeting, following (and not exceeding) the recommendation of the directors. Interim dividends, on the other hand, may be declared by the directors without the need for shareholder approval.
                    </paratext>
                  </para>
                  <para>
                    <paratext>
                      This 
                      <internal.reference refid="a164894">article 10.2</internal.reference>
                       overrides that general rule, so that the wording of this article suffices to create an entitlement to the Preferred Dividend. It is not conditional on being approved by the directors or the shareholders; nor is an entitlement to the dividend conditional on there being available profits. Where the company is not lawfully permitted to pay the Preferred Dividend due to not having sufficient profits for distribution, 
                      <internal.reference refid="a157044">article 10.10</internal.reference>
                       will apply to ensure that any unpaid amount is not lost to the investor.
                    </paratext>
                  </para>
                  <para>
                    <paratext>In choosing whether to express the dividend as a cash figure per share, or as a percentage of the issue price, care should be taken to ensure that appropriate adjustments are made to that amount in the event of a sub-division or consolidation of the relevant share.</paratext>
                  </para>
                  <para>
                    <paratext>Including the word 'cumulative' ensures that any Preferred Dividend which is not paid by the company in a particular financial year accumulates as arrears of dividend until it is paid.</paratext>
                  </para>
                </division>
              </drafting.note>
            </subclause1>
            <subclause1 id="a234853">
              <identifier>10.3</identifier>
              <para>
                <paratext>
                  Subject to 
                  <internal.reference refid="a200535">article 10.4</internal.reference>
                  , the Preferred Dividend shall be paid in cash [on [DATE] in each year 
                  <bold>OR</bold>
                   in [NUMBER] equal instalments on the last Business Day of [MONTH], [MONTH], [MONTH] and [MONTH] of each year], the first such payment to be made on [DATE] in respect of the period from the Adoption Date to (and including) [DATE].
                </paratext>
              </para>
            </subclause1>
            <subclause1 id="a200535">
              <identifier>10.4</identifier>
              <para>
                <paratext>
                  All unpaid arrears and accruals of the Preferred Dividend shall be paid on the date of an Exit or, if earlier, on the date of conversion of all Preferred Shares in accordance with 
                  <internal.reference refid="a103637">article 14</internal.reference>
                  .
                </paratext>
              </para>
              <drafting.note id="a319800" jurisdiction="">
                <head align="left" preservecase="true">
                  <headtext>Payment dates</headtext>
                </head>
                <division id="a000057" level="1">
                  <para>
                    <paratext>
                      <internal.reference refid="a234853">article 10.3</internal.reference>
                       and 
                      <internal.reference refid="a200535">article 10.4</internal.reference>
                       provide for the dates of payment of the Preferred Dividend. The frequency of scheduled payments will be for the parties to determine. In any event, an investor will require payment of all outstanding dividends on the date it exits the company (including if its retains any shares following an initial public offering) to ensure a clean break from its private company investment. Conversion of Preferred Shares into ordinary equity will most often be made in connection with a Listing and so, to ensure that conversion of its equity interest is absolute, an investor will seek to collect outstanding arrears and accruals of Preferred Dividend at that time.
                    </paratext>
                  </para>
                </division>
              </drafting.note>
            </subclause1>
            <subclause1 id="a346979">
              <identifier>10.5</identifier>
              <para>
                <paratext>The Company shall not declare or pay any further dividend unless and until:</paratext>
              </para>
              <subclause2 id="a913089">
                <identifier>(a)</identifier>
                <para>
                  <paratext>all arrears and accruals of the Preferred Dividend have been paid; and</paratext>
                </para>
              </subclause2>
              <subclause2 id="a650976">
                <identifier>(b)</identifier>
                <para>
                  <paratext>the Company obtains Investor Consent to any such dividend.</paratext>
                </para>
                <drafting.note id="a1011550" jurisdiction="">
                  <head align="left" preservecase="true">
                    <headtext>Further dividends</headtext>
                  </head>
                  <division id="a000058" level="1">
                    <para>
                      <paratext>
                        As the Preferred Dividend is cumulative, an investor will not want any further dividend to be paid out if any arrears of the Preferred Dividend are outstanding. Accordingly, the directors must seek investor consent if they wish to pay any other dividends in any financial year (including any interim dividends - see 
                        <internal.reference refid="a64957">article 10.7</internal.reference>
                        ).
                      </paratext>
                    </para>
                  </division>
                </drafting.note>
              </subclause2>
            </subclause1>
            <subclause1 id="a768470">
              <identifier>10.6</identifier>
              <para>
                <paratext>
                  Subject to 
                  <internal.reference refid="a346979">article 10.5</internal.reference>
                   and 
                  <internal.reference refid="a291656">article 10.13</internal.reference>
                  , any further Available Profits which the Company may determine to distribute in respect of any Financial Year will be distributed among the holders of the Equity Shares (pari passu as if they constituted Shares of the same class) pro rata to their respective holdings of Equity Shares.
                </paratext>
              </para>
              <drafting.note id="a659066" jurisdiction="">
                <head align="left" preservecase="true">
                  <headtext>Equity dividends</headtext>
                </head>
                <division id="a000059" level="1">
                  <para>
                    <paratext>
                      Where investor consent is obtained to any further dividend (see 
                      <internal.reference refid="a346979">article 10.5</internal.reference>
                       and 
                      <internal.reference refid="a768470">article 10.6</internal.reference>
                      ), such dividend is to be shared between the holders of the Preferred Shares and the Ordinary Shares, pro rata to the numbers of shares held. Management (or other holders of Ordinary Shares) may argue that they should first receive a 'catch' up dividend, before further profits are paid to the holders of the Preferred Shares. For example wording of such a catch-up dividend, see 
                      <link href="2-101-6339" style="ACTLinkPLCtoPLC">
                        <ital>Standard document, Articles of association (selected): private equity buyout vehicle: article 1.7(a)</ital>
                      </link>
                      .
                    </paratext>
                  </para>
                  <para>
                    <paratext>
                      Although not applicable to Preferred Dividends, 
                      <link href="6-505-5094" style="ACTLinkPLCtoPLC">
                        <ital>model article 30</ital>
                      </link>
                       will apply to any further dividend and so will be conditional upon a recommendation of the directors, approved by the shareholders in general meeting.
                    </paratext>
                  </para>
                </division>
              </drafting.note>
            </subclause1>
            <subclause1 condition="optional" id="a64957">
              <identifier>10.7</identifier>
              <para>
                <paratext>Subject to the Act, the Directors may pay interim dividends provided that:</paratext>
              </para>
              <subclause2 id="a238450">
                <identifier>(a)</identifier>
                <para>
                  <paratext>the Available Profits of the Company justify the payment; and</paratext>
                </para>
              </subclause2>
              <subclause2 id="a249131">
                <identifier>(b)</identifier>
                <para>
                  <paratext>the Company obtains Investor Consent to any such interim dividend.</paratext>
                </para>
                <drafting.note id="a217087" jurisdiction="">
                  <head align="left" preservecase="true">
                    <headtext>Interim dividends</headtext>
                  </head>
                  <division id="a000060" level="1">
                    <para>
                      <paratext>
                        <internal.reference refid="a64957">article 10.7</internal.reference>
                         extends 
                        <link href="6-505-5094" style="ACTLinkPLCtoPLC">
                          <ital>model article 30(1)</ital>
                        </link>
                        , as it relates to interim dividends. In addition to the usual requirement that any such dividend be justified according to accounts (see 
                        <ital>Chapter 2 of Part 23 of the </ital>
                        <link href="3-503-8567" style="ACTLinkPLCtoPLC">
                          <ital>CA 2006</ital>
                        </link>
                         and 
                        <link href="0-381-1737#a689945" style="ACTLinkPLCtoPLC">
                          <ital>Practice note, Distributions: Justifying distributions by reference to relevant accounts</ital>
                        </link>
                        ), the directors must obtain investor consent before they pay an interim dividend.
                      </paratext>
                    </para>
                    <para>
                      <paratext>
                        The inclusion of 
                        <internal.reference refid="a64957">article 10.7</internal.reference>
                         is optional, as it is likely that an investor will have a separate right to consent to the payment of any dividend, through controls set out in the investment agreement (or in a Variation of class rights provision).
                      </paratext>
                    </para>
                  </division>
                </drafting.note>
              </subclause2>
            </subclause1>
            <subclause1 id="a1024822">
              <identifier>10.8</identifier>
              <para>
                <paratext>Each dividend shall be distributed to the appropriate Shareholders pro rata according to the number of Shares held by them respectively and shall accrue daily (assuming a 365 day year) as well after as before the commencement of a winding up. All dividends are expressed net and shall be paid in cash.</paratext>
              </para>
              <drafting.note id="a890010" jurisdiction="">
                <head align="left" preservecase="true">
                  <headtext>Allocation of dividends</headtext>
                </head>
                <division id="a000061" level="1">
                  <para>
                    <paratext>
                      For the purposes of 
                      <internal.reference refid="a1024822">article 10.8</internal.reference>
                      , it will not matter if the two classes of shares have different nominal values. As these Articles, as well as the Model Articles, assume that all shares are issued fully paid (see 
                      <link href="6-505-5094" style="ACTLinkPLCtoPLC">
                        <ital>model article 21(1)</ital>
                      </link>
                      ), provision for dividends to be apportioned according to the amounts paid up on shares is not relevant here. If the company does wish to provide for the issue of part or nil-paid shares, consideration should be given as to whether partly paid shares should receive dividends as if they were fully paid, or whether some proportionate reduction should be applied.
                    </paratext>
                  </para>
                </division>
              </drafting.note>
            </subclause1>
            <subclause1 id="a612296">
              <identifier>10.9</identifier>
              <para>
                <paratext>Unless the Company has insufficient Available Profits, the Preferred Dividend shall, notwithstanding that such dividend is expressed to be cumulative, be paid immediately on the due date.</paratext>
              </para>
              <drafting.note id="a862011" jurisdiction="">
                <head align="left" preservecase="true">
                  <headtext>Due date</headtext>
                </head>
                <division id="a000062" level="1">
                  <para>
                    <paratext>
                      Under common law, dividends become a debt due from the company on the date declared by the shareholders in general meeting (or, in the case of interim dividends, when paid). As the Preferred Dividend does not require shareholder approval (see 
                      <internal.reference refid="a652637">article 10.1</internal.reference>
                      ), 
                      <internal.reference refid="a612296">article 10.9</internal.reference>
                       provides that the Preferred Dividend becomes a debt due as soon as it becomes payable by the company (also see 
                      <internal.reference refid="a227768">article 10.10(a)</internal.reference>
                      ).
                    </paratext>
                  </para>
                </division>
              </drafting.note>
            </subclause1>
            <subclause1 id="a157044">
              <identifier>10.10</identifier>
              <para>
                <paratext>If, as a result of not having sufficient Available Profits, the Company is not lawfully permitted to pay the Preferred Dividend in full on the due date, it shall pay the Preferred Dividend to the extent it is lawfully able to do so. The unpaid amount shall:</paratext>
              </para>
              <subclause2 id="a227768">
                <identifier>(a)</identifier>
                <para>
                  <paratext>be a debt due from the Company; and</paratext>
                </para>
              </subclause2>
              <subclause2 id="a281175">
                <identifier>(b)</identifier>
                <para>
                  <paratext>accrue interest daily (assuming a 365 day year) at the rate of [PERCENTAGE]% above the base lending rate of [NAME OF BANK] in respect of the period from the due date to the actual date of payment (both dates inclusive) [, compounded to the end of each calendar month] and such interest shall, to the extent outstanding for the time being, be paid on the date of payment of the Preferred Dividend in respect of which the relevant interest accrues.</paratext>
                </para>
                <drafting.note id="a826978" jurisdiction="">
                  <head align="left" preservecase="true">
                    <headtext>Compound interest</headtext>
                  </head>
                  <division id="a000063" level="1">
                    <para>
                      <paratext>It is likely that management should resist the compounding of interest on unpaid dividends, given the significant difference it can make to the total amount of interest payable.</paratext>
                    </para>
                  </division>
                </drafting.note>
              </subclause2>
            </subclause1>
            <subclause1 id="a120955">
              <identifier>10.11</identifier>
              <para>
                <paratext>If the Company is in arrears in paying the Preferred Dividend, the first Available Profits arising shall be applied in or towards paying off any arrears of Preferred Dividend.</paratext>
              </para>
              <drafting.note id="a523856" jurisdiction="">
                <head align="left" preservecase="true">
                  <headtext>First available profits</headtext>
                </head>
                <division id="a000064" level="1">
                  <para>
                    <paratext>
                      <internal.reference refid="a120955">article 10.11</internal.reference>
                       will hold particular importance if interest on unpaid dividends is compounded periodically. The company will want to clear the oldest arrears of Preferred Dividend first, to reduce the capital amount on which interest continues to accrue.
                    </paratext>
                  </para>
                </division>
              </drafting.note>
            </subclause1>
            <subclause1 id="a601614">
              <identifier>10.12</identifier>
              <para>
                <paratext>The Company shall procure that the profits of any other Group Company available for distribution shall from time to time (and to the extent lawful), be paid by way of dividend to the Company (or, as the case may be, the relevant Group Company that is its immediate holding company) to the extent necessary to permit lawful and prompt payment by the Company of the Preferred Dividend.</paratext>
              </para>
              <drafting.note id="a733437" jurisdiction="">
                <head align="left" preservecase="true">
                  <headtext>Group company dividends</headtext>
                </head>
                <division id="a000065" level="1">
                  <para>
                    <paratext>
                      <internal.reference refid="a601614">article 10.12</internal.reference>
                       affords some comfort to an investor that the company in which it holds shares will be able to meet the periodic Preferred Dividend payments. As the relevant company will often be a newco holding company, without any material assets of its own, it may be reliant on its subsidiaries generating profits in order to service the dividend payments. 
                      <internal.reference refid="a601614">article 10.12</internal.reference>
                       places an obligation on that top company to procure that such profits are passed up through the corporate group structure.
                    </paratext>
                  </para>
                </division>
              </drafting.note>
            </subclause1>
            <subclause1 condition="optional" id="a291656">
              <identifier>10.13</identifier>
              <para>
                <paratext>
                  Notwithstanding any other provision of this 
                  <internal.reference refid="a862624">article 10</internal.reference>
                  , no dividend may be paid to the Company in respect of any Shares held in treasury.
                </paratext>
              </para>
              <drafting.note id="a378294" jurisdiction="">
                <head align="left" preservecase="true">
                  <headtext>Dividends: treasury shares</headtext>
                </head>
                <division id="a000066" level="1">
                  <para>
                    <paratext>
                      <link href="7-506-5078" style="ACTLinkPLCtoPLC">
                        <ital>Section 726</ital>
                      </link>
                       of the CA 2006 provides that no dividend or other distribution may be paid to the Company in respect of shares held in treasury following a buyback of shares. As 
                      <internal.reference refid="a291656">article 10.13</internal.reference>
                       merely restates section 726, it is not strictly necessary to include it. Consider whether it might be helpful to include it for clarity.
                    </paratext>
                  </para>
                </division>
              </drafting.note>
            </subclause1>
          </clause>
          <clause id="a302537">
            <identifier>11.</identifier>
            <head align="left" preservecase="true">
              <headtext>Liquidation preference</headtext>
            </head>
            <drafting.note id="a480958" jurisdiction="">
              <head align="left" preservecase="true">
                <headtext>Liquidation preference: treasury shares</headtext>
              </head>
              <division id="a000067" level="1">
                <para>
                  <paratext>
                    Under 
                    <internal.reference refid="a638953">article 26</internal.reference>
                     the Company may elect to hold shares in treasury following a buyback. In that case, the Company may be a member of itself (under 
                    <link href="8-507-0197" style="ACTLinkPLCtoPLC">
                      <ital>section 124</ital>
                    </link>
                     of the CA 2006) at the time a distribution of assets is made under 
                    <internal.reference refid="a302537">article 11</internal.reference>
                    . However, under 
                    <link href="7-506-5078" style="ACTLinkPLCtoPLC">
                      <ital>section 726</ital>
                    </link>
                     of the CA 2006, the Company is not entitled to receive a distribution of assets on a winding up in respect of shares held in treasury. As such, the provisions of 
                    <internal.reference refid="a302537">article 11</internal.reference>
                     will not apply to treasury shares. 
                    <internal.reference refid="a764618">article 1.10</internal.reference>
                     also provides that the Company is not to be considered a holder of Preferred Shares, Ordinary Shares or Equity Shares and so would exclude the Company from the operation of 
                    <internal.reference refid="a302537">article 11</internal.reference>
                     in any event.
                  </paratext>
                </para>
              </division>
            </drafting.note>
            <subclause1 id="a56867">
              <para>
                <paratext>On a return of assets on liquidation, capital reduction or otherwise (other than a conversion or purchase of Shares), the assets of the Company remaining after the payment of its liabilities shall be applied (to the extent that the Company is lawfully able to do so) in the following order of priority:</paratext>
              </para>
              <subclause2 id="a793878">
                <identifier>(a)</identifier>
                <para>
                  <paratext>
                    first, in paying to the holders of the Preferred Shares in respect of each Preferred Share held the [sum of £[AMOUNT] 
                    <bold>OR</bold>
                     Issue Price of that Preferred Share], together with a sum equal to any arrears and accruals of the Preferred Dividend in respect of that Preferred Share calculated down to (and including) the date of the return of capital and, if there is a shortfall of assets remaining to satisfy such payments in full, the proceeds shall be distributed to the holders of the Preferred Shares pro rata to the aggregate amounts due under this 
                    <internal.reference refid="a793878">article 11(a)</internal.reference>
                     to each such Preferred Share held; [and]
                  </paratext>
                </para>
              </subclause2>
              <subclause2 condition="optional" id="a317264">
                <identifier>(b)</identifier>
                <para>
                  <paratext>
                    second, in paying to the holders of the Ordinary Shares in respect of each Ordinary Share held the Issue Price of that Ordinary Share, together with a sum equal to any arrears and accruals of dividend in respect of that Ordinary Share and, if there is a shortfall of assets remaining to satisfy such payments in full, the proceeds shall be distributed to the holders of the Ordinary Shares pro rata to the aggregate amounts due under this 
                    <internal.reference refid="a317264">article 11(b)</internal.reference>
                     to each such Ordinary Share held; and
                  </paratext>
                </para>
                <drafting.note id="a822933" jurisdiction="">
                  <head align="left" preservecase="true">
                    <headtext>Ordinary share catch-up</headtext>
                  </head>
                  <division id="a000068" level="1">
                    <para>
                      <paratext>
                        Management may argue that once the holders of the Preferred Shares have received their invested capital, plus scheduled dividends back, the holders of the Ordinary Shares should be entitled to the return of their capital invested, plus dividends, before any allocation of surplus amounts. Without the inclusion of the 'catch-up' distribution in 
                        <internal.reference refid="a317264">article 11(b)</internal.reference>
                        , the holders of the Preferred Shares will receive a greater proportionate return on each Preferred Share held, than the holders of the Ordinary Shares.
                      </paratext>
                    </para>
                  </division>
                </drafting.note>
              </subclause2>
              <subclause2 id="a747108">
                <identifier>(c)</identifier>
                <para>
                  <paratext>thereafter, in distributing the balance among the holders of the Equity Shares pro rata to the number of Equity Shares held, as if they all constituted shares of the same class.</paratext>
                </para>
                <drafting.note id="a690712" jurisdiction="">
                  <head align="left" preservecase="true">
                    <headtext>Different nominal values</headtext>
                  </head>
                  <division id="a000069" level="1">
                    <para>
                      <paratext>
                        Where shares of different classes have different nominal values, consider whether the return of any surplus assets should be made proportionate to the respective nominal values, or whether the holders of all shares are to be treated equally. 
                        <internal.reference refid="a747108">article 11(c)</internal.reference>
                         treats all shareholders equally.
                      </paratext>
                    </para>
                  </division>
                </drafting.note>
              </subclause2>
            </subclause1>
          </clause>
          <clause id="a723154">
            <identifier>12.</identifier>
            <head align="left" preservecase="true">
              <headtext>Exit provisions</headtext>
            </head>
            <subclause1 id="a263857">
              <identifier>12.1</identifier>
              <para>
                <paratext>
                  On a Share Sale, the Sale Proceeds shall be distributed in the order of priority set out in 
                  <internal.reference refid="a302537">article 11</internal.reference>
                  . The Directors shall not register any transfer of Shares if the Sale Proceeds are not distributed in that manner (save in respect of any Shares not sold in connection with that Share Sale) provided that, if the Sale Proceeds are not settled in their entirety upon completion of the Share Sale:
                </paratext>
              </para>
              <subclause2 id="a438405">
                <identifier>(a)</identifier>
                <para>
                  <paratext>
                    the Directors may register the transfer of the relevant Shares, provided that the Sale Proceeds due on the date of completion of the Share Sale have been distributed in the order of priority set out in 
                    <internal.reference refid="a302537">article 11</internal.reference>
                    ; and
                  </paratext>
                </para>
              </subclause2>
              <subclause2 id="a175418">
                <identifier>(b)</identifier>
                <para>
                  <paratext>
                    each Shareholder shall take any [reasonable] action (to the extent lawful [and within its control]) required by an Investor Majority to ensure that the balance of the Sale Proceeds are distributed in the order of priority set out in 
                    <internal.reference refid="a302537">article 11</internal.reference>
                    .
                  </paratext>
                </para>
                <drafting.note id="a698802" jurisdiction="">
                  <head align="left" preservecase="true">
                    <headtext>Share sale proceeds</headtext>
                  </head>
                  <division id="a000070" level="1">
                    <para>
                      <paratext>
                        <internal.reference refid="a723154">article 12</internal.reference>
                         requires the proceeds of a share sale to be distributed as if they were the surplus assets of the company available for distribution to its shareholders. In this way, an investor will be able to recoup any loss on its capital invested before any other shareholder.
                      </paratext>
                    </para>
                    <para>
                      <paratext>
                        <bold>Treasury shares</bold>
                      </paratext>
                    </para>
                    <para>
                      <paratext>In principle, there is nothing to prohibit a company participating in a Share Sale and sharing in the sale proceeds alongside the other shareholders. In fact, the Company may prefer to participate in the sale to recover all or part of the sum paid out on the purchase of those shares held in treasury. Consider, however, whether an Investor and/or the other shareholders would prefer the Company to cancel those shares, leaving the Sale Proceeds to be split between a smaller number of shares. Either approach may result in the buyer seeking to adjust the consideration payable for the shares to be purchased.</paratext>
                    </para>
                    <para>
                      <paratext>
                        If the Company is to participate in a Share Sale, 
                        <internal.reference refid="a263857">article 12.1</internal.reference>
                         should be amended to exclude the application of 
                        <internal.reference refid="a764618">article 1.10</internal.reference>
                         (which deems the Company not to be a holder of Shares) from 
                        <internal.reference refid="a302537">article 11</internal.reference>
                         in relation to a Share Sale only. If that is the case, consider whether any amendments should also be made to 
                        <internal.reference refid="a1052001">article 22</internal.reference>
                         (Mandatory offer on change of control) and 
                        <internal.reference refid="a457892">article 23</internal.reference>
                         (Drag along).
                      </paratext>
                    </para>
                  </division>
                </drafting.note>
              </subclause2>
            </subclause1>
            <subclause1 condition="optional" id="a370272">
              <identifier>12.2</identifier>
              <para>
                <paratext>
                  On a Disposal, the surplus assets of the Company remaining after payment of its liabilities shall be distributed (to the extent that the Company is lawfully permitted to do so) in the order of priority set out in 
                  <internal.reference refid="a302537">article 11</internal.reference>
                  , provided always that if it is not lawful for the Company to distribute its surplus assets in accordance with the provisions of these Articles, each Shareholder shall (to the extent lawful [and within its control]) take any [reasonable] action required by an Investor Majority (including, but without prejudice to the generality of this 
                  <internal.reference refid="a370272">article 12.2</internal.reference>
                  , such action as may be necessary to put the Company into voluntary liquidation so that 
                  <internal.reference refid="a302537">article 11</internal.reference>
                   applies).
                </paratext>
              </para>
              <drafting.note id="a645396" jurisdiction="">
                <head align="left" preservecase="true">
                  <headtext>Proceeds of an asset sale</headtext>
                </head>
                <division id="a000071" level="1">
                  <para>
                    <paratext>
                      On a sale of assets it is the selling company, not that company's shareholders, who will receive the proceeds. Any allocation of those proceeds to the shareholders would have to be made either by way of dividend (to which 
                      <internal.reference refid="a862624">article 10</internal.reference>
                       would apply) or return of capital (to which 
                      <internal.reference refid="a302537">article 11</internal.reference>
                       would apply). As a result, 
                      <internal.reference refid="a370272">article 12.2</internal.reference>
                       is arguably superfluous. However, such wording is often included, for the sake of clarity of the parties' (or an investor's) intention, at least. For that reason, 
                      <internal.reference refid="a370272">article 12.2</internal.reference>
                       is included as an optional article.
                    </paratext>
                  </para>
                  <para>
                    <paratext>
                      As with a share sale, where the disposal involves deferred consideration, the ordinary shareholders should seek to include the words in square brackets in 
                      <internal.reference refid="a370272">article 12.2</internal.reference>
                      , to resist potential liability for failure to comply with their obligation under that article as a result of any matter which is not within their control.
                    </paratext>
                  </para>
                </division>
              </drafting.note>
            </subclause1>
            <subclause1 id="a624033">
              <identifier>12.3</identifier>
              <para>
                <paratext>
                  Immediately before a Listing [which is not a Qualifying Listing], the Company shall issue to each holder for the time being of Preferred Shares, by way of automatic capitalisation of reserves, such number of Ordinary Shares which shall result in that holder holding, when aggregated with its existing shareholding (and following every issue of Ordinary Shares to Shareholders pursuant to this 
                  <internal.reference refid="a624033">article 12.3</internal.reference>
                  ), the same proportion of the total number of Equity Shares in issue as the proportion that its entitlement to the surplus assets of the Company under 
                  <internal.reference refid="a302537">article 11</internal.reference>
                   (including by way of arrears and accruals of dividend) bears to the total of the surplus assets available for distribution to the Shareholders under 
                  <internal.reference refid="a302537">article 11</internal.reference>
                  .
                </paratext>
              </para>
              <drafting.note id="a415272" jurisdiction="">
                <head align="left" preservecase="true">
                  <headtext>Allocation of value on a Listing</headtext>
                </head>
                <division id="a000072" level="1">
                  <para>
                    <paratext>
                      A Listing will not automatically involve a realisation of value for an investor. It may, for example, be 'locked-in' to holding shares in the newly listed company for a period following flotation. However, the venture capital industry commonly treats a Listing as an exit event, alongside share sales and asset disposals, given the liquidity of its investment on flotation (subject to any such lock-in). As a result, an investor will want to ensure that, if it were to sell all its shares on the public markets upon admission to trading of the company's shares, it will receive the same return as it would have received had the exit been structured as a share sale. To achieve that, 
                      <internal.reference refid="a624033">article 12.3</internal.reference>
                       will operate to capitalise the company's distributable reserves and to issue such capitalised amounts in the form of bonus shares to the investor(s). The intended result is that an investor will hold, following the bonus issue, the same percentage of the total number of shares in the company as equals the percentage of the proceeds to which it would be entitled on a share sale (at a sale price equal to the market capitalisation of the company on flotation).
                    </paratext>
                  </para>
                  <para>
                    <paratext>
                      Note that the capitalisation refers to amounts to which the holder of Preferred Shares would be entitled under 
                      <internal.reference refid="a302537">article 11</internal.reference>
                      . 
                      <internal.reference refid="a302537">article 11</internal.reference>
                       includes arrears and accruals of dividend and so such amounts should be taken into account in calculating any entitlement to bonus shares under 
                      <internal.reference refid="a624033">article 12.3</internal.reference>
                      .
                    </paratext>
                  </para>
                  <para>
                    <paratext>
                      <bold>Treasury shares</bold>
                    </paratext>
                  </para>
                  <para>
                    <paratext>
                      <internal.reference refid="a1054380">Article 12.4</internal.reference>
                       provides for a capitalisation of reserves to pay up bonus shares to be allotted to the shareholder immediately prior to a listing. Although
                      <link href="7-506-5078" style="ACTLinkPLCtoPLC">
                        <ital> section 726</ital>
                      </link>
                       of the CA 2006 does not prohibit a company that holds shares in treasury from participating in a bonus issue, 
                      <internal.reference refid="a764618">article 1.10</internal.reference>
                       deems the Company not to be a holder of Preferred Shares. As such, the Company will not, as drafted, participate in the bonus issue to be made ahead of a listing of shares.
                    </paratext>
                  </para>
                </division>
              </drafting.note>
            </subclause1>
            <subclause1 id="a1054380">
              <identifier>12.4</identifier>
              <para>
                <paratext>
                  All Ordinary Shares to be issued in accordance with 
                  <internal.reference refid="a624033">article 12.3</internal.reference>
                   shall be paid up by the automatic capitalisation of any amount standing to the credit of the share premium account or any other available reserve of the Company as determined by the Directors and shall be credited as fully paid at par. Such a capitalisation shall be automatic and shall not require any action on the part of the Shareholders and the Directors shall allot the Ordinary Shares arising on the capitalisation to the Shareholders entitled to them in accordance with 
                  <internal.reference refid="a624033">article 12.3</internal.reference>
                  . If and to the extent that the Company is not lawfully permitted to carry out the capitalisation required by 
                  <internal.reference refid="a624033">article 12.3</internal.reference>
                   in full (whether by virtue of the Act or otherwise), [the entitlement of each holder of Preferred Shares to such an issue of Ordinary Shares shall be reduced in the same proportion that its holding of Preferred Shares bears to the total number of Preferred Shares then in issue and] each such holder shall be entitled to subscribe in cash at par for the balance of that number of additional Ordinary Shares as would otherwise have been issued pursuant to 
                  <internal.reference refid="a624033">article 12.3</internal.reference>
                  . The Shareholders shall procure (so far as they are lawfully able) that the Directors shall have sufficient authorisations required to issue the Ordinary Shares which may fall to be issued under 
                  <internal.reference refid="a624033">article 12.3</internal.reference>
                   or this 
                  <internal.reference refid="a1054380">article 12.4</internal.reference>
                  .
                </paratext>
              </para>
              <drafting.note id="a950661" jurisdiction="">
                <head align="left" preservecase="true">
                  <headtext>Bonus shares</headtext>
                </head>
                <division id="a000073" level="1">
                  <para>
                    <paratext>
                      The first two sentences of 
                      <internal.reference refid="a1054380">article 12.4</internal.reference>
                       set out the mechanics by which 
                      <internal.reference refid="a624033">article 12.3</internal.reference>
                       will operate. The reserves to be capitalised will be those to the credit of the share premium account (or other distributable reserve determined by the directors) and capitalisation will take place automatically (to avoid risk that the directors or shareholders fail to comply with an obligation to approve such capitalisation).
                    </paratext>
                  </para>
                  <para>
                    <paratext>
                      The remainder of 
                      <internal.reference refid="a1054380">article 12.4</internal.reference>
                       provides a solution in the event that the distributable reserves of the company are insufficient to make the bonus issues of shares required by 
                      <internal.reference refid="a624033">article 12.3</internal.reference>
                      . An investor will be entitled to subscribe at nominal value for Ordinary Shares, to the extent that the company is not permitted to make a bonus issue. For this reason, an investor may seek, at the outset of the investment, to attribute a low nominal value to the Ordinary Shares (and as a result and to avoid any subsidiary issue, the Preferred Shares). The lower the nominal value of an Ordinary Share, the less capital an investor must subscribe under this 
                      <internal.reference refid="a1054380">article 12.4</internal.reference>
                       (and therefore the greater the net return on each bonus share).
                    </paratext>
                  </para>
                  <para>
                    <paratext>
                      The words in square brackets clarify that the entitlement of each holder of Preferred Shares is to be reduced pro rata in the event that the company is not permitted to make a bonus issue of the total number of shares which would otherwise be required under 
                      <internal.reference refid="a1054380">article 12.4</internal.reference>
                      . This language is very prescriptive and may not be appropriate in all cases (where the directors may wish to have more flexibility as to how they comply with this article), in which case the words should be omitted.
                    </paratext>
                  </para>
                </division>
              </drafting.note>
            </subclause1>
            <subclause1 condition="optional" id="a1036002">
              <identifier>12.5</identifier>
              <para>
                <paratext>
                  In the event of an Exit approved by the Directors (acting with Investor Consent) (
                  <defn.term>Proposed Exit</defn.term>
                  ), all Shareholders shall consent to, vote for, raise no objections to and waive any applicable rights in connection with the Proposed Exit. The Shareholders shall be required to take all lawful actions with respect to the Proposed Exit as are [reasonably] required by the Directors to facilitate the Proposed Exit. If any Shareholder fails to comply with the provisions of this 
                  <internal.reference refid="a1036002">article 12.5</internal.reference>
                  :
                </paratext>
              </para>
              <subclause2 id="a450803">
                <identifier>(a)</identifier>
                <para>
                  <paratext>the Company shall be constituted the agent [and attorney] of each defaulting Shareholder for taking such actions as are necessary to effect the Proposed Exit;</paratext>
                </para>
              </subclause2>
              <subclause2 id="a393351">
                <identifier>(b)</identifier>
                <para>
                  <paratext>the Directors may authorise an officer of the Company or a Shareholder to execute and deliver on behalf of such defaulting Shareholder all or any necessary documents; and</paratext>
                </para>
              </subclause2>
              <subclause2 id="a831286">
                <identifier>(c)</identifier>
                <para>
                  <paratext>the Company may receive any purchase money due to the defaulting Shareholder in trust for each of the defaulting Shareholders (without any obligation to pay interest).</paratext>
                </para>
                <drafting.note id="a786532" jurisdiction="">
                  <head align="left" preservecase="true">
                    <headtext>Shareholder rights on Exit</headtext>
                  </head>
                  <division id="a000074" level="1">
                    <para>
                      <paratext>
                        <internal.reference refid="a1036002">Article 12.5</internal.reference>
                         is included as an optional provision, as it may be considered unduly harsh on those ordinary shareholders who are not directors. It effectively removes any right for them to object to an exit (subject to minority protection rights under the 
                        <link href="3-503-8567" style="ACTLinkPLCtoPLC">
                          <ital>CA 2006</ital>
                        </link>
                         and under common law; for more, see 
                        <link href="1-204-0367" style="ACTLinkPLCtoPLC">
                          <ital>Practice note, Protection of members against unfair prejudice: Companies Act 2006</ital>
                        </link>
                        ). On the other hand, an investor will want as few obstacles to the realisation of its investment, once it has taken the decision to exit, as possible. 
                        <internal.reference refid="a1036002">Article 12.5</internal.reference>
                         empowers the directors to sign documents effecting that exit as agent (and attorney, if the words in square brackets are included and to the extent permitted by law) on behalf of any dissenting shareholders.
                      </paratext>
                    </para>
                    <para>
                      <paratext>
                        It is not clear whether articles of association are adequate to grant a power of attorney on behalf of a shareholder. 
                        <link href="1-505-9400" style="ACTLinkPLCtoPLC">
                          <ital>Section 33(1)</ital>
                        </link>
                         of the CA 2006 does not repeat the wording of 
                        <link href="9-505-9401" style="ACTLinkPLCtoPLC">
                          <ital>section 14(1)</ital>
                        </link>
                         of the 1985 Act ("as if signed and sealed"). As a power of attorney must be granted by deed, the absence of those words from section 33 of the CA 2006 raises the potential difficulty of appointing directors as the attorney of a shareholder to carry out certain actions on their behalf. 
                        <internal.reference refid="a831286">Article 12.5(c)</internal.reference>
                         therefore provides that such deemed appointee shall be the agent of the relevant shareholder. As a stock transfer form purporting to transfer fully paid shares need not be made by deed, such agency should suffice to give effect to power granted under 
                        <internal.reference refid="a831286">article 12.5(c)</internal.reference>
                        .
                      </paratext>
                    </para>
                  </division>
                </drafting.note>
              </subclause2>
            </subclause1>
          </clause>
          <clause id="a907328">
            <identifier>13.</identifier>
            <head align="left" preservecase="true">
              <headtext>Variation of class rights</headtext>
            </head>
            <subclause1 id="a242495">
              <identifier>13.1</identifier>
              <para>
                <paratext>Whenever the share capital of the Company is divided into different classes of Shares, the special rights attached to any such class may only be varied or abrogated (either whilst the Company is a going concern or during or in contemplation of a winding up) with the consent in writing of the holders of at least [75]% in nominal value of the issued Shares of that class [(excluding any holder(s) of Restricted Shares)], save that the special rights attached to the Preferred Shares may only be varied or abrogated with Investor Consent.</paratext>
              </para>
              <drafting.note id="a54015" jurisdiction="">
                <head align="left" preservecase="true">
                  <headtext>Variation of class rights</headtext>
                </head>
                <division id="a000075" level="1">
                  <para>
                    <paratext>
                      <link href="2-505-5190" style="ACTLinkPLCtoPLC">
                        <ital>Section 630</ital>
                      </link>
                       of the CA 2006 sets out the statutory requirements for a variation of class rights. However, section 630(2)(b) makes it clear that the requirements of that section 630 apply only if the articles do not make specific provision for the variation of class rights. 
                      <internal.reference refid="a907328">Article 13</internal.reference>
                       makes such provision and so will override the statutory provisions.
                    </paratext>
                  </para>
                  <para>
                    <paratext>Consideration should be given to:</paratext>
                  </para>
                  <list type="bulleted">
                    <list.item>
                      <para>
                        <paratext>
                          Whether 75% (which matches 
                          <link href="2-505-5190" style="ACTLinkPLCtoPLC">
                            <ital>section 630(4)(a)</ital>
                          </link>
                           of the CA 2006) is an appropriate threshold for the consent of the ordinary shareholders to a variation of class rights.
                        </paratext>
                      </para>
                    </list.item>
                    <list.item>
                      <para>
                        <paratext>Whether it is appropriate that consent to such a variation (whether in respect of the Ordinary Shares or the Preferred Shares) may only be given in writing. Section 630(4)(b) of the CA 2006 also provides that consent may be given at a class meeting.</paratext>
                      </para>
                    </list.item>
                    <list.item>
                      <para>
                        <paratext>
                          The definition of 'Investor Consent' and the threshold above which consent is deemed to be given (and see 
                          <internal.reference refid="a937842">Drafting note, Provision for entrenchment</internal.reference>
                          ).
                        </paratext>
                      </para>
                    </list.item>
                    <list.item>
                      <para>
                        <paratext>
                          Whether the holders of Restricted Shares (as defined in 
                          <internal.reference refid="a890822">article 21.7</internal.reference>
                           being those whose shares have been disenfranchised under these Articles) should be excluded from participating in a class decision of the Ordinary Shares. If included, consideration should be given to whether the definition of 'Restricted Shares' should extend to the holders of any Shares which have been disenfranchised pursuant to 
                          <internal.reference refid="a499404">article 17.7(a)</internal.reference>
                          .
                        </paratext>
                      </para>
                    </list.item>
                  </list>
                  <division id="a702633" level="2">
                    <head align="left" preservecase="true">
                      <headtext>Class rights: treasury shares</headtext>
                    </head>
                    <para>
                      <paratext>
                        Under 
                        <internal.reference refid="a638953">article 26</internal.reference>
                         the Company will be able to hold shares in treasury following a buyback. Consider whether the percentage of shares of the relevant class required to approve a variation of class rights under 
                        <internal.reference refid="a242495">article 13.1</internal.reference>
                         should be calculated by reference to a total number of shares that includes or excludes any ordinary held in treasury.
                      </paratext>
                    </para>
                    <para>
                      <paratext>
                        Under 
                        <internal.reference refid="a764618">article 1.10</internal.reference>
                        , references to the holders of a particular class of shares will not include the Company. As such, the total pool of shares, against which the percentage threshold is calculated, will be smaller, making it easier for the relevant class of shareholders to reach that threshold.
                      </paratext>
                    </para>
                  </division>
                </division>
              </drafting.note>
            </subclause1>
            <subclause1 id="a971415">
              <identifier>13.2</identifier>
              <para>
                <paratext>
                  Without prejudice to the generality of 
                  <internal.reference refid="a242495">article 13.1</internal.reference>
                  , the special rights attaching to the Preferred Shares shall be deemed to be varied by the occurrence of any of the following events:
                </paratext>
              </para>
              <subclause2 id="a1050230">
                <identifier>(a)</identifier>
                <para>
                  <paratext>the amendment or repeal of any provision of, or addition of any provision to, the constitution of any Group Company;</paratext>
                </para>
                <drafting.note id="a937842" jurisdiction="">
                  <head align="left" preservecase="true">
                    <headtext>Provision for entrenchment</headtext>
                  </head>
                  <division id="a000076" level="1">
                    <para>
                      <paratext>
                        The constitution of a company is defined by 
                        <link href="3-505-5081" style="ACTLinkPLCtoPLC">
                          <ital>section 17</ital>
                        </link>
                         of the 2006 Act as including its articles (and any resolutions and agreements to which Chapter 3 of Part 3 of the 
                        <link href="3-503-8567" style="ACTLinkPLCtoPLC">
                          <ital>CA 2006</ital>
                        </link>
                         applies) (
                        <link href="9-505-5078" style="ACTLinkPLCtoPLC">
                          <ital>section 29</ital>
                        </link>
                        <ital>, CA 2006</ital>
                        ). Under 
                        <link href="4-505-5108" style="ACTLinkPLCtoPLC">
                          <ital>section 22</ital>
                        </link>
                         of the CA 2006, a company's articles may contain provisions for entrenchment, to the effect that specified provisions of the articles may only be amended (or repealed) if conditions are met, or procedures complied with, that are more restrictive than those required for a special resolution. 
                        <link href="6-505-5112" style="ACTLinkPLCtoPLC">
                          <ital>Section 23</ital>
                        </link>
                         of the CA 2006 requires notice of the existence on formation (or introduction or repeal) of a provision for entrenchment to be notified to Companies House.
                      </paratext>
                    </para>
                    <para>
                      <paratext>
                        <internal.reference refid="a1050230">Article 13.2(a)</internal.reference>
                         provides that these Articles may not be amended without investor consent. Such restriction may constitute a provision for entrenchment, in that it requires additional steps (investor consent) before any amendment may be made to the Articles by special resolution.
                      </paratext>
                    </para>
                    <para>
                      <paratext>
                        If 
                        <internal.reference refid="a1050230">article 13.2(a)</internal.reference>
                         does constitute a provision for entrenchment, consideration should be given to the following issues:
                      </paratext>
                    </para>
                    <list type="bulleted">
                      <list.item>
                        <para>
                          <paratext>
                            As the 
                            <link href="3-503-8567" style="ACTLinkPLCtoPLC">
                              <ital>CA 2006</ital>
                            </link>
                             is drafted, a provision for entrenchment may be included in the articles on formation or by a unanimous amendment to the articles (
                            <link href="4-505-5108" style="ACTLinkPLCtoPLC">
                              <ital>section 22(2)</ital>
                            </link>
                            <ital>, CA 2006</ital>
                            ). The investee company is likely to have been incorporated some time before completion of the investment (whether it is a new company formed for an acquisition, or an existing trading company). Including 
                            <internal.reference refid="a1050230">article 13.2(a)</internal.reference>
                             would therefore fall within section 22(2)(b) of the CA 2006 and so the adoption of the articles would require unanimous consent of the shareholders (as opposed to the usual written resolution of 75% of the voting rights of eligible members (
                            <link href="8-505-9393" style="ACTLinkPLCtoPLC">
                              <ital>section 283(2)</ital>
                            </link>
                            <ital>, CA 2006</ital>
                            )). In most cases this should not be difficult to achieve in practice, as the existing shareholders of the company will support the making of the investment.
                          </paratext>
                        </para>
                        <para>
                          <paratext>
                            However, as a result of concerns raised that section 22 would catch variation of class rights provisions in the articles of, for example, listed companies or large public companies, BIS has delayed the implementation of 
                            <link href="4-505-5108" style="ACTLinkPLCtoPLC">
                              <ital>section 22(2)</ital>
                            </link>
                             of the CA 2006 (regulation 2(2), the 
                            <link href="8-505-5111" style="ACTLinkPLCtoPLC">
                              <ital>Companies Act 2006 and Limited Liability Partnerships (Transitional Provisions and Savings) (Amendment) Regulations 2009</ital>
                            </link>
                            <ital> (SI 2009/2476)</ital>
                            ) (see 
                            <link href="2-500-1791" style="ACTLinkPLCtoPLC">
                              <ital>Legal update, The Companies Act 2006 and Limited Liability Partnerships (Transitional Provisions and Savings) (Amendment) Regulations 2009</ital>
                            </link>
                            ). As such, until a further decision is taken as to the implementation of section 22(2), class rights provisions of the type which may also constitute provisions for entrenchment may be included in a company's articles by a special resolution passed under 
                            <link href="9-505-5101" style="ACTLinkPLCtoPLC">
                              <ital>section 21</ital>
                            </link>
                             of the CA 2006 (subject to any existing restriction on such an amendment in the particular company's articles).
                          </paratext>
                        </para>
                        <para>
                          <paratext>
                            If such a variation of class rights provision does constitute a provision for entrenchment, the company will be required to file a statement of compliance with Companies House each time it amends it articles (that is, on any amendment, not simply an amendment to the entrenched provision) (
                            <link href="4-505-5113" style="ACTLinkPLCtoPLC">
                              <ital>section 24(2)</ital>
                            </link>
                            <ital>, CA 2006</ital>
                             and 
                            <link href="6-422-1311" style="ACTLinkPLCtoPLC">
                              <ital>Form CC04</ital>
                            </link>
                            ).
                          </paratext>
                        </para>
                      </list.item>
                    </list>
                    <list type="bulleted">
                      <list.item>
                        <para>
                          <paratext>
                            As a variation of 
                            <internal.reference refid="a1050230">article 13.2(a)</internal.reference>
                             is itself a change to the articles, that variation would also be subject to the requirement of 
                            <internal.reference refid="a1050230">article 13.2(a)</internal.reference>
                             and also require investor consent (as well as a special resolution under 
                            <link href="9-505-5101" style="ACTLinkPLCtoPLC">
                              <ital>section 21</ital>
                            </link>
                             of the CA 2006). Alternatively, 
                            <link href="4-505-5108" style="ACTLinkPLCtoPLC">
                              <ital>section 22(3)(a)</ital>
                            </link>
                             provides that the same variation may be achieved with the unanimous agreement of all shareholders (highlighting the fact that any provision for entrenchment may be overridden by unanimity).
                          </paratext>
                        </para>
                      </list.item>
                      <list.item>
                        <para>
                          <paratext>
                            The company must notify Companies House of the inclusion of 
                            <internal.reference refid="a1050230">article 13.2(a)</internal.reference>
                             as a provision for entrenchment on completion of the investment (
                            <link href="6-505-5112" style="ACTLinkPLCtoPLC">
                              <ital>section 23(1)(b)</ital>
                            </link>
                            <ital>, CA 2006</ital>
                             and 
                            <link href="2-422-1308" style="ACTLinkPLCtoPLC">
                              <ital>Form CC01</ital>
                            </link>
                            ) and on any subsequent removal of that 
                            <internal.reference refid="a1050230">article 13.2(a)</internal.reference>
                             (
                            <ital>section 23(2)(a), CA 2006</ital>
                             and 
                            <link href="0-422-1309" style="ACTLinkPLCtoPLC">
                              <ital>Forms CC02</ital>
                            </link>
                             and 
                            <link href="8-422-1310" style="ACTLinkPLCtoPLC">
                              <ital>CC03</ital>
                            </link>
                            ). The 
                            <link href="3-503-8567" style="ACTLinkPLCtoPLC">
                              <ital>CA 2006</ital>
                            </link>
                             does not seem to require the giving of notice where the wording of 
                            <internal.reference refid="a1050230">article 13.2(a)</internal.reference>
                             is amended, provided it continues to constitute a provision for entrenchment. Once a provision in the terms of 
                            <internal.reference refid="a1050230">article 13.2(a)</internal.reference>
                             is included in the articles it is unlikely that, for so long as an investor holds shares in the company, such provision would be removed entirely. It is not clear whether an amendment of that provision (for example, by amending the definition of 'investor consent' to require a different percentage consent from the preferred shareholders) would constitute a removal of the existing provision for entrenchment and substitution of a new one. The company should, however, consider whether notification is required if it changes its articles on the investor ceasing to hold shares.
                          </paratext>
                        </para>
                      </list.item>
                    </list>
                    <para>
                      <paratext>
                        In practice, any variation of the articles is likely to be a matter reserved for investor consent under the terms of the investment agreement, to which 
                        <link href="4-505-5108" style="ACTLinkPLCtoPLC">
                          <ital>sections 22</ital>
                        </link>
                         and 
                        <link href="6-505-5112" style="ACTLinkPLCtoPLC">
                          <ital>23</ital>
                        </link>
                         of the CA 2006 do not apply. However, for publicity purposes, such restriction is also usually included in the articles.
                      </paratext>
                    </para>
                    <para>
                      <paratext>The issues raised above may apply equally to other types of preferential shareholder rights. For example, a weighted voting right under which one shareholder (or class of shareholders) is given power to defeat a special resolution which has otherwise been passed by the required majority may constitute a procedure to be complied with, making the passing of that resolution more restrictive than a special resolution.</paratext>
                    </para>
                  </division>
                </drafting.note>
              </subclause2>
              <subclause2 id="a548208">
                <identifier>(b)</identifier>
                <para>
                  <paratext>
                    the alteration in any manner (including, without limitation, by an increase, reduction, sub-division, consolidation, re-classification or a change in any of the rights attached) of any of the issued share capital or other securities of any Group Company or the creation by any Group Company of any shares or other securities (save as expressly provided otherwise in these Articles)[, but excluding in each case the issue of any shares or other securities on the exercise of any option, warrant or other right to acquire or subscribe for shares or other securities referred to in 
                    <internal.reference refid="a54276">article 13.2(c)</internal.reference>
                    ];
                  </paratext>
                </para>
                <drafting.note id="a195279" jurisdiction="">
                  <head align="left" preservecase="true">
                    <headtext>Increase in share capital</headtext>
                  </head>
                  <division id="a000077" level="1">
                    <para>
                      <paratext>
                        Management should ensure that, if there is a restriction (as in 
                        <internal.reference refid="a54276">article 13.2(c)</internal.reference>
                        ) on the issue of share options, 
                        <internal.reference refid="a548208">article 13.2(b)</internal.reference>
                         should not also restrict the issue of shares on the exercise of those options.
                      </paratext>
                    </para>
                  </division>
                </drafting.note>
              </subclause2>
              <subclause2 id="a54276">
                <identifier>(c)</identifier>
                <para>
                  <paratext>the grant of any option, warrant or other right to acquire or subscribe for shares in or other securities of any Group Company (whether or not pursuant to a Share Option Scheme);</paratext>
                </para>
              </subclause2>
              <subclause2 id="a270493">
                <identifier>(d)</identifier>
                <para>
                  <paratext>
                    the approval of any merger, liquidation, dissolution or acquisition of any Group Company or the sale of all or [any 
                    <bold>OR</bold>
                     a substantial] part of the business, undertaking or assets of any Group Company;
                  </paratext>
                </para>
              </subclause2>
              <subclause2 id="a152999">
                <identifier>(e)</identifier>
                <para>
                  <paratext>
                    the purchase by any Group Company of any Shares [(other than pursuant to an authority granted under section 693A of the Act)][or 
                    <bold>OR</bold>
                     ,][or the redemption of any shares or other securities of any Group Company];
                  </paratext>
                </para>
                <drafting.note id="a1022928" jurisdiction="">
                  <head align="left" preservecase="true">
                    <headtext>Class rights: purchase of own shares</headtext>
                  </head>
                  <division id="a000078" level="1">
                    <para>
                      <paratext>Section 693A of the CA 2006 allows shareholders to pass an ordinary resolution granting the directors authority to purchase its own shares for the purposes of or pursuant to an employees' share scheme. Where such an ordinary resolution has been passed under section 693A, consider whether it would be appropriate to also require Investor Consent to such a purchase.</paratext>
                    </para>
                  </division>
                </drafting.note>
              </subclause2>
              <subclause2 id="a505483">
                <identifier>(f)</identifier>
                <para>
                  <paratext>the acquisition by any Group Company of any shares or other securities, or any option, warrant or other right to acquire or subscribe for any of the same, in any entity (whether or not incorporated);</paratext>
                </para>
              </subclause2>
              <subclause2 id="a448031">
                <identifier>(g)</identifier>
                <para>
                  <paratext>save as expressly provided otherwise in these Articles, the application by capitalisation of any sum in or towards paying up any shares or other securities of any Group Company, or any other reduction of any amount standing from time to time to the credit of the share premium account or capital redemption reserve of any Group Company;</paratext>
                </para>
              </subclause2>
              <subclause2 id="a885965">
                <identifier>(h)</identifier>
                <para>
                  <paratext>the entering into by any Group Company of a voluntary winding up;</paratext>
                </para>
              </subclause2>
              <subclause2 id="a306583">
                <identifier>(i)</identifier>
                <para>
                  <paratext>the transferring of any profits to reserves [or otherwise (save in the ordinary course of business)] and the taking of any action (excluding payment of dividends) which [will raise or] may reduce the amount of the profits of any Group Company available for distribution;</paratext>
                </para>
              </subclause2>
              <subclause2 id="a779152">
                <identifier>(j)</identifier>
                <para>
                  <paratext>
                    the appointment or removal of any director of any Group Company, other than the appointment or removal of an Investor Director made in accordance with 
                    <internal.reference refid="a93569">article 6</internal.reference>
                     and save as provided by law;
                  </paratext>
                </para>
              </subclause2>
              <subclause2 id="a627022">
                <identifier>(k)</identifier>
                <para>
                  <paratext>the redenomination of any of the issued share capital of any Group Company; [and]</paratext>
                </para>
              </subclause2>
              <subclause2 id="a552253">
                <identifier>(l)</identifier>
                <para>
                  <paratext>any Group Company incurring any obligation (whether or not conditional) to do any of the foregoing [; and]</paratext>
                </para>
              </subclause2>
              <subclause2 id="a776561">
                <identifier>(m)</identifier>
                <para>
                  <paratext>[ADD OTHER MATTERS AS AGREED BY THE PARTIES].</paratext>
                </para>
                <drafting.note id="a963481" jurisdiction="">
                  <head align="left" preservecase="true">
                    <headtext>Variation of Investors' class rights</headtext>
                  </head>
                  <division id="a000079" level="1">
                    <para>
                      <paratext>
                        As well as the general provisions of 
                        <internal.reference refid="a242495">article 13.1</internal.reference>
                         governing a variation of class rights, 
                        <internal.reference refid="a971415">article 13.2</internal.reference>
                         sets out a list of specific matters which are deemed to constitute a variation of the investors' class rights. This list is included under the power available (under 
                        <link href="2-505-5190" style="ACTLinkPLCtoPLC">
                          <ital>section 630(2)(a)</ital>
                        </link>
                         of the CA 2006) for a company's articles to set out specific provisions relating to the variation of class rights.
                      </paratext>
                    </para>
                    <para>
                      <paratext>The list of included matters will be for negotiation, although it is likely that each such matter will also require separate consent under the requirements of the investment agreement.</paratext>
                    </para>
                    <para>
                      <paratext>
                        The decision in 
                        <link href="https://uk.practicallaw.thomsonreuters.com/Document/I90E1E8C0E42811DA8FC2A0F0355337E9/View/FullText.html?navId=3C4A35F6844A22A4DEDD3A7D8D064CAB&amp;amp;comp=pluk&amp;amp;transitionType=Default&amp;amp;contextData=(sc.Default)" style="ACTLinkURL">
                          <ital>Russell v Northern Bank Development Corp Ltd [1992] 3 All E.R. 161</ital>
                        </link>
                         suggests that any provision in the articles of association of a company is void to the extent that it fetters the company's statutory powers. There is therefore a risk that deemed variation provisions such as those included in 
                        <internal.reference refid="a971415">article 13.2</internal.reference>
                         may be unenforceable to the extent that the requirement for investor consent in relation to any of the specified matters would constitute an unlawful fetter on any statutory power of the company. In light of this concern, deemed variation provisions are sometimes omitted from the articles of association and investors seek protection in respect of such matters solely under the investment agreement.
                      </paratext>
                    </para>
                  </division>
                </drafting.note>
              </subclause2>
            </subclause1>
            <subclause1 id="a483410">
              <identifier>13.3</identifier>
              <para>
                <paratext>
                  The creation of a new class of Shares which has preferential rights to one or more existing classes of Shares shall not, except as provided in 
                  <internal.reference refid="a971415">article 13.2</internal.reference>
                  , constitute a variation of the rights of those existing classes of Shares.
                </paratext>
              </para>
              <drafting.note id="a916710" jurisdiction="">
                <head align="left" preservecase="true">
                  <headtext>Creation of a new class of shares</headtext>
                </head>
                <division id="a000080" level="1">
                  <para>
                    <paratext>
                      <internal.reference refid="a483410">article 13.3</internal.reference>
                       provides that the creation of a new class of shares with preferential rights to any of the existing classes of share shall not alone constitute a variation to the existing classes of shares. However, such an issue of shares would probably alter the issued share capital of the company and so be likely to fall within the provisions in 
                      <internal.reference refid="a548208">article 13.2(b)</internal.reference>
                      . It would also necessitate an amendment to the Articles, so would also fall within 
                      <internal.reference refid="a1050230">article 13.2(a)</internal.reference>
                      .
                    </paratext>
                  </para>
                </division>
              </drafting.note>
            </subclause1>
          </clause>
          <clause id="a103637">
            <identifier>14.</identifier>
            <head align="left" preservecase="true">
              <headtext>Conversion of Preferred Shares</headtext>
            </head>
            <drafting.note id="a878618" jurisdiction="">
              <head align="left" preservecase="true">
                <headtext>Conversion of Preferred Shares</headtext>
              </head>
              <division id="a000081" level="1">
                <para>
                  <paratext>
                    <internal.reference refid="a103637">article 14</internal.reference>
                     provides for both the voluntary and automatic conversion of Preferred Shares into Ordinary Shares. The conversion mechanism is most commonly employed in connection with a flotation of the investee company, when it will ease the administrative process of admission to trading if all issued shares are of the same class. It is not common for an investor to voluntarily convert other than in connection with an exit, although 
                    <internal.reference refid="a387988">article 14.1</internal.reference>
                     provides the necessary flexibility should the need arise.
                  </paratext>
                </para>
              </division>
            </drafting.note>
            <subclause1 id="a387988">
              <identifier>14.1</identifier>
              <para>
                <paratext>Any holder of Preferred Shares may at any time, by notice in writing to the Company, require conversion of all of the Preferred Shares held by it at any time into Ordinary Shares. Those Preferred Shares shall convert automatically on the date of service of such notice on the Company (unless such notice states that conversion is to be effective on some later date, or when any conditions specified in the notice have been fulfilled, in which case conversion shall take effect on that later date, or when such conditions have been fulfilled, as the case may be).</paratext>
              </para>
            </subclause1>
            <subclause1 id="a800514">
              <identifier>14.2</identifier>
              <para>
                <paratext>
                  Subject to 
                  <internal.reference refid="a263857">article 12.1</internal.reference>
                  , all of the Preferred Shares shall automatically convert into Ordinary Shares on the date of a [Listing 
                  <bold>OR</bold>
                   Qualifying Listing].
                </paratext>
              </para>
              <drafting.note id="a515453" jurisdiction="">
                <head align="left" preservecase="true">
                  <headtext>Listing or Qualifying Listing</headtext>
                </head>
                <division id="a000082" level="1">
                  <para>
                    <paratext>
                      The Qualifying Listing alternative in square brackets should be included if reference to a Qualifying Listing is included in 
                      <internal.reference refid="a624033">article 12.3</internal.reference>
                      . On a flotation at or above the thresholds set by the investors for a Qualifying Listing, an investor would achieve its desired return on its equity investment without having to trigger the sale preference provisions of 
                      <internal.reference refid="a624033">article 12.3</internal.reference>
                      . If conversion takes place on any Listing, the sale preference provisions of 
                      <internal.reference refid="a624033">article 12.3</internal.reference>
                       should apply regardless of the market capitalisation of the investee company at that time.
                    </paratext>
                  </para>
                </division>
              </drafting.note>
            </subclause1>
            <subclause1 id="a562934">
              <identifier>14.3</identifier>
              <para>
                <paratext>In the case of a conversion pursuant to:</paratext>
              </para>
              <subclause2 id="a744517">
                <identifier>(a)</identifier>
                <para>
                  <paratext>
                    <internal.reference refid="a387988">article 14.1</internal.reference>
                    , at least [NUMBER] Business Days after the date of conversion; or
                  </paratext>
                </para>
              </subclause2>
              <subclause2 id="a199769">
                <identifier>(b)</identifier>
                <para>
                  <paratext>
                    <internal.reference refid="a800514">article 14.2</internal.reference>
                    , at least [NUMBER] Business Days before the date of the [Listing 
                    <bold>OR</bold>
                     Qualifying Listing],
                  </paratext>
                </para>
              </subclause2>
              <para>
                <paratext>each holder of the relevant Preferred Shares converted or to be converted shall deliver the certificate(s) (or an indemnity in a form reasonably satisfactory to the Directors for any lost share certificate) for the Preferred Shares being converted (together with such other evidence (if any) as the Directors may reasonably require to prove good title to those Shares) to the Company at its registered office for the time being.</paratext>
              </para>
            </subclause1>
            <subclause1 id="a99592">
              <identifier>14.4</identifier>
              <para>
                <paratext>
                  Where conversion of any Preferred Share is mandatory on the occurrence of a [Listing 
                  <bold>OR</bold>
                   Qualifying Listing], that conversion shall only be effective immediately before such [Listing 
                  <bold>OR</bold>
                   Qualifying Listing]. If such [Listing 
                  <bold>OR</bold>
                   Qualifying Listing] does not become effective, or does not take place, such conversion shall be deemed not to have occurred.
                </paratext>
              </para>
              <drafting.note id="a981386" jurisdiction="">
                <head align="left" preservecase="true">
                  <headtext>Conversion conditional on Listing</headtext>
                </head>
                <division id="a000083" level="1">
                  <para>
                    <paratext>
                      An investor converting its Preferred Shares in connection with a Listing will not want to hold converted shares if the relevant Listing does not actually take place. 
                      <internal.reference refid="a99592">article 14.4</internal.reference>
                       deals with this potential issue by providing that whilst the Preferred Shares automatically convert an instant before the Listing becomes effective, those shares are only considered definitively converted upon admission to trading.
                    </paratext>
                  </para>
                </division>
              </drafting.note>
            </subclause1>
            <subclause1 id="a665702">
              <identifier>14.5</identifier>
              <para>
                <paratext>
                  On conversion pursuant to this 
                  <internal.reference refid="a103637">article 14</internal.reference>
                  :
                </paratext>
              </para>
              <subclause2 id="a701791">
                <identifier>(a)</identifier>
                <para>
                  <paratext>
                    the relevant Preferred Shares shall (without any further authority than that contained in these Articles) stand converted into Ordinary Shares on the basis of one Ordinary Share for each Preferred Share held (subject to adjustment to take account of any sub-division, consolidation or re-classification of either the Preferred Shares or the Ordinary Shares at any time before a conversion in accordance with this 
                    <internal.reference refid="a103637">article 14</internal.reference>
                    ) and the Ordinary Shares resulting from the conversion shall rank pari passu in all respects with the existing issued Ordinary Shares; and
                  </paratext>
                </para>
                <drafting.note id="a643629" jurisdiction="">
                  <head align="left" preservecase="true">
                    <headtext>Re-organisations</headtext>
                  </head>
                  <division id="a000084" level="1">
                    <para>
                      <paratext>
                        In the event of a sub-division or consolidation of either the Preferred or Ordinary Shares, the one to one conversion ratio set out in 
                        <internal.reference refid="a701791">article 14.5(a)</internal.reference>
                         will no longer be appropriate, unless there is a matching sub-division or consolidation of the other class of shares. References to a re-classification of shares caters for the possibility that the Preferred Shares are re-designated with a different name after the date of adoption of the Articles.
                      </paratext>
                    </para>
                    <para>
                      <paratext>
                        An investor should also consider whether additional protection should be built in to avoid the potential dilutive effect of other changes to the share capital, such as bonus issues (although note that the investor has a veto over further share issues under 
                        <internal.reference refid="a548208">article 13.2(b)</internal.reference>
                        ).
                      </paratext>
                    </para>
                    <para>
                      <paratext>
                        <internal.reference refid="a103637">article 14</internal.reference>
                         uses the re-classification at a fixed rate method of conversion. As a result a Companies House filing may be required under 
                        <link href="2-505-9414" style="ACTLinkPLCtoPLC">
                          <ital>section 636</ital>
                        </link>
                         of the CA 2006. For more on alternative methods of conversion, see 
                        <link href="6-100-0204" style="ACTLinkPLCtoPLC">
                          <ital>Article, Preference shares: Conversion, redemption and class rights</ital>
                        </link>
                        <ital>.</ital>
                      </paratext>
                    </para>
                  </division>
                </drafting.note>
              </subclause2>
              <subclause2 id="a327945">
                <identifier>(b)</identifier>
                <para>
                  <paratext>
                    the Company shall, if it has sufficient Available Profits, pay to the holder(s) of the Preferred Shares being converted a dividend equal to all arrears and accruals of dividends in relation to those Preferred Shares (to be calculated on a daily basis down to (and including) the date of conversion). If the Company has insufficient Available Profits to pay all such arrears and accruals of dividend amounts in full then it shall pay the same to the extent that it is lawfully able to do so and the balance of any such arrears or accruals shall be a debt due of the Company to which 
                    <internal.reference refid="a157044">article 10.10</internal.reference>
                     to 
                    <internal.reference refid="a601614">article 10.12</internal.reference>
                     (inclusive) shall apply.
                  </paratext>
                </para>
                <drafting.note id="a134971" jurisdiction="">
                  <head align="left" preservecase="true">
                    <headtext>Payment of dividends</headtext>
                  </head>
                  <division id="a000085" level="1">
                    <para>
                      <paratext>
                        If conversion is effected in connection with a Listing (whether or not a Qualifying Listing), care should be taken as to the manner in which any arrears and accruals of dividend are to be paid. Under 
                        <internal.reference refid="a327945">article 14.5(b)</internal.reference>
                        , such arrears and accruals are to be paid on the date of conversion. However, if such conversion is to take place at (or shortly before) the time of a Listing, 
                        <internal.reference refid="a624033">article 12.3</internal.reference>
                         would require a capitalisation and bonus share issue in lieu of unpaid dividends.
                      </paratext>
                    </para>
                    <para>
                      <paratext>
                        This standard document is drafted on the assumption that the mechanism in 
                        <internal.reference refid="a624033">article 12.3</internal.reference>
                         will only apply in the event that payment under 
                        <internal.reference refid="a327945">article 14.5(b)</internal.reference>
                         is not made in accordance with its terms. If such payment under 
                        <internal.reference refid="a327945">article 14.5(b)</internal.reference>
                         is made, there would be no arrears or accruals of dividend for which a bonus issue would have to be made under 
                        <internal.reference refid="a624033">article 12.3</internal.reference>
                         (as conversion is deemed to take place immediately before (albeit conditional upon) the relevant Listing).
                      </paratext>
                    </para>
                    <para>
                      <paratext>
                        When deciding how such dividends should be calculated, consider whether the relevant conversion date should be included or excluded; 
                        <internal.reference refid="a327945">article 14.5(b)</internal.reference>
                         provides for such date to be included.
                      </paratext>
                    </para>
                  </division>
                </drafting.note>
              </subclause2>
            </subclause1>
            <subclause1 id="a715064">
              <identifier>14.6</identifier>
              <para>
                <paratext>
                  Forthwith following a conversion pursuant to this 
                  <internal.reference refid="a103637">article 14</internal.reference>
                  , the Company shall enter the holder(s) of the converted Preferred Shares in the register of Shareholders of the Company as the holder(s) of the appropriate number of Ordinary Shares and, subject to the relevant holder of Preferred Shares delivering the relevant share certificate(s) (or indemnity or other evidence) in respect of the Preferred Shares in accordance with 
                  <internal.reference refid="a562934">article 14.3</internal.reference>
                  , the Company shall, within [NUMBER] Business Days of conversion, forward a definitive share certificate for the appropriate number of fully paid Ordinary Shares to such holder of converted Preferred Shares, by post to their address as shown in the Company's register of Shareholders, at their own risk and free of charge.
                </paratext>
              </para>
              <drafting.note id="a88201" jurisdiction="">
                <head align="left" preservecase="true">
                  <headtext>Share certificates</headtext>
                </head>
                <division id="a000086" level="1">
                  <para>
                    <paratext>
                      Under 
                      <internal.reference refid="a715064">article 14.6</internal.reference>
                      , a converting shareholder automatically acquires an unconditional right to be entered into the register of members as the holder of the relevant Ordinary Shares immediately upon conversion. Under 
                      <link href="9-505-9415" style="ACTLinkPLCtoPLC">
                        <ital>section 558</ital>
                      </link>
                       of the CA 2006, this may arguably mean that the Ordinary Shares have, at that point, been allotted to the holder of Preferred Shares (although this is a strict interpretation of the wording and does not sit comfortably with the concept of re-classification of shares used in this 
                      <internal.reference refid="a103637">article 14</internal.reference>
                      ). In that case, 
                      <link href="5-505-9417" style="ACTLinkPLCtoPLC">
                        <ital>section 769</ital>
                      </link>
                       of the CA 2006 would require share certificates in respect of those Ordinary Shares to be issued within two months of the date of conversion.
                    </paratext>
                  </para>
                  <para>
                    <paratext>
                      In any event, an investor converting in connection with a Listing is likely to insist on receiving the relevant certificates immediately, particularly if it intends to trade in those Ordinary Shares on or shortly following admission to trading of those shares. If 
                      <link href="5-505-9417" style="ACTLinkPLCtoPLC">
                        <ital>section 769</ital>
                      </link>
                       of the CA 2006 does apply on a conversion of shares, a failure by the directors to issue the shares within two months will not only trigger a breach of the Articles (assuming the period specified in 
                      <internal.reference refid="a715064">article 14.6</internal.reference>
                       is less than two months, but also a breach of section 769, constituting an offence by every officer of the Company in default.
                    </paratext>
                  </para>
                </division>
              </drafting.note>
            </subclause1>
          </clause>
          <clause id="a819286">
            <identifier>15.</identifier>
            <head align="left" preservecase="true">
              <headtext>Anti-dilution</headtext>
            </head>
            <drafting.note id="a604949" jurisdiction="">
              <head align="left" preservecase="true">
                <headtext>Anti-dilution ratchet</headtext>
              </head>
              <division id="a000087" level="1">
                <para>
                  <paratext>
                    <internal.reference refid="a819286">article 15</internal.reference>
                     sets out an anti-dilution ratchet in favour of the holders of the Preferred Shares, to enable an investor to avoid a dilution of its equity holding in the event that any subsequent issue of shares is made at a subscription price less than that paid by that investor. The extent to which the ratchet avoids dilution of an investor's equity holding will differ according to whether the full or weighted average ratchet is included (see 
                    <internal.reference refid="a216435">Drafting note, Full or weighted average ratchet</internal.reference>
                    ). Equity dilution as a result of any new issues of shares will, by the operation of 
                    <internal.reference refid="a819286">article 15</internal.reference>
                    , pass entirely to management and other holders (if any) of Ordinary Shares.
                  </paratext>
                </para>
                <para>
                  <paratext>
                    For further information on anti-dilution provisions and ratchets, see 
                    <link href="5-204-2958" style="ACTLinkPLCtoPLC">
                      <ital>Practice note, Ratchets: non-leveraged investments</ital>
                    </link>
                    .
                  </paratext>
                </para>
              </division>
            </drafting.note>
            <subclause1 id="a975461">
              <identifier>15.1</identifier>
              <para>
                <paratext>
                  If the Company issues any Relevant Securities without consideration or for a consideration per Share less than the Issue Price of the Preferred Shares (a 
                  <defn.term>Qualifying Issue</defn.term>
                  ), the Company shall make a bonus issue of such number of [Ordinary 
                  <bold>OR</bold>
                   Preferred] Shares (
                  <defn.term>Anti-Dilution Shares</defn.term>
                  ) to each holder for the time being of Preferred Shares (unless and to the extent that [any such holder of Preferred Shares has specifically waived their rights under this 
                  <internal.reference refid="a819286">article 15</internal.reference>
                   in writing 
                  <bold>OR</bold>
                   an Investor Majority has specifically waived the application of this 
                  <internal.reference refid="a819286">article 15</internal.reference>
                   in respect of any particular issue of Relevant Securities on behalf of all such holders of Preferred Shares]) (each an 
                  <defn.term>Exercising Investor</defn.term>
                  ) as shall be calculated in accordance with 
                  <internal.reference refid="a772516">article 15.2</internal.reference>
                  .
                </paratext>
              </para>
              <drafting.note id="a1032523" jurisdiction="">
                <head align="left" preservecase="true">
                  <headtext>Bonus issues</headtext>
                </head>
                <division id="a000088" level="1">
                  <para>
                    <paratext>
                      The anti-dilution ratchet in 
                      <internal.reference refid="a819286">article 15</internal.reference>
                       operates by the issue of bonus shares, in the event of a further issue of shares at a price below the issue price paid for the Preferred Shares. 
                      <internal.reference refid="a975461">article 15.1</internal.reference>
                       provides for a bonus issue of either Preferred Shares or Ordinary Shares and will be a matter for negotiation between the parties. An investor is likely to argue for bonus issues of Preferred Shares, given the enhanced rights attached to that class of shares (for example in relation to dividends (
                      <internal.reference refid="a862624">article 10</internal.reference>
                      ), liquidation preference (
                      <internal.reference refid="a302537">article 11</internal.reference>
                      ) and exit provisions (
                      <internal.reference refid="a723154">article 12</internal.reference>
                      ).
                    </paratext>
                  </para>
                  <para>
                    <paratext>
                      Certain further issues of shares will not trigger a bonus issue of shares under 
                      <internal.reference refid="a819286">article 15</internal.reference>
                      . The anti-dilution ratchet only operates in relation to an issue of Relevant Securities (see definition of 
                      <internal.reference refid="a598337">Relevant Period: the period of [NUMBER] months from the Adoption Date.</internal.reference>
                      ). The extent to which issues are to be excluded from the definition of 'Relevant Securities' will be a matter for negotiation, although the examples given in the definition of 
                      <internal.reference refid="a598337">Relevant Period: the period of [NUMBER] months from the Adoption Date.</internal.reference>
                       are common exclusions.
                    </paratext>
                  </para>
                  <para>
                    <paratext>
                      An alternative anti-dilution ratchet (to the bonus issue method) is for the rate at which Preferred Shares convert into Ordinary Shares under 
                      <internal.reference refid="a103637">article 14</internal.reference>
                       to be adjusted on any further issue of Relevant Securities. Under that alternative method, the conversion rate will start at one ordinary share for each preferred share, as is the case under 
                      <internal.reference refid="a701791">article 14.5(a)</internal.reference>
                      ). However, if a 
                      <link href="3-204-3987" style="ACTLinkPLCtoPLC">
                        <bold>
                          <ital>down round</ital>
                        </bold>
                      </link>
                       occurs which triggers the anti-dilution protection, the conversion rate will be adjusted to more than one for one to account for the dilutive effect of the down round. For a comparison of the alternative methods of drafting anti-dilution protection, see 
                      <link href="5-204-2958" style="ACTLinkPLCtoPLC">
                        <ital>Practice note, Ratchets, non-leveraged investments</ital>
                      </link>
                      .
                    </paratext>
                  </para>
                </division>
              </drafting.note>
            </subclause1>
            <subclause1 id="a772516">
              <identifier>15.2</identifier>
              <para>
                <paratext>The number of Anti-Dilution Shares to be issued to each Exercising Investor shall be the number equal to N (rounded down to the nearest whole number), where N is calculated as follows:</paratext>
              </para>
              <para>
                <paratext>
                  <bold>EITHER, FULL RATCHET:</bold>
                </paratext>
              </para>
              <para>
                <paratext>N=(W / DRP) - Z</paratext>
              </para>
              <para>
                <paratext>Where:</paratext>
              </para>
              <para>
                <paratext>N = the number of Anti-Dilution Shares to be issued to the Exercising Investor.</paratext>
              </para>
              <para>
                <paratext>DRP =the Issue Price (in pounds sterling) per Relevant Security of the Qualifying Issue.</paratext>
              </para>
              <para>
                <paratext>W =the total amount (in pounds sterling) subscribed by the relevant Exercising Investor for its Preferred Shares.</paratext>
              </para>
              <para>
                <paratext>
                  Z =the number of Preferred Shares held by the relevant Exercising Investor prior to the Qualifying Issue [(but excluding any Preferred Shares acquired as a result of any previous operation of this 
                  <internal.reference refid="a819286">article 15</internal.reference>
                  )].
                </paratext>
              </para>
              <para>
                <paratext>
                  <bold>OR, WEIGHTED AVERAGE RATCHET</bold>
                </paratext>
              </para>
              <para>
                <paratext>N=[(PIP / WA) x Z] – Z</paratext>
              </para>
              <para>
                <paratext>Where:</paratext>
              </para>
              <para>
                <paratext>N = the number of Anti-Dilution Shares to be issued to the Exercising Investor.</paratext>
              </para>
              <para>
                <paratext>DRP = the Issue Price (in pounds sterling) per Relevant Security of the Qualifying Issue.</paratext>
              </para>
              <para>
                <paratext>PIP =the Issue Price of each Preferred Share subscribed by the relevant Exercising Investor.</paratext>
              </para>
              <para>
                <paratext>
                  Z = the number of Preferred Shares held by the relevant Exercising Investor prior to the Qualifying Issue [(but excluding any Preferred Shares acquired as a result of any previous operation of this 
                  <internal.reference refid="a819286">article 15</internal.reference>
                  )].
                </paratext>
              </para>
              <para>
                <paratext>WA = [(PIP x SC) + (DRP x NS)] / (SC + NS).</paratext>
              </para>
              <para>
                <paratext>
                  SC = the total number of [Shares in the issued equity share capital (as defined in section 548 of the Act) of the Company [(excluding any Preferred Shares acquired as a result of any previous operation of this 
                  <internal.reference refid="a819286">article 15</internal.reference>
                  )]] [, plus the total number of Shares which would result from the exercise of all existing options, warrants, conversion rights and all other rights to acquire Shares, in each case 
                  <bold>OR</bold>
                   the total number of equity securities (as defined in section 560(1) of the Act) of the Company, in each case] immediately prior to the Qualifying Issue.
                </paratext>
              </para>
              <para>
                <paratext>NS = the total number of Relevant Securities comprised within the Qualifying Issue.</paratext>
              </para>
              <drafting.note id="a216435" jurisdiction="">
                <head align="left" preservecase="true">
                  <headtext>Full or weighted average ratchet</headtext>
                </head>
                <division id="a000089" level="1">
                  <para>
                    <paratext>
                      <internal.reference refid="a772516">article 15.2</internal.reference>
                       sets out the method for calculating the number of bonus shares to be issued by the company. The number of shares that an investor will receive under the ratchet depends on whether it has "full ratchet", "narrow based weighted average ratchet" or "broad based weighted average ratchet" protection:
                    </paratext>
                  </para>
                  <list type="bulleted">
                    <list.item>
                      <para>
                        <paratext>
                          A 
                          <bold>full ratchet</bold>
                           effectively re-bases the original investor's starting price per share to that of the new down round price. In simple terms, what number of shares would an existing investor have received had it bought shares at the down round price?
                        </paratext>
                      </para>
                    </list.item>
                    <list.item>
                      <para>
                        <paratext>
                          A 
                          <bold>narrow-based weighted average ratchet </bold>
                          reduces the price per share by averaging the price across the rounds and taking into account how many shares are actually sold at the down round price compared against the number of shares outstanding. To limit the ratchet to a narrow-based weighted average, the last set of words in square brackets in the definition of 'SC' in 
                          <internal.reference refid="a772516">article 15.2</internal.reference>
                           should be excluded.
                        </paratext>
                      </para>
                    </list.item>
                    <list.item>
                      <para>
                        <paratext>
                          A 
                          <bold>broad-based weighted average ratchet</bold>
                           reduces the price per share by averaging the price across the rounds and taking into account how many shares are actually sold at the down round price compared with the share capital of the company on a fully diluted basis ('fully diluted' includes all shares in issue together with all options and warrants convertible into shares as if such options, warrants and securities had been converted, as well as any other rights to acquire shares). To include a broad-based weighted average ratchet, either:
                        </paratext>
                      </para>
                      <list type="bulleted">
                        <list.item>
                          <para>
                            <paratext>
                              reference in the definition of 'SC' in 
                              <internal.reference refid="a772516">article 15.2</internal.reference>
                               to the company's 'equity share capital' (which refers only to issued shares (
                              <link href="2-505-9329" style="ACTLinkPLCtoPLC">
                                <ital>section 548</ital>
                              </link>
                              <ital>, CA 2006</ital>
                              )) should be excluded and replaced with reference to the company's 'equity securities' (which refers to issued equity shares and all rights to subscribe for, or convert into, equity shares (
                              <link href="7-505-8817" style="ACTLinkPLCtoPLC">
                                <ital>section 560(1)</ital>
                              </link>
                              <ital>, CA 2006</ital>
                              )); or
                            </paratext>
                          </para>
                        </list.item>
                        <list.item>
                          <para>
                            <paratext>to avoid reference to legal terms with only subtle differences, retain the reference to 'equity share capital' and include the words "plus the total number of shares which would result from the exercise of all existing options, warrants, conversion rights and all other rights to acquire Shares, in each case".</paratext>
                          </para>
                        </list.item>
                      </list>
                    </list.item>
                  </list>
                </division>
              </drafting.note>
            </subclause1>
            <subclause1 id="a381352">
              <identifier>15.3</identifier>
              <para>
                <paratext>The Anti-Dilution Shares shall:</paratext>
              </para>
              <subclause2 id="a554844">
                <identifier>(a)</identifier>
                <para>
                  <paratext>be paid up by the automatic capitalisation of available reserves of the Company (without any further authority required than that contained in these Articles);</paratext>
                </para>
              </subclause2>
              <subclause2 id="a565525">
                <identifier>(b)</identifier>
                <para>
                  <paratext>
                    within [NUMBER] Business Days of the date of the Qualifying Issue be issued to the relevant Exercising Investors in accordance with 
                    <internal.reference refid="a772516">article 15.2</internal.reference>
                     and credited as fully paid up in cash; and
                  </paratext>
                </para>
              </subclause2>
              <subclause2 id="a533481">
                <identifier>(c)</identifier>
                <para>
                  <paratext>
                    shall rank pari passu in all respects with the existing [Ordinary 
                    <bold>OR</bold>
                     Preferred] Shares.
                  </paratext>
                </para>
                <drafting.note id="a476832" jurisdiction="">
                  <head align="left" preservecase="true">
                    <headtext>Mechanics of the bonus issue</headtext>
                  </head>
                  <division id="a000090" level="1">
                    <para>
                      <paratext>
                        <internal.reference refid="a554844">Article 15.3(a)</internal.reference>
                         provides for a bonus issue to be made automatically. This effectively overrides 
                        <link href="6-505-5094" style="ACTLinkPLCtoPLC">
                          <ital>model article 36</ital>
                        </link>
                         which would otherwise require both director and shareholder approval of a bonus issue.
                      </paratext>
                    </para>
                    <para>
                      <paratext>
                        The bonus issue is to be made by capitalising amounts standing to the credit of the distributable reserves of the company (commonly from the 
                        <link href="1-107-7253" style="ACTLinkPLCtoPLC">
                          <bold>
                            <ital>share premium account</ital>
                          </bold>
                        </link>
                         and the 
                        <link href="1-107-6178" style="ACTLinkPLCtoPLC">
                          <bold>
                            <ital>capital redemption reserve</ital>
                          </bold>
                        </link>
                        ). In the event there are insufficient amounts in such reserves to comply with this 
                        <internal.reference refid="a381352">article 15.3</internal.reference>
                        , 
                        <internal.reference refid="a629613">article 15.4</internal.reference>
                         will apply.
                      </paratext>
                    </para>
                  </division>
                </drafting.note>
              </subclause2>
            </subclause1>
            <subclause1 id="a629613">
              <identifier>15.4</identifier>
              <para>
                <paratext>
                  If and to the extent that the Company is prohibited from issuing the Anti-Dilution Shares in accordance with 
                  <internal.reference refid="a381352">article 15.3</internal.reference>
                   (whether by virtue of the Act or otherwise), [the entitlement of each Exercising Investor to such an issue of Anti-Dilution Shares shall be reduced in the same proportion that its holding of Preferred Shares bears to the total number of Preferred Shares then in issue and] each Exercising Investor shall be entitled, at any time, to subscribe at par for the balance of that number of Anti-Dilution Shares to which they would otherwise be entitled to receive pursuant to 
                  <internal.reference refid="a772516">article 15.2</internal.reference>
                   and, following such a subscription, 
                  <internal.reference refid="a533481">article 15.3(c)</internal.reference>
                   shall apply.
                </paratext>
              </para>
              <drafting.note id="a148302" jurisdiction="">
                <head align="left" preservecase="true">
                  <headtext>Insufficient distributable reserves</headtext>
                </head>
                <division id="a000091" level="1">
                  <para>
                    <paratext>
                      In the event (and to the extent that) there are insufficient amounts in such reserves to comply with this 
                      <internal.reference refid="a819286">article 15</internal.reference>
                      , the company will be prohibited from making a bonus issue. 
                      <internal.reference refid="a629613">article 15.4</internal.reference>
                       provides the fall-back position, that the holders of the Preferred Shares may subscribe at nominal value for the number of shares to which they would have been entitled to receive as a bonus issue (but for the lack of reserves).
                    </paratext>
                  </para>
                  <para>
                    <paratext>
                      Whether an investor will take advantage of this mechanism may be affected by the nominal value of the class of shares on offer. If the existing shares in the class of bonus issue shares have a low nominal value (as compared to other classes), but were subscribed at a premium, it will not cost such investor a great deal to subscribe for the bonus issue shares. At the same time, the aggregate premium paid for the existing shares in the class will form part of the distributable reserves and so the option to subscribe under this 
                      <internal.reference refid="a629613">article 15.4</internal.reference>
                       may not, in that case, be required.
                    </paratext>
                  </para>
                </division>
              </drafting.note>
            </subclause1>
            <subclause1 id="a75639">
              <identifier>15.5</identifier>
              <para>
                <paratext>
                  In the case of an issue of Relevant Securities for a consideration in whole or in part other than in cash, the Issue Price of each Relevant Security for the purposes of 
                  <internal.reference refid="a975461">article 15.1</internal.reference>
                   and 
                  <internal.reference refid="a772516">article 15.2</internal.reference>
                   shall be a price certified by the Independent Expert (acting as experts and not as arbitrators) as being, in their opinion, the current cash value of the non-cash consideration for the allotment of the Relevant Securities.
                </paratext>
              </para>
            </subclause1>
            <subclause1 id="a206406">
              <identifier>15.6</identifier>
              <para>
                <paratext>
                  In the event of any Issue or Re-organisation, the Issue Price of each Preferred Share shall be adjusted to take account of such Issue or Re-organisation on such basis as may be agreed between the Directors and [the holders for the time being of the Preferred Shares 
                  <bold>OR</bold>
                   an Investor Majority] or, failing such agreement within [NUMBER] Business Days after (and excluding) the date of such Issue or Re-organisation, as determined by the Independent Expert (at the Company's cost).
                </paratext>
              </para>
              <drafting.note id="a66897" jurisdiction="">
                <head align="left" preservecase="true">
                  <headtext>Re-organisation</headtext>
                </head>
                <division id="a000092" level="1">
                  <para>
                    <paratext>
                      <internal.reference refid="a206406">Article 15.6</internal.reference>
                       (and the related 
                      <internal.reference refid="a178407">article 15.9</internal.reference>
                      ) gives an investor a non-price based anti-dilution protection. If the share capital is (or has been) re-organised in any of the ways described in 
                      <internal.reference refid="a178407">article 15.9</internal.reference>
                      , on a new issue of Relevant Securities triggering the provisions of 
                      <internal.reference refid="a819286">article 15</internal.reference>
                      , the price that an investor paid for its shares (the starting price used in the ratchet formulae) is adjusted accordingly (save on a re-classification).
                    </paratext>
                  </para>
                </division>
              </drafting.note>
            </subclause1>
            <subclause1 id="a345263">
              <identifier>15.7</identifier>
              <para>
                <paratext>
                  If there is a dispute between the Company and any holder for the time being of Preferred Shares as to the operation of this 
                  <internal.reference refid="a819286">article 15</internal.reference>
                  , the matter shall be referred (at the cost of the Company) to the Independent Expert who shall determine the number of Anti-Dilution Shares to be issued.
                </paratext>
              </para>
            </subclause1>
            <subclause1 id="a928690">
              <identifier>15.8</identifier>
              <para>
                <paratext>
                  The Independent Expert's determination of any matter under this 
                  <internal.reference refid="a819286">article 15</internal.reference>
                   shall, in the absence of manifest error, be final and binding on the Company and each of its Shareholders.
                </paratext>
              </para>
            </subclause1>
            <subclause1 id="a178407">
              <identifier>15.9</identifier>
              <para>
                <paratext>
                  In this 
                  <internal.reference refid="a819286">article 15</internal.reference>
                  , 
                  <defn.term>Issue or Re-organisation</defn.term>
                   means any return of capital, issue of Shares or other securities of the Company by way of capitalisation of profits or reserves (other than a capitalisation issue in substitution for, or as an alternative to, a cash dividend which is made available to the holders of Preferred Shares), any consolidation, sub-division or re-classification or the cancellation of any shares following a repurchase or redemption of Shares (other than Preferred Shares), or any variation in the Issue Price or conversion rate applicable to any other outstanding Shares of the Company.
                </paratext>
              </para>
              <drafting.note id="a501962" jurisdiction="">
                <head align="left" preservecase="true">
                  <headtext>15.9 Anti-dilution: Re-organisation: treasury shares</headtext>
                </head>
                <division id="a000093" level="1">
                  <para>
                    <paratext>
                      Before implementation of 
                      <link href="1-526-7748" style="ACTLinkPLCtoPLC">
                        <ital>the Companies Act 2006 (Amendment of Part 18) Regulations 2013</ital>
                      </link>
                       (
                      <ital>SI 2013/999</ital>
                      ), shares bought back or redeemed by a private company would be automatically cancelled. This resulted in a reduction of the number of issued shares and therefore a change in the value of each remaining share. For that reason, a repurchase or redemption of shares would constitute a reorganisation event under an anti-dilution ratchet.
                    </paratext>
                  </para>
                  <para>
                    <paratext>
                      However, under 
                      <internal.reference refid="a638953">article 26</internal.reference>
                      , the Company will have power to hold shares in treasury. Although shares held in treasury are disenfranchised under 
                      <link href="7-506-5078" style="ACTLinkPLCtoPLC">
                        <ital>section 726</ital>
                      </link>
                       of the CA 2006, the number of shares in issue remains the same after as before the buyback or redemption. Similarly, if the Company chooses to sell or transfer those shares under 
                      <link href="6-506-2155" style="ACTLinkPLCtoPLC">
                        <ital>section 727</ital>
                      </link>
                       of CA 2006, the number of issued shares will remain constant and the relevant shares will be re-enfranchised on transfer to another. For those reasons, 
                      <internal.reference refid="a178407">article 15.9</internal.reference>
                       provides that no adjustment shall be made to the Issue Price of a Preferred Share for the purposes of the ratchet in 
                      <internal.reference refid="a819286">article 15</internal.reference>
                       unless and until the shares bought back or redeemed are removed from the Company's issued share capital through cancellation.
                    </paratext>
                  </para>
                </division>
              </drafting.note>
            </subclause1>
          </clause>
          <clause id="a544163">
            <identifier>16.</identifier>
            <head align="left" preservecase="true">
              <headtext>Pre-emption rights on the issue of further shares</headtext>
            </head>
            <subclause1 condition="optional" id="a583587">
              <identifier>16.1</identifier>
              <para>
                <paratext>Save to the extent authorised by these Articles, [or authorised from time to time by an ordinary resolution,] the Directors shall not, save with Investor Consent, exercise any power to allot Shares or to grant rights to subscribe for, or to convert any security into, any Shares.</paratext>
              </para>
              <drafting.note id="a130985" jurisdiction="">
                <head align="left" preservecase="true">
                  <headtext>Investor consent to further issues of shares</headtext>
                </head>
                <division id="a000094" level="1">
                  <para>
                    <paratext>
                      Investors will usually want to prohibit the issue of any further shares without prior consent. Where investors do not hold sufficient shares to block an ordinary resolution, they will commonly seek to include an issue of shares as a matter which constitutes a variation of the class rights of the investor's shares (see 
                      <internal.reference refid="a548208">article 13.2(b)</internal.reference>
                      ). If such a class right is included, this 
                      <internal.reference refid="a583587">article 16.1</internal.reference>
                       is not strictly required, although may serve as a clear reminder to the directors of the restriction on their powers.
                    </paratext>
                  </para>
                  <para>
                    <paratext>
                      Following a conversion of shares under 
                      <internal.reference refid="a103637">article 14</internal.reference>
                      , it is possible that the company's capital will comprise only Ordinary Shares. In that case, 
                      <internal.reference refid="a583587">article 16.1</internal.reference>
                       will serve to exclude the right the directors would otherwise have under 
                      <link href="7-505-5121" style="ACTLinkPLCtoPLC">
                        <ital>section 550</ital>
                      </link>
                       of the CA 2006 to allot shares (or rights in respect of shares) without the need for further shareholder consent. In practice, an investor will usually only convert into ordinary shares immediately prior to an exit and will in any event retain a separate right of veto over new share issues.
                    </paratext>
                  </para>
                  <para>
                    <paratext>
                      Also, see 
                      <internal.reference refid="a707776">Drafting note, Authority to allot shares</internal.reference>
                      .
                    </paratext>
                  </para>
                </division>
              </drafting.note>
            </subclause1>
            <subclause1 id="a312508">
              <identifier>16.2</identifier>
              <para>
                <paratext>
                  Subject to the remaining provisions of this 
                  <internal.reference refid="a544163">article 16</internal.reference>
                  , the Directors are generally and unconditionally authorised, for the purposes of section 551 of the Act, to exercise any power of the Company to:
                </paratext>
              </para>
              <subclause2 id="a391323">
                <identifier>(a)</identifier>
                <para>
                  <paratext>offer or allot;</paratext>
                </para>
              </subclause2>
              <subclause2 id="a889300">
                <identifier>(b)</identifier>
                <para>
                  <paratext>grant rights to subscribe for or to convert any security into; and</paratext>
                </para>
              </subclause2>
              <subclause2 id="a660947">
                <identifier>(c)</identifier>
                <para>
                  <paratext>otherwise deal in, or dispose of,</paratext>
                </para>
              </subclause2>
              <para>
                <paratext>any Shares (or any options, warrants, conversion rights and all other rights to acquire or subscribe for Shares) to any person, at any time and subject to any terms and conditions as the Directors think proper.</paratext>
              </para>
              <drafting.note id="a707776" jurisdiction="">
                <head align="left" preservecase="true">
                  <headtext>Authority to allot shares</headtext>
                </head>
                <division id="a000095" level="1">
                  <para>
                    <paratext>
                      <internal.reference refid="a312508">Article 16.2</internal.reference>
                       and 
                      <internal.reference refid="a611585">article 16.3</internal.reference>
                       cap the amount of shares (or rights to acquire shares) that the directors may issue, without further authority of the shareholders. In any event, an investor will want the right to veto any issue of shares within this authorised amount (see 
                      <internal.reference refid="a548208">article 13.2(b)</internal.reference>
                      ).
                    </paratext>
                  </para>
                  <para>
                    <paratext>
                      <link href="2-505-7636" style="ACTLinkPLCtoPLC">
                        <ital>Section 549(2)</ital>
                      </link>
                       of the CA 2006 provides that 
                      <link href="8-505-5125" style="ACTLinkPLCtoPLC">
                        <ital>section 551</ital>
                      </link>
                       does not apply in respect of the allotment of shares pursuant to an employees' share scheme. Without restriction in the Articles, the directors may issue shares (or rights to acquire shares) under such a scheme without further consent (and the limitations of 
                      <internal.reference refid="a611585">article 16.3</internal.reference>
                       will not apply to such an issue). 
                      <internal.reference refid="a583587">article 16.1</internal.reference>
                       (if included) would require an ordinary resolution (subject to any class rights restriction), or separate investor consent before the allotment of any such shares. In the absence of such 
                      <internal.reference refid="a583587">article 16.1</internal.reference>
                      , the class right restriction over the issue of further shares should extend to shares issued pursuant to an employees' share scheme.
                    </paratext>
                  </para>
                  <para>
                    <paratext>
                      For more on pre-emption rights on the allotment of shares, see 
                      <link href="2-386-8902" style="ACTLinkPLCtoPLC">
                        <ital>Practice note, Pre-emption rights: allotment of shares</ital>
                      </link>
                      .
                    </paratext>
                  </para>
                </division>
              </drafting.note>
            </subclause1>
            <subclause1 id="a611585">
              <identifier>16.3</identifier>
              <para>
                <paratext>
                  The authority referred to in 
                  <internal.reference refid="a312508">article 16.2</internal.reference>
                  :
                </paratext>
              </para>
              <subclause2 id="a494091">
                <identifier>(a)</identifier>
                <para>
                  <paratext>shall be limited to a maximum nominal amount of £[AMOUNT] of Preferred Shares and £[AMOUNT] of Ordinary Shares;</paratext>
                </para>
              </subclause2>
              <subclause2 id="a846574">
                <identifier>(b)</identifier>
                <para>
                  <paratext>shall only apply insofar as the Company has not, subject to these Articles, renewed, waived or revoked it by ordinary resolution; and</paratext>
                </para>
              </subclause2>
              <subclause2 id="a789123">
                <identifier>(c)</identifier>
                <para>
                  <paratext>may only be exercised for a period of five years from the Adoption Date save that, subject to these Articles, the Directors may make an offer or agreement which would, or might, require any Shares to be allotted after the expiry of such authority (and the Directors may allot Shares in pursuance of an offer or agreement as if such authority had not expired).</paratext>
                </para>
                <drafting.note id="a430061" jurisdiction="">
                  <head align="left" preservecase="true">
                    <headtext>Extent of authority to allot shares</headtext>
                  </head>
                  <division id="a000096" level="1">
                    <para>
                      <paratext>
                        <internal.reference refid="a494091">article 16.3(a)</internal.reference>
                         replaces the common practice, under the 
                        <link href="2-505-5086" style="ACTLinkPLCtoPLC">
                          <ital>1985 Act</ital>
                        </link>
                        , of limiting the authority to allot shares (and rights to subscribe for shares) to the amount of authorised, but unissued, share capital on the date of adoption of the Articles. As the 
                        <link href="3-503-8567" style="ACTLinkPLCtoPLC">
                          <ital>CA 2006</ital>
                        </link>
                         abolishes the concept of an authorised share capital, 
                        <internal.reference refid="a494091">article 16.3(a)</internal.reference>
                         specifically states the maximum authorised amount of shares of each class which may be allotted (as required by 
                        <link href="8-505-5125" style="ACTLinkPLCtoPLC">
                          <ital>section 551(3)(a)</ital>
                        </link>
                         of the CA 2006).
                      </paratext>
                    </para>
                  </division>
                </drafting.note>
              </subclause2>
            </subclause1>
            <subclause1 id="a227058">
              <identifier>16.4</identifier>
              <para>
                <paratext>In accordance with section 567(1) of the Act, sections 561 and 562 of the Act shall not apply to an allotment of equity securities (as defined in section 560(1) of the Act) made by the Company.</paratext>
              </para>
              <drafting.note id="a665051" jurisdiction="">
                <head align="left" preservecase="true">
                  <headtext>Exclusion of statutory pre-emption rights</headtext>
                </head>
                <division id="a000097" level="1">
                  <para>
                    <paratext>
                      Where an investor is to hold a separate class of shares from management (and any other shareholders), it will usually seek to exclude the statutory pre-emption procedures of 
                      <link href="5-505-5122" style="ACTLinkPLCtoPLC">
                        <ital>sections 561</ital>
                      </link>
                       and 
                      <link href="3-505-5123" style="ACTLinkPLCtoPLC">
                        <ital>562</ital>
                      </link>
                       of the CA 2006.
                    </paratext>
                  </para>
                  <para>
                    <paratext>Such an investor will want to ensure that any new Preferred Shares are first offered to the investor(s), ahead of any other shareholders, given the special rights attached to those Preferred Shares.</paratext>
                  </para>
                  <para>
                    <paratext>
                      <internal.reference refid="a647674">article 16.5</internal.reference>
                       sets out a procedure to replace the statutory procedure and provides for pre-emption on a class by class basis.
                    </paratext>
                  </para>
                  <para>
                    <paratext>
                      For more on pre-emption rights under the 
                      <link href="3-503-8567" style="ACTLinkPLCtoPLC">
                        <ital>CA 2006</ital>
                      </link>
                      , see 
                      <link href="2-386-8902" style="ACTLinkPLCtoPLC">
                        <ital>Practice note, Pre-emption rights: 1 October 2009</ital>
                      </link>
                      .
                    </paratext>
                  </para>
                </division>
              </drafting.note>
            </subclause1>
            <subclause1 id="a647674">
              <identifier>16.5</identifier>
              <para>
                <paratext>
                  [Unless otherwise agreed by special resolution 
                  <bold>OR</bold>
                   Save with Investor Consent] if the Company proposes to allot any Relevant Securities, those Relevant Securities shall not be allotted to any person unless the Company has first offered them to the holders (on the date of the offer) of the [Preferred 
                  <bold>OR</bold>
                   Equity] Shares (each an 
                  <defn.term>Offeree</defn.term>
                  ) on a pari passu basis (as if they constituted Shares of the same class) and in the respective proportions that the number of [Preferred 
                  <bold>OR</bold>
                   Equity] Shares held by each such holder bears to the total number of [Preferred 
                  <bold>OR</bold>
                   Equity] Shares held by all such holders (as nearly as possible without involving fractions) and on the same terms, and at the same price, as those Relevant Securities are being, or are to be, offered to any other person.
                </paratext>
              </para>
              <drafting.note id="a45534" jurisdiction="">
                <head align="left" preservecase="true">
                  <headtext>Contractual pre-emption procedure</headtext>
                </head>
                <division id="a000098" level="1">
                  <para>
                    <paratext>
                      <internal.reference refid="a647674">article 16.5</internal.reference>
                       sets out a pre-emption procedure, in place of that set out in 
                      <link href="5-505-5122" style="ACTLinkPLCtoPLC">
                        <ital>section 561</ital>
                      </link>
                       of the CA 2006 (as permitted by 
                      <link href="6-505-5206" style="ACTLinkPLCtoPLC">
                        <ital>section 568</ital>
                      </link>
                       of the CA 2006). This contractual procedure requires any new shares to first be offered to either the holders of the Preferred Shares, or all of the Equity Shares. This will be a matter for negotiation.
                    </paratext>
                  </para>
                  <para>
                    <paratext>
                      If the offer under 
                      <internal.reference refid="a647674">article 16.5</internal.reference>
                       extends only to the holders of the Preferred Shares, it will be common to also include a subsequent article (see 
                      <internal.reference refid="a954656">article 16.9</internal.reference>
                      ), which provides that any relevant securities not accepted by the holders of the Preferred Shares should then be offered to the holders of the Ordinary Shares, before being offered to third parties.
                    </paratext>
                  </para>
                  <para>
                    <paratext>
                      Depending on the relative bargaining powers of the parties to the transaction, management are likely to argue that any Ordinary Shares to be issued should first be offered to the existing ordinary shareholders as well as to those holding Preferred Shares, in which case the offer under 
                      <internal.reference refid="a647674">article 16.5</internal.reference>
                       should be made to the holders of Equity Shares.
                    </paratext>
                  </para>
                  <para>
                    <paratext>
                      The company need only comply with 
                      <internal.reference refid="a647674">article 16.5</internal.reference>
                       where the proposed allotment is one of 
                      <internal.reference refid="a598337">Relevant Period: the period of [NUMBER] months from the Adoption Date.</internal.reference>
                      ). All other shares (or other equity securities) may be issued free of pre-emption (but subject to any other limitations in the Articles).
                    </paratext>
                  </para>
                </division>
              </drafting.note>
            </subclause1>
            <subclause1 id="a120245">
              <identifier>16.6</identifier>
              <para>
                <paratext>
                  An offer made under 
                  <internal.reference refid="a647674">article 16.5</internal.reference>
                   shall:
                </paratext>
              </para>
              <subclause2 id="a233694">
                <identifier>(a)</identifier>
                <para>
                  <paratext>be in writing and give details of the number, class and subscription price (including any share premium) of the Relevant Securities being offered;</paratext>
                </para>
              </subclause2>
              <subclause2 id="a158925">
                <identifier>(b)</identifier>
                <para>
                  <paratext>remain open for a period of [at least] [NUMBER] Business Days from the date of service of the offer; and</paratext>
                </para>
              </subclause2>
              <subclause2 id="a196282">
                <identifier>(c)</identifier>
                <para>
                  <paratext>
                    stipulate that any Offeree who wishes to subscribe for a number of Relevant Securities in excess of the number to which they are entitled under 
                    <internal.reference refid="a647674">article 16.5</internal.reference>
                     shall, in their acceptance, state the number of excess Relevant Securities (
                    <bold>Excess Securities</bold>
                    ) for which they wish to subscribe.
                  </paratext>
                </para>
                <drafting.note id="a938720" jurisdiction="">
                  <head align="left" preservecase="true">
                    <headtext>To whom should the offer be made</headtext>
                  </head>
                  <division id="a000099" level="1">
                    <para>
                      <paratext>
                        The offer to be made under 
                        <internal.reference refid="a647674">article 16.5</internal.reference>
                         is to those persons who are shareholders on the date of the offer. Consideration should be given to what happens if any such person ceases to be a shareholder between the date of the offer and its expiry (or the date of the resulting allotment of shares, if later).
                      </paratext>
                    </para>
                  </division>
                </drafting.note>
              </subclause2>
            </subclause1>
            <subclause1 id="a257779">
              <identifier>16.7</identifier>
              <para>
                <paratext>
                  If, on the expiry of an offer made in accordance with 
                  <internal.reference refid="a647674">article 16.5</internal.reference>
                  , the total number of Relevant Securities applied for is less than the total number of Relevant Securities so offered, the Directors shall allot the Relevant Securities to the Offerees in accordance with their applications, subject to a maximum of each Offeree's proportionate entitlement.
                </paratext>
              </para>
            </subclause1>
            <subclause1 id="a542129">
              <identifier>16.8</identifier>
              <para>
                <paratext>
                  Any Relevant Securities not accepted by Offerees pursuant to an offer made in accordance with 
                  <internal.reference refid="a647674">article 16.5</internal.reference>
                   shall be used to satisfy any requests for Excess Securities made pursuant to 
                  <internal.reference refid="a196282">article 16.6(c)</internal.reference>
                  . If there are insufficient Excess Securities to satisfy such requests, the Excess Securities shall be allotted to the applicants in the respective proportions that the number of [Preferred 
                  <bold>OR</bold>
                   Equity] Shares held by each such applicant bears to the total number of such [Preferred 
                  <bold>OR</bold>
                   Equity] Shares held by all applicants (as nearly as possible without involving fractions or increasing the number of Excess Securities allotted to any Shareholder beyond that applied for by them). [After those allotments, any Excess Securities shall, subject to 
                  <internal.reference refid="a164238">article 16.11</internal.reference>
                  , be offered to any other person(s) as the Directors may [,with Investor Consent,] determine, at the same price and on the same terms as the offer to the Shareholders.]
                </paratext>
              </para>
              <drafting.note id="a977400" jurisdiction="">
                <head align="left" preservecase="true">
                  <headtext>Offers to third parties</headtext>
                </head>
                <division id="a000100" level="1">
                  <para>
                    <paratext>
                      The last sentence (in square brackets) of 
                      <internal.reference refid="a542129">article 16.8</internal.reference>
                       should usually only be included if the offer under 
                      <internal.reference refid="a647674">article 16.5</internal.reference>
                       is made to the holders of all Equity Shares. If such offer is initially made only to the preferred shareholders, the last sentence will usually be omitted and 
                      <internal.reference refid="a954656">article 16.9</internal.reference>
                       and 
                      <internal.reference refid="a982655">article 16.10</internal.reference>
                       included.
                    </paratext>
                  </para>
                  <para>
                    <paratext>Following completion of the pre-emption procedure, an investor may still want the right to veto any third party allottee, in which such an allotment should be subject to investor consent. Management will argue that, as the investor will have had chance to subscribe for those shares itself, it should not be able to restrict any further allotment of those shares.</paratext>
                  </para>
                </division>
              </drafting.note>
            </subclause1>
            <subclause1 condition="optional" id="a954656">
              <identifier>16.9</identifier>
              <para>
                <paratext>
                  If, after completion of the allotments referred to in 
                  <internal.reference refid="a257779">article 16.7</internal.reference>
                   and 
                  <internal.reference refid="a542129">article 16.8</internal.reference>
                  , not all of the Relevant Securities have been allotted, the balance of such Relevant Securities shall be offered to the holders (on the date of this offer) of the Ordinary Shares on a pari passu basis and in the respective proportions that the number of Ordinary Shares held by each such holder bears to the total number of Ordinary Shares held by all such holders (as nearly as possible without involving fractions) and on the same terms, and at the same price, as those Relevant Securities are being, or are to be, offered to any other person. Such offer shall be made in accordance with 
                  <internal.reference refid="a120245">article 16.6</internal.reference>
                   and the provisions of 
                  <internal.reference refid="a257779">article 16.7</internal.reference>
                   and 
                  <internal.reference refid="a542129">article 16.8</internal.reference>
                   shall, with necessary modifications, apply to such offer.
                </paratext>
              </para>
            </subclause1>
            <subclause1 condition="optional" id="a982655">
              <identifier>16.10</identifier>
              <para>
                <paratext>
                  If, after completion of the allotments referred to in articles [
                  <internal.reference refid="a257779">article 16.7</internal.reference>
                   and 
                  <internal.reference refid="a542129">article 16.8</internal.reference>
                  <bold>OR</bold>
                  <internal.reference refid="a257779">article 16.7</internal.reference>
                   , 
                  <internal.reference refid="a542129">article 16.8</internal.reference>
                   and 
                  <internal.reference refid="a954656">article 16.9</internal.reference>
                  ], not all of the Relevant Securities have been allotted, the balance of such Relevant Securities shall, subject to 
                  <internal.reference refid="a164238">article 16.11</internal.reference>
                   be offered to any other person(s) as the Directors may, [with Investor Consent,] determine, at the same price and on the same terms as the offer to the Shareholders.
                </paratext>
              </para>
              <drafting.note id="a263205" jurisdiction="">
                <head align="left" preservecase="true">
                  <headtext>Investor veto over third party offerees</headtext>
                </head>
                <division id="a000101" level="1">
                  <para>
                    <paratext>Following completion of the pre-emption procedure, an investor may still want the right to veto any third party allottee, in which such an allotment should be subject to investor consent. Management will argue that, as the investor will have had chance to subscribe for those shares itself, it should not be able to restrict any further allotment of those shares.</paratext>
                  </para>
                </division>
              </drafting.note>
            </subclause1>
            <subclause1 id="a164238">
              <identifier>16.11</identifier>
              <para>
                <paratext>No Shares shall be allotted to any current or prospective employee or director of any Group Company unless such person shall first have entered into a joint election with the relevant Group Company under section 431 of the Income Tax (Earnings and Pensions) Act 2003.</paratext>
              </para>
              <drafting.note id="a960082" jurisdiction="">
                <head align="left" preservecase="true">
                  <headtext>Employee tax elections</headtext>
                </head>
                <division id="a000102" level="1">
                  <para>
                    <paratext>
                      For further information on the tax treatment of shares held by founders and employees, see 
                      <link href="8-202-4533" style="ACTLinkPLCtoPLC">
                        <ital>Practice note, Founder shares and employee shares</ital>
                      </link>
                      .
                    </paratext>
                  </para>
                </division>
              </drafting.note>
            </subclause1>
          </clause>
          <clause id="a977232">
            <identifier>17.</identifier>
            <head align="left" preservecase="true">
              <headtext>Transfers of shares: general</headtext>
            </head>
            <subclause1 id="a353911">
              <identifier>17.1</identifier>
              <para>
                <paratext>In these Articles, reference to the transfer of a Share includes the transfer, assignment or other disposal of a beneficial or other interest in that Share, or the creation of a trust or encumbrance over that Share, and reference to a Share includes a beneficial or other interest in a Share.</paratext>
              </para>
            </subclause1>
            <subclause1 id="a253734">
              <identifier>17.2</identifier>
              <para>
                <paratext>
                  No Share shall be transferred, and the Directors shall refuse to register a transfer of any Share, unless it is made in accordance with these Articles. Subject to 
                  <internal.reference refid="a926657">article 17.5</internal.reference>
                  , the Directors shall register any duly stamped transfer made in accordance with these Articles, unless they suspect that the proposed transfer may be fraudulent.
                </paratext>
              </para>
              <drafting.note id="a819844" jurisdiction="">
                <head align="left" preservecase="true">
                  <headtext>Right to refuse registration of transfers</headtext>
                </head>
                <division id="a000103" level="1">
                  <para>
                    <paratext>
                      Under 
                      <link href="4-505-7664" style="ACTLinkPLCtoPLC">
                        <ital>section 771</ital>
                      </link>
                       of the CA 2006, on receipt of a duly executed transfer of shares, the directors must, within two months, either register the transfer or give the transferee notice of refusal, together with reasons for such refusal. Where 
                      <internal.reference refid="a253734">article 17.2</internal.reference>
                       applies, the directors may, in giving such notice of refusal to register, wish to refer to their general duty to act in accordance with the constitution (
                      <link href="1-505-5119" style="ACTLinkPLCtoPLC">
                        <ital>section 171(a)</ital>
                      </link>
                      <ital>, CA 2006</ital>
                      ).
                    </paratext>
                  </para>
                  <para>
                    <paratext>
                      <internal.reference refid="a253734">Article 17.2</internal.reference>
                       replaces 
                      <link href="6-505-5094" style="ACTLinkPLCtoPLC">
                        <ital>model article 26(5)</ital>
                      </link>
                      . As a result, the directors' absolute discretion to refuse to register a transfer is not available if a transfer is made in accordance with the detailed provisions as to transfers in these Articles.
                    </paratext>
                  </para>
                </division>
              </drafting.note>
            </subclause1>
            <subclause1 id="a482087">
              <identifier>17.3</identifier>
              <para>
                <paratext>If a Shareholder transfers (or purports to transfer) a Share other than in accordance with these Articles, they shall [, save with Investor Consent to the contrary,] be deemed to have immediately served a Transfer Notice in respect of all Shares held by them.</paratext>
              </para>
              <drafting.note id="a869205" jurisdiction="">
                <head align="left" preservecase="true">
                  <headtext>Deemed transfers</headtext>
                </head>
                <division id="a000104" level="1">
                  <para>
                    <paratext>
                      It may not always be appropriate for a purported transfer of shares in breach of the Articles to automatically require the relevant shareholder to sell all their shares. The words in square brackets in 
                      <internal.reference refid="a482087">article 17.3</internal.reference>
                       will allow an investor majority to disapply that requirement in its discretion. Management may prefer such discretion to be vested in the board of directors.
                    </paratext>
                  </para>
                </division>
              </drafting.note>
            </subclause1>
            <subclause1 condition="optional" id="a129603">
              <identifier>17.4</identifier>
              <para>
                <paratext>
                  Any transfer of a Share by way of sale which is required to be made under 
                  <internal.reference refid="a599340">article 21</internal.reference>
                  , 
                  <internal.reference refid="a1052001">article 22</internal.reference>
                   or 
                  <internal.reference refid="a457892">article 23</internal.reference>
                   shall be deemed to include a warranty that the transferor sells the Share with full title guarantee.
                </paratext>
              </para>
            </subclause1>
            <subclause1 id="a926657">
              <identifier>17.5</identifier>
              <para>
                <paratext>
                  The Directors may (and shall, if requested by an Investor Majority), as a condition to the registration of any transfer of Shares, require the transferee to execute and deliver to the Company a deed, in favour of the Company [and the Investors] agreeing to be bound by the terms of [the Investment Agreement 
                  <bold>OR</bold>
                   any shareholders' agreement (or similar document) in force between any of the Shareholders [and the Company]], in such form as the Directors (acting with Investor Consent) may reasonably require (but not so as to oblige the transferee to have any obligations or liabilities greater than those of the proposed transferor). If any condition is imposed in accordance with this 
                  <internal.reference refid="a926657">article 17.5</internal.reference>
                  , the transfer may not be registered unless and until that deed has been executed and delivered to the Company's registered office by the transferee.
                </paratext>
              </para>
              <drafting.note id="a535493" jurisdiction="">
                <head align="left" preservecase="true">
                  <headtext>Deeds of adherence</headtext>
                </head>
                <division id="a000105" level="1">
                  <para>
                    <paratext>Where a transferor of shares is party to the investment agreement, an investor is likely to want any transferee to sign up to that agreement in the transferee's place. The role of the transferee within the company's operation will often determine whether it would be appropriate for that transferee to become a party (more likely to be required where the transferee is to be a director, as opposed to a passive, minority shareholder). If the transferor is not replaced as a party to that agreement, an investor may argue that the strength of the covenants contained in that document will be diluted as a result.</paratext>
                  </para>
                </division>
              </drafting.note>
            </subclause1>
            <subclause1 id="a719667">
              <identifier>17.6</identifier>
              <para>
                <paratext>To enable the Directors to determine whether or not there has been any transfer (or purported transfer) of Shares the Directors may, and shall if so requested by an Investor Director, require:</paratext>
              </para>
              <subclause2 id="a687623">
                <identifier>(a)</identifier>
                <para>
                  <paratext>any holder (or the legal representatives of a deceased holder); or</paratext>
                </para>
              </subclause2>
              <subclause2 id="a783755">
                <identifier>(b)</identifier>
                <para>
                  <paratext>any person named as a transferee in a transfer lodged for registration; or</paratext>
                </para>
              </subclause2>
              <subclause2 id="a495359">
                <identifier>(c)</identifier>
                <para>
                  <paratext>such other person as the Directors or an Investor Director may reasonably believe to have information relevant to that purpose,</paratext>
                </para>
              </subclause2>
              <para>
                <paratext>to provide the Company with any information and evidence that the Directors think fit regarding any matter which they deem relevant to that purpose.</paratext>
              </para>
            </subclause1>
            <subclause1 id="a360547">
              <identifier>17.7</identifier>
              <para>
                <paratext>
                  If any such information or evidence referred to in 
                  <internal.reference refid="a719667">article 17.6</internal.reference>
                   is not provided to enable the Directors to determine to their reasonable satisfaction that no breach has occurred, or that as a result of the information and evidence provided the Directors are reasonably satisfied that a breach has occurred, the Directors shall immediately notify the holder of such Shares of that fact in writing and [, if the holder fails to remedy that situation to the reasonable satisfaction of the Directors (including an Investor Director) within [NUMBER] Business Days of receipt of such written notice,] then, unless otherwise directed in writing by an Investor Majority:
                </paratext>
              </para>
              <subclause2 id="a499404">
                <identifier>(a)</identifier>
                <para>
                  <paratext>the relevant Shares shall cease to confer on the holder of them any rights:</paratext>
                </para>
                <subclause3 id="a82833">
                  <identifier>(i)</identifier>
                  <para>
                    <paratext>to vote (whether on a show of hands, on a poll or otherwise and whether in person, by proxy or otherwise), including in respect of any resolution of any class of Shares;</paratext>
                  </para>
                </subclause3>
                <subclause3 id="a332548">
                  <identifier>(ii)</identifier>
                  <para>
                    <paratext>
                      to receive dividends [or other distributions] (other than the amount to which they may be entitled pursuant to the application of 
                      <internal.reference refid="a164894">article 10.2</internal.reference>
                      ) otherwise attaching to those Shares; [or]
                    </paratext>
                  </para>
                </subclause3>
                <subclause3 condition="optional" id="a380138">
                  <identifier>(iii)</identifier>
                  <para>
                    <paratext>to participate in any future issue of Shares [issued in respect of those Shares]; and</paratext>
                  </para>
                </subclause3>
              </subclause2>
              <subclause2 id="a689897">
                <identifier>(b)</identifier>
                <para>
                  <paratext>the Directors may, by notice in writing to the relevant holder, determine that a Transfer Notice shall be deemed to have been given in respect of some or all of their Shares with effect from the date of service of the notice (or such later date as may be specified in such notice).</paratext>
                </para>
              </subclause2>
              <para>
                <paratext>
                  The Directors may (with Investor Consent) reinstate the rights referred to in 
                  <internal.reference refid="a499404">article 17.7(a)</internal.reference>
                   at any time and, in any event, such rights shall be reinstated [in respect of any Shares transferred pursuant to 
                  <internal.reference refid="a689897">article 17.7(b)</internal.reference>
                   on completion of such transfer 
                  <bold>OR</bold>
                   on completion of a transfer made pursuant to 
                  <internal.reference refid="a689897">article 17.7(b)</internal.reference>
                  ].
                </paratext>
              </para>
              <drafting.note id="a760621" jurisdiction="">
                <head align="left" preservecase="true">
                  <headtext>Disenfranchisement</headtext>
                </head>
                <division id="a000106" level="1">
                  <para>
                    <paratext>
                      <internal.reference refid="a360547">article 17.7</internal.reference>
                       suspends certain rights attached to shares which are the subject of a deemed transfer notice. It may be appropriate in all circumstances for voting rights to be suspended, if it means an investor would then hold over 50% of the voting rights. In that case, such voting rights might be vested in some other person, such as the chair of the directors. 
                      <internal.reference refid="a380138">article 17.7(a)(iii)</internal.reference>
                       prevents a disenfranchised shareholder from taking up their entitlement to shares on any further share issues. Whether or not these words are included, care should be taken to ensure that a deemed transfer notice will cover the sale of any shares acquired by the relevant shareholder after the date of such notice, but before completion of the sale of their shares (see 
                      <internal.reference refid="a125468">article 17.9</internal.reference>
                      ).
                    </paratext>
                  </para>
                  <para>
                    <paratext>
                      As disenfranchisement occurs following the action (or omission) of a specific shareholder, it follows that any transferee of those shares should not suffer the same restrictions. The final paragraph of 
                      <internal.reference refid="a360547">article 17.7</internal.reference>
                       restores all those rights on the transfer of the disenfranchised shares. If there is any risk that the transferor may retain shares following the sale procedure, the company and an investor may prefer to include the first option in square brackets, to ensure that any retained shares continue to be disenfranchised.
                    </paratext>
                  </para>
                </division>
              </drafting.note>
            </subclause1>
            <subclause1 id="a653808">
              <identifier>17.8</identifier>
              <para>
                <paratext>Unless expressly provided otherwise in these Articles, if a Transfer Notice is deemed to have been given under these Articles, the Deemed Transfer Notice shall be treated as having specified that:</paratext>
              </para>
              <subclause2 id="a470957">
                <identifier>(a)</identifier>
                <para>
                  <paratext>it does not contain a Minimum Transfer Condition; and</paratext>
                </para>
                <drafting.note id="a169665" jurisdiction="">
                  <head align="left" preservecase="true">
                    <headtext>Minimum transfer condition</headtext>
                  </head>
                  <division id="a000107" level="1">
                    <para>
                      <paratext>
                        In the event that these Articles require a transfer of shares to be made, 
                        <internal.reference refid="a470957">article 17.8(a)</internal.reference>
                         will ensure that if, following a pre-emptive offer of the seller's shares under these Articles not all of their shares have been accepted, the seller will still be required to sell those shares which have been accepted.
                      </paratext>
                    </para>
                  </division>
                </drafting.note>
              </subclause2>
              <subclause2 id="a165244">
                <identifier>(b)</identifier>
                <para>
                  <paratext>the Seller wishes to transfer all the Shares held by them (including any Shares acquired after the date the relevant Transfer Notice is deemed given but before completion of the transfer of Shares pursuant to the relevant Transfer Notice).</paratext>
                </para>
              </subclause2>
            </subclause1>
            <subclause1 id="a125468">
              <identifier>17.9</identifier>
              <para>
                <paratext>
                  Any Transfer Notice (but not an Offer Notice (as defined in 
                  <internal.reference refid="a1052001">article 22</internal.reference>
                  ) or a Drag Along Notice (as defined in 
                  <internal.reference refid="a457892">article 23</internal.reference>
                  )) served in respect of the transfer of any Share which has not completed before the date of service of a Deemed Transfer Notice shall [(save with Investor Consent to the contrary)] automatically be revoked by the service of a Deemed Transfer Notice.
                </paratext>
              </para>
            </subclause1>
          </clause>
          <clause id="a817012">
            <identifier>18.</identifier>
            <head align="left" preservecase="true">
              <headtext>Permitted transfers of shares</headtext>
            </head>
            <subclause1 id="a879121">
              <identifier>18.1</identifier>
              <para>
                <paratext>
                  A Shareholder (the 
                  <bold>Original Shareholder</bold>
                  ) may transfer all or any of their or its Shares to a Permitted Transferee.
                </paratext>
              </para>
              <drafting.note id="a238953" jurisdiction="">
                <head align="left" preservecase="true">
                  <headtext>Permitted transfers</headtext>
                </head>
                <division id="a000108" level="1">
                  <para>
                    <paratext>
                      In general, an investor will want to ensure that shares issued by the company are held by a relatively small group of people, being those involved in the day to day business of the Group. However, an inevitable part of any investment is that management will seek to make their shareholding as tax-efficient as possible. 
                      <internal.reference refid="a817012">article 18</internal.reference>
                       sets out those transfers which may be made, commonly as part of a tax planning exercise by the managers. A transfer in accordance with those provisions will not (save to the extent specified) require an investor's prior consent and will not have to be offered through the pre-emptive process of 
                      <internal.reference refid="a73365">article 19</internal.reference>
                      .
                    </paratext>
                  </para>
                </division>
              </drafting.note>
            </subclause1>
            <subclause1 id="a96455">
              <identifier>18.2</identifier>
              <para>
                <paratext>Where Shares are held by the trustee(s) of a Family Trust, the trustee(s) may transfer Shares to:</paratext>
              </para>
              <subclause2 id="a903130">
                <identifier>(a)</identifier>
                <para>
                  <paratext>the Original Shareholder;</paratext>
                </para>
              </subclause2>
              <subclause2 id="a754542">
                <identifier>(b)</identifier>
                <para>
                  <paratext>any Privileged Relation(s) of the Original Shareholder;</paratext>
                </para>
              </subclause2>
              <subclause2 id="a669147">
                <identifier>(c)</identifier>
                <para>
                  <paratext>
                    subject to 
                    <internal.reference refid="a831805">article 18.3</internal.reference>
                    , the trustee(s) of another Family Trust of which the Original Shareholder is the Settlor; or
                  </paratext>
                </para>
              </subclause2>
              <subclause2 id="a187984">
                <identifier>(d)</identifier>
                <para>
                  <paratext>
                    subject to 
                    <internal.reference refid="a831805">article 18.3</internal.reference>
                    , to the new (or remaining) trustee(s) upon a change of trustee(s) of a Family Trust,
                  </paratext>
                </para>
              </subclause2>
              <para>
                <paratext>without any price or other restriction.</paratext>
              </para>
            </subclause1>
            <subclause1 id="a831805">
              <identifier>18.3</identifier>
              <para>
                <paratext>
                  A transfer of Shares may only be made to the trustee(s) of a Family Trust if [an Investor Majority 
                  <bold>OR</bold>
                   an Investor Director] is satisfied:
                </paratext>
              </para>
              <subclause2 id="a436093">
                <identifier>(a)</identifier>
                <para>
                  <paratext>with the terms of the trust instrument and, in particular, with the powers of the trustee(s);</paratext>
                </para>
              </subclause2>
              <subclause2 id="a888808">
                <identifier>(b)</identifier>
                <para>
                  <paratext>with the identity of the proposed trustee(s);</paratext>
                </para>
              </subclause2>
              <subclause2 id="a262153">
                <identifier>(c)</identifier>
                <para>
                  <paratext>that the proposed transfer will not result in [50]% or more of the aggregate of the Company's equity share capital being held by trustees of that and any other trusts; and</paratext>
                </para>
              </subclause2>
              <subclause2 id="a145052">
                <identifier>(d)</identifier>
                <para>
                  <paratext>that no costs incurred in connection with the setting up or administration of that Family Trust are to be paid by the Company.</paratext>
                </para>
                <drafting.note id="a329298" jurisdiction="">
                  <head align="left" preservecase="true">
                    <headtext>Family trusts</headtext>
                  </head>
                  <division id="a000109" level="1">
                    <para>
                      <paratext>Additional consents are required before a transfer to a family trust as, given the opaque nature of trusts, an investor will want to ensure that the trust is established for the benefit of the original shareholder and their family (and not as a means of vesting an interest in those shares in some other person to whom an investor would object to having as a shareholder).</paratext>
                    </para>
                    <para>
                      <paratext>It may be administratively preferable to vest the consent right in an investor director, rather than an investor majority in this case (in particular where an investor majority consent would require several separate signatures).</paratext>
                    </para>
                  </division>
                </drafting.note>
              </subclause2>
            </subclause1>
            <subclause1 id="a58321">
              <identifier>18.4</identifier>
              <para>
                <paratext>If the Original Shareholder is a company, and a Permitted Transfer has been made, the Permitted Transferee shall, within [NUMBER] Business Days of ceasing to be a Member of the Same Group as the Original Shareholder, transfer the Shares held by it to:</paratext>
              </para>
              <subclause2 id="a520264">
                <identifier>(a)</identifier>
                <para>
                  <paratext>the Original Shareholder; or</paratext>
                </para>
              </subclause2>
              <subclause2 id="a849614">
                <identifier>(b)</identifier>
                <para>
                  <paratext>a Member of the Same Group as the Original Shareholder,</paratext>
                </para>
              </subclause2>
              <para>
                <paratext>
                  (which in either case is not in liquidation), without any price or other restriction. If the Permitted Transferee fails to make a transfer in accordance with this 
                  <internal.reference refid="a58321">article 18.4</internal.reference>
                  , a Transfer Notice shall be deemed to have been given in respect of such Shares on the expiry of the period set out in this 
                  <internal.reference refid="a58321">article 18.4</internal.reference>
                  .
                </paratext>
              </para>
              <drafting.note id="a861563" jurisdiction="">
                <head align="left" preservecase="true">
                  <headtext>Ceasing to be a permitted transferee</headtext>
                </head>
                <division id="a000110" level="1">
                  <para>
                    <paratext>For so long as a permitted transfer is made for bona fide purposes (usually tax planning) an investor will not usually object to shares being held by specified persons or entities related to a shareholder. However, any benefit to such shareholder is likely to be lost if the relevant permitted transferee ceases to have the relevant relationship with the shareholder. In that case, such investor will require shares held by such a permitted transferee to be transferred back to the original shareholder (or to a person who remains a permitted transferee of the original shareholder).</paratext>
                  </para>
                  <para>
                    <paratext>
                      <internal.reference refid="a58321">article 18.4</internal.reference>
                       deals with the situation where a permitted transferee is company and is, at least in part, designed to avoid an indirect sale of shares in the company through the sale of a corporate shareholder.
                    </paratext>
                  </para>
                  <para>
                    <paratext>
                      Similar provisions are made in relation to permitted transferees which are funds (
                      <internal.reference refid="a770144">article 18.5</internal.reference>
                      ) and individuals (
                      <internal.reference refid="a236635">article 18.6</internal.reference>
                      ).
                    </paratext>
                  </para>
                </division>
              </drafting.note>
            </subclause1>
            <subclause1 id="a770144">
              <identifier>18.5</identifier>
              <para>
                <paratext>If the Original Shareholder is an Investment Fund (or nominee of such person) and a Permitted Transfer has been made, the Permitted Transferee shall, within [NUMBER] of Business Days of ceasing to be a Member of the Same Fund Group as the Original Shareholder, transfer the Shares held by it to:</paratext>
              </para>
              <subclause2 id="a898374">
                <identifier>(a)</identifier>
                <para>
                  <paratext>the Original Shareholder; or</paratext>
                </para>
              </subclause2>
              <subclause2 id="a697703">
                <identifier>(b)</identifier>
                <para>
                  <paratext>a Member of the Same Fund Group as the Original Shareholder,</paratext>
                </para>
              </subclause2>
              <para>
                <paratext>
                  (which in either case is not in liquidation), without any price or other restriction. If the Permitted Transferee fails to make a transfer in accordance with this 
                  <internal.reference refid="a770144">article 18.5</internal.reference>
                  , a Transfer Notice shall be deemed to have been given in respect of such Shares on the expiry of the period set out in this 
                  <internal.reference refid="a770144">article 18.5</internal.reference>
                  .
                </paratext>
              </para>
              <drafting.note id="a456372" jurisdiction="">
                <head align="left" preservecase="true">
                  <headtext>Ceasing to be a permitted transferee</headtext>
                </head>
                <division id="a000111" level="1">
                  <para>
                    <paratext>
                      See the drafting note to 
                      <internal.reference refid="a861563">Drafting note, 18.4 Ceasing to be a permitted transferee</internal.reference>
                      .
                    </paratext>
                  </para>
                </division>
              </drafting.note>
            </subclause1>
            <subclause1 id="a236635">
              <identifier>18.6</identifier>
              <para>
                <paratext>If the Original Shareholder is an individual and a Permitted Transfer has been made to a Privileged Relation of the Original Shareholder, the Permitted Transferee (or the transmittee(s) of any such person), shall within [NUMBER] Business Days of ceasing to be a Privileged Relation of the Original Shareholder (whether by reason of death, divorce or otherwise) either:</paratext>
              </para>
              <subclause2 id="a493042">
                <identifier>(a)</identifier>
                <para>
                  <paratext>execute and deliver to the Company a transfer of the Shares held by the Privileged Relation to the Original Shareholder (or to any Permitted Transferee of the Original Shareholder) for such consideration as may be agreed between them; or</paratext>
                </para>
              </subclause2>
              <subclause2 id="a720892">
                <identifier>(b)</identifier>
                <para>
                  <paratext>
                    give a Transfer Notice to the Company in accordance with 
                    <internal.reference refid="a73365">article 19</internal.reference>
                    ,
                  </paratext>
                </para>
              </subclause2>
              <para>
                <paratext>
                  failing which a Transfer Notice shall be deemed to have been given in respect of such Shares on the expiry of the period set out in this 
                  <internal.reference refid="a236635">article 18.6</internal.reference>
                  . [This 
                  <internal.reference refid="a236635">article 18.6</internal.reference>
                   shall not apply to a transmittee of a Permitted Transferee if that transmittee is also a Permitted Transferee of the Original Shareholder, to the extent that such transmittee is legally or beneficially entitled to those Shares.]
                </paratext>
              </para>
              <drafting.note id="a1026174" jurisdiction="">
                <head align="left" preservecase="true">
                  <headtext>Ceasing to be a permitted transferee</headtext>
                </head>
                <division id="a000112" level="1">
                  <para>
                    <paratext>
                      See the drafting note to 
                      <internal.reference refid="a861563">Drafting note, 18.4 Ceasing to be a permitted transferee</internal.reference>
                      .
                    </paratext>
                  </para>
                </division>
              </drafting.note>
            </subclause1>
            <subclause1 id="a142231">
              <identifier>18.7</identifier>
              <para>
                <paratext>
                  Notwithstanding any other provision of this 
                  <internal.reference refid="a817012">article 18</internal.reference>
                  , a transfer of any Shares approved by the Directors (acting with Investor Consent) may be made without any price or other restriction and any such transfer shall be registered by the Directors.
                </paratext>
              </para>
              <drafting.note id="a262936" jurisdiction="">
                <head align="left" preservecase="true">
                  <headtext>Transfers with consent</headtext>
                </head>
                <division id="a000113" level="1">
                  <para>
                    <paratext>
                      <internal.reference refid="a142231">article 18.7</internal.reference>
                       provides a back-up mechanism to deal with those situations which cannot be anticipated at the time of adoption of the Articles. Circumstances may arise in which the directors and investor(s) consider it fair and appropriate for a shareholder to make a particular transfer of shares free of pre-emption, but would not otherwise constitute a Permitted Transfer for the purposes of 
                      <internal.reference refid="a817012">article 18</internal.reference>
                      .
                    </paratext>
                  </para>
                  <para>
                    <paratext>Management may wish to ensure that the power to give that consent lies with the directors, who must seek prior investor consent to prevent an unscrupulous investor from giving consent to a non pre-emptive transfer by itself.</paratext>
                  </para>
                </division>
              </drafting.note>
            </subclause1>
          </clause>
          <clause id="a73365">
            <identifier>19.</identifier>
            <head align="left" preservecase="true">
              <headtext>Pre-emption rights on the transfer of shares</headtext>
            </head>
            <subclause1 id="a229539">
              <identifier>19.1</identifier>
              <para>
                <paratext>
                  Except where the provisions of 
                  <internal.reference refid="a817012">article 18</internal.reference>
                  , 
                  <internal.reference refid="a1052001">article 22</internal.reference>
                   or 
                  <internal.reference refid="a457892">article 23</internal.reference>
                   apply, any transfer of Shares by a Shareholder shall be subject to the pre-emption rights in this 
                  <internal.reference refid="a73365">article 19</internal.reference>
                  .
                </paratext>
              </para>
              <drafting.note id="a259160" jurisdiction="">
                <head align="left" preservecase="true">
                  <headtext>Exclusions from pre-emption on transfer</headtext>
                </head>
                <division id="a000114" level="1">
                  <para>
                    <paratext>
                      The general rule in these Articles is that any transfer of shares must be preceded by a pre-emptive offer of those shares to the existing shareholders, in accordance with 
                      <internal.reference refid="a73365">article 19</internal.reference>
                      .
                    </paratext>
                  </para>
                  <para>
                    <paratext>
                      <internal.reference refid="a229539">article 19.1</internal.reference>
                       provides limited exceptions to that general rule, being:
                    </paratext>
                  </para>
                  <list type="bulleted">
                    <list.item>
                      <para>
                        <paratext>
                          A 
                          <bold>permitted transfer </bold>
                          of shares (see 
                          <internal.reference refid="a817012">article 18</internal.reference>
                          ), which may be made without restriction as to price or any obligation to make a pre-emptive offer.
                        </paratext>
                      </para>
                    </list.item>
                    <list.item>
                      <para>
                        <paratext>
                          A transfer of shares resulting in a 
                          <bold>change of control</bold>
                           (see 
                          <internal.reference refid="a1052001">article 22</internal.reference>
                          ).
                        </paratext>
                      </para>
                    </list.item>
                    <list.item>
                      <para>
                        <paratext>
                          A transfer of shares pursuant to the service of a 
                          <bold>drag along notice</bold>
                           (see 
                          <internal.reference refid="a457892">article 23</internal.reference>
                          ), where the intention is for a buyer to acquire 100% of the issued share capital of the investee company.
                        </paratext>
                      </para>
                    </list.item>
                  </list>
                </division>
              </drafting.note>
            </subclause1>
            <subclause1 id="a130715">
              <identifier>19.2</identifier>
              <para>
                <paratext>
                  A Shareholder who wishes to transfer Shares (a 
                  <bold>Seller</bold>
                  ) shall, before transferring or agreeing to transfer any Shares, give notice in writing (a 
                  <bold>Transfer Notice</bold>
                  ) to the Company specifying:
                </paratext>
              </para>
              <subclause2 id="a124078">
                <identifier>(a)</identifier>
                <para>
                  <paratext>
                    subject to 
                    <internal.reference refid="a165244">article 17.8(b)</internal.reference>
                    , the number of Shares they wish to transfer (
                    <bold>Sale Shares</bold>
                    );
                  </paratext>
                </para>
              </subclause2>
              <subclause2 id="a878407">
                <identifier>(b)</identifier>
                <para>
                  <paratext>the name of the proposed transferee, if any;</paratext>
                </para>
              </subclause2>
              <subclause2 id="a615419">
                <identifier>(c)</identifier>
                <para>
                  <paratext>
                    subject to 
                    <internal.reference refid="a627423">article 21.5</internal.reference>
                    , the price per Sale Share (in cash), if any, at which they wish to transfer the Sale Shares (the 
                    <bold>Proposed Sale Price</bold>
                    ); and
                  </paratext>
                </para>
              </subclause2>
              <subclause2 id="a138805">
                <identifier>(d)</identifier>
                <para>
                  <paratext>
                    subject to 
                    <internal.reference refid="a470957">article 17.8(a)</internal.reference>
                    , whether the Transfer Notice is conditional on all or a specific number of the Sale Shares being sold (a 
                    <bold>Minimum Transfer Condition</bold>
                    ).
                  </paratext>
                </para>
                <drafting.note id="a64623" jurisdiction="">
                  <head align="left" preservecase="true">
                    <headtext>Contents of a transfer notice</headtext>
                  </head>
                  <division id="a000115" level="1">
                    <para>
                      <paratext>
                        <internal.reference refid="a130715">article 19.2</internal.reference>
                         sets out the contents required of a transfer notice given in respect of a voluntary transfer of shares. Certain events (specified in these Articles) deem a transfer notice to have been given (often against the will of the transferor). In the case of a deemed transfer notice, 
                        <internal.reference refid="a653808">article 17.8</internal.reference>
                         modifies 
                        <internal.reference refid="a130715">article 19.2</internal.reference>
                         by providing that the seller is required to transfer all their shares and that such sale cannot be subject to a Minimum Transfer Condition. In certain cases, the particular event triggering the service of a deemed transfer notice will also determine the price at which those shares are to be sold.
                      </paratext>
                    </para>
                    <para>
                      <paratext>
                        Note that 
                        <internal.reference refid="a878407">article 19.2(b)</internal.reference>
                         only requires a transferor to identify the proposed third party transferee if one exists at the date of service of a transfer notice. There is no obligation to identify a buyer before serving a transfer notice although, if one has been selected, that knowledge will enable the other shareholders to determine whether they would be happy for such third party to become a fellow shareholder.
                      </paratext>
                    </para>
                    <para>
                      <paratext>
                        If any shares remain after following the pre-emptive procedure of this 
                        <internal.reference refid="a73365">article 19</internal.reference>
                        , the seller may sell those shares to any third party (subject to 
                        <internal.reference refid="a451154">article 19.18</internal.reference>
                        , to the extent included) and so stating a proposed transferee in a transfer notice will not restrict the seller later on.
                      </paratext>
                    </para>
                  </division>
                </drafting.note>
              </subclause2>
            </subclause1>
            <subclause1 id="a568649">
              <identifier>19.3</identifier>
              <para>
                <paratext>
                  [Once given, a Transfer Notice may only be withdrawn with Investor Consent 
                  <bold>OR</bold>
                   Except in the case of a Deemed Transfer Notice (which may not be withdrawn), where the Transfer Price of the Sale Shares comprised within a Transfer Notice is to be the Fair Value and such Fair Value less than the Proposed Sale Price the Seller may, within [NUMBER] Business Days of receipt of notification of the Fair Value, withdraw the Transfer Notice. Otherwise, a Transfer Notice may only be withdrawn with Investor Consent.]
                </paratext>
              </para>
              <drafting.note id="a812315" jurisdiction="">
                <head align="left" preservecase="true">
                  <headtext>Withdrawal of transfer notice</headtext>
                </head>
                <division id="a000116" level="1">
                  <para>
                    <paratext>Whether it will be possible for a shareholder to withdraw a transfer notice will be a matter for negotiation and, in particular whether it should be the investors who ultimately decide whether or not to give consent.</paratext>
                  </para>
                  <para>
                    <paratext>A common position is that, in relation to a voluntary transfer notice only, withdrawal may be permitted if the price per share determined by the independent expert is less than the price at which the transferor wishes to sell. As a deemed transfer notice is automatically served on the occurrence of certain events, the transferor of those shares may not withdraw the deemed transfer notice.</paratext>
                  </para>
                </division>
              </drafting.note>
            </subclause1>
            <subclause1 id="a810274">
              <identifier>19.4</identifier>
              <para>
                <paratext>A Transfer Notice (or Deemed Transfer Notice) constitutes the Company the agent of the Seller for the sale of the Sale Shares at the Transfer Price.</paratext>
              </para>
            </subclause1>
            <subclause1 id="a85398">
              <identifier>19.5</identifier>
              <para>
                <paratext>As soon as practicable following the later of:</paratext>
              </para>
              <subclause2 id="a728869">
                <identifier>(a)</identifier>
                <para>
                  <paratext>receipt of a Transfer Notice (or in the case of a Deemed Transfer Notice, the date such notice is deemed to be served); and</paratext>
                </para>
              </subclause2>
              <subclause2 id="a64036">
                <identifier>(b)</identifier>
                <para>
                  <paratext>the determination of the Transfer Price,</paratext>
                </para>
              </subclause2>
              <para>
                <paratext>
                  the Directors shall (unless the Transfer Notice is withdrawn in accordance with 
                  <internal.reference refid="a568649">article 19.3</internal.reference>
                  ) offer the Sale Shares for sale in the manner set out in the remaining provisions of this 
                  <internal.reference refid="a73365">article 19</internal.reference>
                   at the Transfer Price. Each offer shall be in writing and shall give details of the number and Transfer Price of the Sale Shares offered.
                </paratext>
              </para>
            </subclause1>
            <subclause1 id="a792956">
              <identifier>19.6</identifier>
              <para>
                <paratext>
                  If the Sale Shares are Preferred Shares, the Company shall, subject to 
                  <internal.reference refid="a599340">article 21</internal.reference>
                  , offer them in the following order of priority:
                </paratext>
              </para>
              <subclause2 id="a871771">
                <identifier>(a)</identifier>
                <para>
                  <paratext>first, to the holders of Preferred Shares; and</paratext>
                </para>
              </subclause2>
              <subclause2 id="a369749">
                <identifier>(b)</identifier>
                <para>
                  <paratext>second, to the holders of Ordinary Shares,</paratext>
                </para>
              </subclause2>
              <para>
                <paratext>
                  in each case on the basis set out in 
                  <internal.reference refid="a707506">article 19.9</internal.reference>
                   to 
                  <internal.reference refid="a355022">article 19.17</internal.reference>
                   (inclusive).
                </paratext>
              </para>
              <drafting.note id="a72713" jurisdiction="">
                <head align="left" preservecase="true">
                  <headtext>Sale of Preferred Shares</headtext>
                </head>
                <division id="a000117" level="1">
                  <para>
                    <paratext>Where the shares to be sold under a transfer notice are Preferred Shares, an investor will want to ensure that such shares are retained within the group of investors. To allow the holders of Ordinary Shares to hold Preferred Shares would not only dilute the investors' aggregate percentage holding of shares, but also dilute the special rights to which the investors are exclusively entitled.</paratext>
                  </para>
                </division>
              </drafting.note>
            </subclause1>
            <subclause1 id="a141396">
              <identifier>19.7</identifier>
              <para>
                <paratext>
                  If the Sale Shares are Ordinary Shares [being sold pursuant to a Deemed Transfer Notice under 
                  <internal.reference refid="a599340">article 21</internal.reference>
                  ], the Company shall offer them in the following order of priority:
                </paratext>
              </para>
              <subclause2 id="a92034">
                <identifier>(a)</identifier>
                <para>
                  <paratext>
                    first, to any Employee Trust that the Directors (acting with Investor Consent) may nominate for the purpose 
                    <bold>OR</bold>
                     to a person or persons agreed between the Directors and [an Investor Majority 
                    <bold>OR</bold>
                     an Investor Director] to take the Departing Employee's place, conditionally on that person commencing their employment and/or office with the Company (or other Group Company) 
                    <bold>OR</bold>
                     subject to the Act, the Company;
                  </paratext>
                </para>
              </subclause2>
              <subclause2 id="a974539">
                <identifier>(b)</identifier>
                <para>
                  <paratext>second, to the holders of Ordinary Shares; and</paratext>
                </para>
              </subclause2>
              <subclause2 id="a327024">
                <identifier>(c)</identifier>
                <para>
                  <paratext>third, to the holders of Preferred Shares,</paratext>
                </para>
              </subclause2>
              <para>
                <paratext>
                  in each case on the basis set out in 
                  <internal.reference refid="a707506">article 19.9</internal.reference>
                   to 
                  <internal.reference refid="a355022">article 19.17</internal.reference>
                   (inclusive).
                </paratext>
              </para>
              <drafting.note id="a793117" jurisdiction="">
                <head align="left" preservecase="true">
                  <headtext>Sale of Ordinary Shares</headtext>
                </head>
                <division id="a000118" level="1">
                  <para>
                    <paratext>
                      As the corollary to the investors' desire to keep Preferred Shares within the hands of the investors (see 
                      <link href="7-203-4981" style="ACTLinkPLCtoPLC">
                        <ital>Drafting note, Sale of Preferred Shares</ital>
                      </link>
                      ), management will want to preserve their aggregate percentage holding of shares by requiring Ordinary Shares to be offered to them, ahead of any investor. At the same time, the particular sale may be connected with the resignation or retirement of the transferor and, in that case, it may be appropriate for those shares to be offered to their replacement.
                    </paratext>
                  </para>
                  <para>
                    <paratext>
                      If such a replacement has not been identified at the time the shares are to be sold, such shares may be warehoused in an employee trust, to be issued to the replacement on their appointment. 
                      <internal.reference refid="a92034">article 19.7(a)</internal.reference>
                       provides for these alternatives and requires that such an offer be made before any offer to the existing shareholders.
                    </paratext>
                  </para>
                  <para>
                    <paratext>
                      A third option is that all existing shareholders would prefer to cancel the sale shares, with the result of proportionately increasing each shareholder's percentage of the total share capital. As such, 
                      <internal.reference refid="a92034">article 19.7(a)</internal.reference>
                       provides for the inclusion of this third option, which will be subject to there being sufficient profits available for distribution at the time of the proposed buy-back.
                    </paratext>
                  </para>
                  <para>
                    <paratext>
                      After negotiation, the parties may conclude that they wish to include more than one of the options described above, in which case each of the alternatives in 
                      <internal.reference refid="a92034">article 19.7(a)</internal.reference>
                       may be included, in the priority agreed between the parties at the time of drafting the Articles.
                    </paratext>
                  </para>
                </division>
              </drafting.note>
            </subclause1>
            <subclause1 id="a269572">
              <identifier>19.8</identifier>
              <para>
                <paratext>
                  An offer of Sale Shares made in accordance with 
                  <internal.reference refid="a92034">article 19.7(a)</internal.reference>
                   shall remain open for acceptance for a period from the date of the offer to the date [NUMBER] Business Days after the offer (both dates inclusive). Any Sale Shares not allocated within that period shall be dealt with in accordance with 
                  <internal.reference refid="a707506">article 19.9</internal.reference>
                   and 
                  <internal.reference refid="a128124">article 19.10</internal.reference>
                  .
                </paratext>
              </para>
            </subclause1>
            <subclause1 id="a707506">
              <identifier>19.9</identifier>
              <para>
                <paratext>
                  Subject to 
                  <internal.reference refid="a269572">article 19.8</internal.reference>
                  , the Directors shall offer the Sale Shares in the order of priority referred to in 
                  <internal.reference refid="a792956">article 19.6</internal.reference>
                   or 
                  <internal.reference refid="a141396">article 19.7</internal.reference>
                   (as appropriate) to the First Offer Shareholders (other than the Seller), inviting them to apply in writing within the period from the date of the offer to the date [NUMBER] Business Days after the offer (both dates inclusive) (the 
                  <defn.term>First Offer Period</defn.term>
                  ) for the maximum number of Sale Shares they wish to buy.
                </paratext>
              </para>
            </subclause1>
            <subclause1 id="a128124">
              <identifier>19.10</identifier>
              <para>
                <paratext>If:</paratext>
              </para>
              <subclause2 id="a600693">
                <identifier>(a)</identifier>
                <para>
                  <paratext>at the end of the First Offer Period, the number of Sale Shares applied for is equal to or exceeds the number of Sale Shares, the Directors shall allocate the Sale Shares to each First Offer Shareholder who has applied for Sale Shares in the proportion which their existing holding of Shares bears to the total number of Shares of the class being offered held by all First Offer Shareholders (other than the Seller). Fractional entitlements shall be rounded down to the nearest whole number (save where such rounding would result in not all Sale Shares being allocated, in which case, the allocation of any such fractional entitlements shall be determined by the Directors (acting with Investor Consent)). No allocation shall be made to a Shareholder of more than the maximum number of Sale Shares which that Shareholder has stated they are willing to buy;</paratext>
                </para>
                <drafting.note id="a318092" jurisdiction="">
                  <head align="left" preservecase="true">
                    <headtext>Fractional entitlements</headtext>
                  </head>
                  <division id="a000119" level="1">
                    <para>
                      <paratext>
                        To ensure that allocations of shares under 
                        <internal.reference refid="a73365">article 19</internal.reference>
                         are only of whole shares, 
                        <internal.reference refid="a600693">article 19.10(a)</internal.reference>
                         (and 
                        <internal.reference refid="a209529">article 19.12(a)</internal.reference>
                        ) requires fractional entitlements to be rounded down to the nearest whole number. However, doing so may result in a rump of shares being unallocated to buyers. This may be undesirable where the seller wishes to sell all their shares (and will be undesirable in the case of a deemed transfer notice). As a result, where such rounding down would result in a remainder of unallocated shares, the directors will (subject to approval by an investor majority to ensure fairness) determine how those are to be allocated.
                      </paratext>
                    </para>
                  </division>
                </drafting.note>
              </subclause2>
              <subclause2 id="a714142">
                <identifier>(b)</identifier>
                <para>
                  <paratext>
                    not all Sale Shares are allocated following allocations in accordance with 
                    <internal.reference refid="a600693">article 19.10(a)</internal.reference>
                    , but there are applications for Sale Shares that have not been satisfied, the Directors shall allocate the remaining Sale Shares to such applicants in accordance with the procedure set out in 
                    <internal.reference refid="a600693">article 19.10(a)</internal.reference>
                    . The procedure set out in this 
                    <internal.reference refid="a714142">article 19.10(b)</internal.reference>
                     shall apply on any number of consecutive occasions until either all Sale Shares have been allocated or all applications for Sale Shares have been satisfied; and
                  </paratext>
                </para>
              </subclause2>
              <subclause2 id="a639373">
                <identifier>(c)</identifier>
                <para>
                  <paratext>
                    at the end of the First Offer Period, the total number of Sale Shares applied for is less than the number of Sale Shares, the Directors shall allocate the Sale Shares to the First Offer Shareholders in accordance with their applications. The balance (the 
                    <defn.term>Initial Surplus Shares</defn.term>
                    ) shall be dealt with in accordance with 
                    <internal.reference refid="a863681">article 19.11</internal.reference>
                    .
                  </paratext>
                </para>
              </subclause2>
            </subclause1>
            <subclause1 id="a863681">
              <identifier>19.11</identifier>
              <para>
                <paratext>
                  At the end of the First Offer Period, the Directors shall offer the Initial Surplus Shares (if any) to the Second Offer Shareholders (other than the Seller), inviting them to apply in writing within the period from the date of the offer to the date [NUMBER] Business Days after the offer (both dates inclusive) (the 
                  <defn.term>Second Offer Period</defn.term>
                  ) for the maximum number of Initial Surplus Shares they wish to buy.
                </paratext>
              </para>
            </subclause1>
            <subclause1 id="a925177">
              <identifier>19.12</identifier>
              <para>
                <paratext>If:</paratext>
              </para>
              <subclause2 id="a209529">
                <identifier>(a)</identifier>
                <para>
                  <paratext>at the end of the Second Offer Period, the number of Initial Surplus Shares applied for is equal to or exceeds the number of Initial Surplus Shares, the Directors shall allocate the Initial Surplus Shares to each Second Offer Shareholder who has applied for Initial Surplus Shares in the proportion which their existing holding of Shares of the class held by Second Offer Shareholders bears to the total number of Shares of the class held by all Second Offer Shareholders (other than the Seller). Fractional entitlements shall be rounded down to the nearest whole number (save where such rounding would result in not all Initial Surplus Shares being allocated, in which case, the allocation of any such fractional entitlements shall be determined by the Directors (acting with Investor Consent)). No allocation shall be made to a Shareholder of more than the maximum number of Initial Surplus Shares which that Shareholder has stated they are willing to buy;</paratext>
                </para>
                <drafting.note id="a703385" jurisdiction="">
                  <head align="left" preservecase="true">
                    <headtext>Fractional entitlements</headtext>
                  </head>
                  <division id="a000120" level="1">
                    <para>
                      <paratext>
                        See the drafting notice to 
                        <internal.reference refid="a128124">article 19.10</internal.reference>
                        .
                      </paratext>
                    </para>
                  </division>
                </drafting.note>
              </subclause2>
              <subclause2 id="a622055">
                <identifier>(b)</identifier>
                <para>
                  <paratext>
                    not all Initial Surplus Shares are allocated following allocations in accordance with 
                    <internal.reference refid="a209529">article 19.12(a)</internal.reference>
                    , but there are applications for Initial Surplus Shares that have not been satisfied, the Directors shall allocate the remaining Initial Surplus Shares to such applicants in accordance with the procedure set out in 
                    <internal.reference refid="a209529">article 19.12(a)</internal.reference>
                    . The procedure set out in this 
                    <internal.reference refid="a622055">article 19.12(b)</internal.reference>
                     shall apply on any number of consecutive occasions until either all Initial Surplus Shares have been allocated or all applications for Initial Surplus Shares have been satisfied; and
                  </paratext>
                </para>
              </subclause2>
              <subclause2 id="a650054">
                <identifier>(c)</identifier>
                <para>
                  <paratext>
                    at the end of the Second Offer Period, the total number of Initial Surplus Shares applied for is less than the number of Initial Surplus Shares, the Directors shall allocate the Initial Surplus Shares to the Second Offer Shareholders in accordance with their applications. The balance (the 
                    <bold>Second Surplus Shares</bold>
                    ) shall, subject to 
                    <internal.reference refid="a831637">article 19.13</internal.reference>
                    , be offered to any other person in accordance with 
                    <internal.reference refid="a355022">article 19.17</internal.reference>
                    .
                  </paratext>
                </para>
              </subclause2>
            </subclause1>
            <subclause1 id="a831637">
              <identifier>19.13</identifier>
              <para>
                <paratext>Where the Transfer Notice contains a Minimum Transfer Condition:</paratext>
              </para>
              <subclause2 id="a1021309">
                <identifier>(a)</identifier>
                <para>
                  <paratext>
                    any allocation made under 
                    <internal.reference refid="a269572">article 19.8</internal.reference>
                     to 
                    <internal.reference refid="a925177">article 19.12</internal.reference>
                     (inclusive) shall be conditional on the fulfilment of the Minimum Transfer Condition; and
                  </paratext>
                </para>
              </subclause2>
              <subclause2 id="a921132">
                <identifier>(b)</identifier>
                <para>
                  <paratext>
                    if the total number of Sale Shares applied for under 
                    <internal.reference refid="a269572">article 19.8</internal.reference>
                     to 
                    <internal.reference refid="a925177">article 19.12</internal.reference>
                     (inclusive) is less than the number of Sale Shares, the Board shall notify the Seller and all those Shareholders to whom Sale Shares have been conditionally allocated stating that the condition has not been met and that the relevant Transfer Notice has lapsed with immediate effect.
                  </paratext>
                </para>
                <drafting.note id="a463661" jurisdiction="">
                  <head align="left" preservecase="true">
                    <headtext>Lapse of transfer notice</headtext>
                  </head>
                  <division id="a000121" level="1">
                    <para>
                      <paratext>
                        In the case of a deemed transfer notice, neither the company nor an investor will want to run the risk that not all sale shares are accepted under the pre-emption procedure set out in 
                        <internal.reference refid="a269572">article 19.8</internal.reference>
                         to 
                        <internal.reference refid="a925177">article 19.12</internal.reference>
                        . The intention is that the particular seller should exit the company completely and not retain any equity interest. As such, the provisions of 
                        <internal.reference refid="a831637">article 19.13</internal.reference>
                         will not apply to a transfer of shares the subject of a deemed transfer notice (see 
                        <internal.reference refid="a470957">article 17.8(a)</internal.reference>
                        ).
                      </paratext>
                    </para>
                  </division>
                </drafting.note>
              </subclause2>
            </subclause1>
            <subclause1 id="a487243">
              <identifier>19.14</identifier>
              <para>
                <paratext>Where either:</paratext>
              </para>
              <subclause2 id="a788911">
                <identifier>(a)</identifier>
                <para>
                  <paratext>the Transfer Notice does not contain a Minimum Transfer Condition; or</paratext>
                </para>
              </subclause2>
              <subclause2 id="a149486">
                <identifier>(b)</identifier>
                <para>
                  <paratext>allocations have been made in respect of all the Sale Shares,</paratext>
                </para>
              </subclause2>
              <para>
                <paratext>
                  the Directors shall, when no further offers or allocations are required to be made under 
                  <internal.reference refid="a269572">article 19.8</internal.reference>
                   to 
                  <internal.reference refid="a925177">article 19.12</internal.reference>
                   (inclusive), give notice in writing of the allocations of Sale Shares (an 
                  <defn.term>Allocation Notice</defn.term>
                  ) to the Seller and each Shareholder to whom Sale Shares have been allocated (each an 
                  <defn.term>Applicant</defn.term>
                  ). The Allocation Notice shall specify the number of Sale Shares allocated to each Applicant and the place and time for completion of the transfer of the Sale Shares (which shall be at least [NUMBER] Business Days, but not more than [NUMBER] Business Days, after the date of the Allocation Notice).
                </paratext>
              </para>
            </subclause1>
            <subclause1 id="a536605">
              <identifier>19.15</identifier>
              <para>
                <paratext>On the date specified for completion in the Allocation Notice, the Seller shall, against payment from an Applicant, transfer the Sale Shares allocated to such Applicant, in accordance with any requirements specified in the Allocation Notice.</paratext>
              </para>
            </subclause1>
            <subclause1 id="a906406">
              <identifier>19.16</identifier>
              <para>
                <paratext>
                  If the Seller fails to comply with 
                  <internal.reference refid="a536605">article 19.15</internal.reference>
                  :
                </paratext>
              </para>
              <subclause2 id="a797002">
                <identifier>(a)</identifier>
                <para>
                  <paratext>the Chair (or, failing the Chair, any other Director or some other person nominated by a resolution of the Directors) may, as agent [and attorney] on behalf of the Seller:</paratext>
                </para>
                <subclause3 id="a594057">
                  <identifier>(i)</identifier>
                  <para>
                    <paratext>complete, execute and deliver in their name all documents necessary to give effect to the transfer of the relevant Sale Shares to the Applicants;</paratext>
                  </para>
                </subclause3>
                <subclause3 id="a202893">
                  <identifier>(ii)</identifier>
                  <para>
                    <paratext>receive the Transfer Price and give a good discharge for it (and no Applicant shall be obliged to see to the distribution of the Transfer Price); and</paratext>
                  </para>
                </subclause3>
                <subclause3 id="a376385">
                  <identifier>(iii)</identifier>
                  <para>
                    <paratext>(subject to the transfer being duly stamped) enter the Applicants in the register of Shareholders as the holders of the Shares purchased by them; and</paratext>
                  </para>
                  <drafting.note id="a580712" jurisdiction="">
                    <head align="left" preservecase="true">
                      <headtext>Chair as attorney</headtext>
                    </head>
                    <division id="a000122" level="1">
                      <para>
                        <paratext>
                          For a consideration of the effect (or otherwise) of granting a power of attorney under a set of articles, see 
                          <internal.reference refid="a786532">Drafting note, Shareholder rights on Exit</internal.reference>
                          .
                        </paratext>
                      </para>
                    </division>
                  </drafting.note>
                </subclause3>
              </subclause2>
              <subclause2 id="a387066">
                <identifier>(b)</identifier>
                <para>
                  <paratext>the Company shall pay the Transfer Price into a separate bank account in the Company's name on trust (but without interest) for the Seller until the Seller has delivered the certificate(s) for the relevant Shares (or an indemnity, in a form reasonably satisfactory to the Directors, in respect of any lost certificate, together with such other evidence (if any) as the Board may reasonably require to prove good title to those Shares) to the Company.</paratext>
                </para>
              </subclause2>
            </subclause1>
            <subclause1 id="a355022">
              <identifier>19.17</identifier>
              <para>
                <paratext>
                  Where a Transfer Notice lapses pursuant to 
                  <internal.reference refid="a921132">article 19.13(b)</internal.reference>
                   or an Allocation Notice does not relate to all the Sale Shares, then [, subject to 
                  <internal.reference refid="a451154">article 19.18</internal.reference>
                  ,] the Seller may, at any time during the [NUMBER] Business Days following the date of lapse of the Transfer Notice, or the date of service of the Allocation Notice as the case may be, transfer the Sale Shares (in the case of a lapsed offer) or the Second Surplus Shares (as the case may be) to any person at a price at least equal to the Transfer Price. The sale of the Sale Shares (following the lapse of a Transfer Notice) in accordance with this 
                  <internal.reference refid="a355022">article 19.17</internal.reference>
                   shall continue to be subject to any Minimum Transfer Condition.
                </paratext>
              </para>
            </subclause1>
            <subclause1 condition="optional" id="a451154">
              <identifier>19.18</identifier>
              <para>
                <paratext>
                  The Seller's right to transfer Shares under 
                  <internal.reference refid="a355022">article 19.17</internal.reference>
                   does not apply if the Directors reasonably consider that:
                </paratext>
              </para>
              <subclause2 id="a162759">
                <identifier>(a)</identifier>
                <para>
                  <paratext>
                    the transferee is a person (or a nominee for a person) whom [an Investor Majority 
                    <bold>OR</bold>
                     an Investor Director] determines to be a competitor (or a Member of the Same Group as a competitor) of the business of any Group Company;
                  </paratext>
                </para>
              </subclause2>
              <subclause2 id="a1027946">
                <identifier>(b)</identifier>
                <para>
                  <paratext>the sale of the Sale Shares is not bona fide or the price is subject to a deduction, rebate or allowance to the transferee; or</paratext>
                </para>
              </subclause2>
              <subclause2 id="a166804">
                <identifier>(c)</identifier>
                <para>
                  <paratext>
                    the Seller has failed or refused to promptly provide information available to them and reasonably requested to enable it to form the opinion referred to in 
                    <internal.reference refid="a1027946">article 19.18(b)</internal.reference>
                    .
                  </paratext>
                </para>
                <drafting.note id="a160539" jurisdiction="">
                  <head align="left" preservecase="true">
                    <headtext>Limits on right to transfer to third parties</headtext>
                  </head>
                  <division id="a000123" level="1">
                    <para>
                      <paratext>
                        <internal.reference refid="a451154">article 19.18</internal.reference>
                         sets out additional restrictions on the right of a seller to transfer shares to a third party. Despite having had the chance to buy those shares during the pre-emptive process, there may be valid reasons why not all of those shares were acquired. In that case, an investor and the company may wish to specify the cases in which a seller cannot freely transfer those shares. In particular, the company will not want shares to be held by a competitor, given the rights that such competitor will acquire as a shareholder of the company.
                      </paratext>
                    </para>
                    <para>
                      <paratext>
                        The extent to which 
                        <internal.reference refid="a451154">article 19.18</internal.reference>
                         is included within the Articles will be for discussion between the directors and proposed shareholders of the company, although 
                        <internal.reference refid="a1027946">article 19.18(b)</internal.reference>
                         and 
                        <internal.reference refid="a166804">article 19.18(c)</internal.reference>
                         will commonly be included, as they relate to procedural breaches by the particular seller.
                      </paratext>
                    </para>
                  </division>
                </drafting.note>
              </subclause2>
            </subclause1>
          </clause>
          <clause id="a1026593">
            <identifier>20.</identifier>
            <head align="left" preservecase="true">
              <headtext>Valuation</headtext>
            </head>
            <subclause1 id="a635429">
              <identifier>20.1</identifier>
              <para>
                <paratext>The Transfer Price for each Sale Share the subject of a Transfer Notice (or Deemed Transfer Notice) shall, save where expressly provided otherwise in these Articles, be the price per Sale Share (in cash) agreed between the Directors (any Director with whom the Seller is connected not voting), acting with Investor Consent, and the Seller or, in default of agreement within [NUMBER] Business Days of the date of service of the Transfer Notice (or, in the case of a Deemed Transfer Notice, the date on which the board of Directors first has actual knowledge of the facts giving rise to such deemed service), the Fair Value of each Sale Share.</paratext>
              </para>
              <drafting.note id="a433704" jurisdiction="">
                <head align="left" preservecase="true">
                  <headtext>Valuation of shares</headtext>
                </head>
                <division id="a000124" level="1">
                  <para>
                    <paratext>
                      On a voluntary transfer of shares, the proposed seller has the right to specify the price at which they would like to sell those shares (see 
                      <internal.reference refid="a615419">article 19.2(c)</internal.reference>
                      ). However, under 
                      <internal.reference refid="a635429">article 20.1</internal.reference>
                       the directors (with investor consent) must agree that that is reasonable before the shares are offered at that price. If the directors do not agree the proposed sale price, there will follow a period of negotiation with the seller, in the hope of reaching a mutually agreed amount for the sale price.
                    </paratext>
                  </para>
                  <para>
                    <paratext>
                      <internal.reference refid="a635429">Article 20.1</internal.reference>
                       also provides that such negotiation should not continue without limit in time. In default of agreement within a period to be specified in 
                      <internal.reference refid="a635429">article 20.1</internal.reference>
                       (commonly between five and 20 Business Days), the price will the fair value of such shares. As the directors and the seller will likely have different opinions of what constitutes fair value, the decision as to that fair value will be deferred to an independent expert.
                    </paratext>
                  </para>
                </division>
              </drafting.note>
            </subclause1>
            <subclause1 id="a635387">
              <identifier>20.2</identifier>
              <para>
                <paratext>If the auditors for the time being of the Company decline an instruction to make a certification or a determination in accordance with these Articles, the Company and the Seller (or the Investor Majority as the case may be) shall use all reasonable endeavours to reach agreement regarding the identity of the person to be appointed as the Independent Expert and to agree terms of appointment with the Independent Expert. [Neither party shall unreasonably withhold its agreement to the terms of appointment proposed by the Independent Expert or the other party.]</paratext>
              </para>
              <drafting.note id="a457499" jurisdiction="">
                <head align="left" preservecase="true">
                  <headtext>Appointment of Independent Expert</headtext>
                </head>
                <division id="a000125" level="1">
                  <para>
                    <paratext>
                      Typically, once an expert's appointment has been confirmed in principle, agreed terms of reference will be drawn up between the parties and the expert. These will usually provide more detail about issues such as the procedure to be adopted and how the costs of the expert determination process will be apportioned (see 
                      <link anchor="a743947" href="8-107-4185" style="ACTLinkPLCtoPLC">
                        <ital>Practice note, Expert determination: Terms of reference</ital>
                      </link>
                      ).
                    </paratext>
                  </para>
                  <para>
                    <paratext>
                      Following the Court of Appeal decision in 
                      <link href="https://uk.practicallaw.thomsonreuters.com/Document/IF3B5E7F0C66E11DDAEA8E568DA3AD7D3/View/FullText.html?comp=pluk&amp;amp;transitionType=Default&amp;amp;contextData=(sc.Default)" style="ACTLinkURL">
                        <ital>Cream Holdings Ltd and Others v Stuart Davenport [2008] EWCA Civ 1363</ital>
                      </link>
                       (Cream Holdings) and the subsequent High Court judgment in 
                      <link href="https://uk.practicallaw.thomsonreuters.com/Document/IC1EF9680EBB011DFABCFA6C4D4EC48DA/View/FullText.html?comp=pluk&amp;amp;transitionType=Default&amp;amp;contextData=(sc.Default)" style="ACTLinkURL">
                        <ital>Cream Holdings Ltd and others v Davenport [2010] EWHC 3096 (Ch)</ital>
                      </link>
                       (Cream Holdings No. 2), it is unlikely that the appointment of an expert will be considered complete unless and until the parties and the expert have reached agreement on the expert's terms of engagement. This is, in part, because an expert is unlikely to be willing to accept an appointment unless and until their terms of appointment have been agreed (addressing, among other things, payment terms and exclusions and limitations of liability). With this in mind, this clause includes the option of expressly providing for the parties to agree both the identity of the expert and the terms of their appointment.
                    </paratext>
                  </para>
                </division>
              </drafting.note>
            </subclause1>
            <subclause1 id="a136035">
              <identifier>20.3</identifier>
              <para>
                <paratext>If the parties fail to agree on an Independent Expert and the terms of their appointment within [NUMBER] Business Days of either party serving details of a proposed Independent Expert on the other then either party shall be entitled to request [NAME OF APPOINTING BODY] to appoint the Independent Expert [and to agree their terms of appointment on behalf of the parties].</paratext>
              </para>
              <drafting.note id="a932496" jurisdiction="">
                <head align="left" preservecase="true">
                  <headtext>Selection of an Independent Expert by an appointing authority</headtext>
                </head>
                <division id="a000126" level="1">
                  <para>
                    <paratext>The clause should cater for what will happen if the parties fail to reach agreement on the appointment of the Independent Expert. This paragraph provides that in such circumstances, a specified body will identify and appoint a suitable candidate as Independent Expert on the application of either party.</paratext>
                  </para>
                  <para>
                    <paratext>
                      While it is commonplace to refer to the appointing authority "appointing" the Independent Expert, in practice, it is likely to be an unusual case where the appointing body actually appoints the Independent Expert as opposed to simply nominating the Independent Expert who is subsequently appointed by the parties (see further 
                      <internal.reference refid="a457499">Drafting note, Appointment of Independent Expert</internal.reference>
                      ).
                    </paratext>
                  </para>
                  <para>
                    <paratext>In the absence of a contractual mechanism for selecting the Independent Expert where the parties are unable to agree on this, the court has no power (unlike in relation to the appointment of arbitrators) to intervene to make the appointment, and there is a significant risk that the determination process will break down as a result. It is therefore important to name the appointing authority accurately in this provision, and to ensure (so far as possible) that it will be in a position to act as the appointing authority if called upon to do so in due course. This may be best achieved by telephoning or otherwise communicating with the appointing authority at the time of drafting the expert determination clause, especially if the appointing authority is not one of the entities usually chosen or if there is anything else in addition to identifying a candidate which the parties would like it to do.</paratext>
                  </para>
                  <para>
                    <paratext>
                      <bold>Choosing an appointing body</bold>
                    </paratext>
                  </para>
                  <para>
                    <paratext>
                      As the Independent Expert must be a chartered accountant, the parties may wish to provide that the appointing body will be the President for the time being of the Institute of Chartered Accountants in England and Wales (ICAEW), acting under the President's Nomination Scheme, whereby an Expert will be nominated from the firms included on the ICAEW firm directory (see 
                      <link href="https://www.icaew.com/-/media/corporate/files/about-icaew/where-we-are/find-a-chartered-accountant/president-s-appointment-scheme-guidance-notes.ashx?la=en" style="ACTLinkURL">
                        <ital>ICAEW: President's Nomination Scheme Guidance Notes</ital>
                      </link>
                      ). However, it is important to note that the terms of the President's Nomination Scheme now stipulate that applications under the scheme must be made jointly by the parties in dispute, and that the ICAEW will only accept single applications where one party has obtained a court order which ensures that all associated parties fully engage with the process (see 
                      <link href="https://www.icaew.com/about-icaew/find-a-chartered-accountant/appoint-an-expert-mediator-or-arbitrator-to-assist-in-a-dispute?fromSearch=1" style="ACTLinkURL">
                        <ital>ICAEW: Appoint an independent expert, valuer or arbitrator</ital>
                      </link>
                      ).
                    </paratext>
                  </para>
                  <para>
                    <paratext>If the parties wish the President of the ICAEW to act as the appointing authority, this provision should therefore be amended to reflect the need for them to act jointly in making an application under the President's Nomination Scheme. For instance, this paragraph could be amended to provide that if the parties fail to agree on the identity of the Independent Expert, they will co-operate in making (at the request of either party) a joint application to the ICAEW to select an Independent Expert under the President's Nomination Scheme. For example:</paratext>
                  </para>
                  <para>
                    <paratext>"20.3 If the parties fail to agree on an Independent Expert and the terms of their appointment within [10] Business Days of either party serving details of a proposed Independent Expert on the other, then at the request of either of them, the parties shall make a joint application requesting the President of the Institute of Chartered Accountants in England and Wales (ICAEW) to nominate the Independent Expert under the President's Nomination Scheme. The Company and the Seller (or the Investor Majority as the case may be) shall:</paratext>
                  </para>
                  <para>
                    <paratext>(a) co-operate fully and promptly in all actions necessary to make a joint application for the nomination of an Independent Expert in accordance with this clause including [(but not limited to)] completing and signing all forms, indemnities and any other documentation required to complete the application to the ICAEW;</paratext>
                  </para>
                  <para>
                    <paratext>(b) use their reasonable endeavours and co-operate to agree, as soon as reasonably practicable, the terms of appointment with the person nominated to act as Independent Expert in accordance with this clause; and</paratext>
                  </para>
                  <para>
                    <paratext>(c) bear equally between them the administration fee or other charges or expenses payable to the ICAEW in connection with the application to nominate an Independent Expert."</paratext>
                  </para>
                  <para>
                    <paratext>In addition, as this approach carries the risk that one party may simply refuse to co-operate in making the application, thus causing the determination process to break down, the parties may also want to consider providing that in such circumstances, the other party will be able to request another appointing body that accepts applications from a single party to nominate the Independent Expert.</paratext>
                  </para>
                  <para>
                    <paratext>
                      For further information on different organisations or associations that will act as appointing authorities, see 
                      <link anchor="a62855" href="8-107-4185" style="ACTLinkPLCtoPLC">
                        <ital>Practice note, Expert determination: Appointing authorities</ital>
                      </link>
                      .
                    </paratext>
                  </para>
                  <para>
                    <paratext>
                      <bold>Appointing the Independent Expert</bold>
                    </paratext>
                  </para>
                  <para>
                    <paratext>
                      In light of the decisions in 
                      <link href="https://uk.practicallaw.thomsonreuters.com/Document/IF3B5E7F0C66E11DDAEA8E568DA3AD7D3/View/FullText.html?transitionType=Default&amp;amp;contextData=(sc.Default)&amp;amp;comp=pluk" style="ACTLinkURL">
                        <ital>Cream Holdings</ital>
                      </link>
                      , and 
                      <link href="https://uk.practicallaw.thomsonreuters.com/Document/IC1EF9680EBB011DFABCFA6C4D4EC48DA/View/FullText.html?transitionType=Default&amp;amp;contextData=(sc.Default)&amp;amp;comp=pluk" style="ACTLinkURL">
                        <ital>Cream Holdings No.2</ital>
                      </link>
                      , this paragraph includes the option for providing that the appointing authority will also be responsible for negotiating and agreeing the Independent Expert's terms of appointment if the parties fail to do so. However, when considering this approach, bear in mind that not all appointing authorities will be willing to negotiate and/or agree the Independent Expert's terms on behalf of the parties. For instance, guidance issued by the ICAEW in relation to its appointments scheme suggests it will expect the expert and the parties to agree their own terms and conditions (see 
                      <link href="https://www.icaew.com/about-icaew/find-a-chartered-accountant/appoint-an-expert-mediator-or-arbitrator-to-assist-in-a-dispute?fromSearch=1" style="ACTLinkURL">
                        <ital>ICAEW: Appoint an independent expert, valuer or arbitrator</ital>
                      </link>
                      ). However, some appointing bodies, such as the Academy of Experts, have a default position that they will negotiate the expert's terms of appointment, while allowing the parties to negotiate and agree the terms of appointment directly with the expert themselves should they wish to do so.
                    </paratext>
                  </para>
                  <para>
                    <paratext>If an appointing body is referenced that will not agree terms of appointment on the parties' behalf, this provision could be amended to include an obligation on the parties to use all reasonable endeavours to agree terms with the Independent Expert once they have been nominated by the relevant body.</paratext>
                  </para>
                  <para>
                    <paratext>
                      For further information on this issue, see 
                      <link anchor="a315793" href="8-107-4185" style="ACTLinkPLCtoPLC">
                        <ital>Practice note, Expert determination: Failure to agree an expert's terms of appointment</ital>
                      </link>
                      .
                    </paratext>
                  </para>
                </division>
              </drafting.note>
            </subclause1>
            <subclause1 id="a472853">
              <identifier>20.4</identifier>
              <para>
                <paratext>The Fair Value shall be the price per Sale Share determined by the Independent Expert on the following bases and assumptions:</paratext>
              </para>
              <subclause2 id="a999947">
                <identifier>(a)</identifier>
                <para>
                  <paratext>valuing the Sale Shares as on an arm's-length sale between a willing seller and a willing buyer as at the date the Transfer Notice was served (or deemed served);</paratext>
                </para>
              </subclause2>
              <subclause2 id="a985220">
                <identifier>(b)</identifier>
                <para>
                  <paratext>if the Company is then carrying on business as a going concern, on the assumption that it will continue to do so;</paratext>
                </para>
              </subclause2>
              <subclause2 id="a294980">
                <identifier>(c)</identifier>
                <para>
                  <paratext>that the Sale Shares are capable of being transferred without restriction;</paratext>
                </para>
              </subclause2>
              <subclause2 id="a365704">
                <identifier>(d)</identifier>
                <para>
                  <paratext>valuing the Sale Shares as a rateable proportion of the total value of all the issued Shares without any premium or discount being attributable to the percentage of the issued share capital of the Company which they represent; and</paratext>
                </para>
              </subclause2>
              <subclause2 id="a419110">
                <identifier>(e)</identifier>
                <para>
                  <paratext>reflecting any other factors which the Independent Expert reasonably believes should be taken into account.</paratext>
                </para>
                <drafting.note id="a523200" jurisdiction="">
                  <head align="left" preservecase="true">
                    <headtext>Valuation assumptions</headtext>
                  </head>
                  <division id="a000127" level="1">
                    <para>
                      <paratext>
                        <internal.reference refid="a472853">Article 20.4</internal.reference>
                         is an important provision, as it sets out the key parameters of any valuation. Where a valuation needs to be made, it can be easy to overlook the details necessary to enable the valuer to decide the basis of valuation. It may therefore be appropriate to discuss the drafting of a valuation article with a valuer before the Articles are finalised. Note in particular that:
                      </paratext>
                    </para>
                    <list type="bulleted">
                      <list.item>
                        <para>
                          <paratext>The date to which the valuation applies is the date of the obligatory transfer event. Any increase or decrease in the value of the shares of the company after that date will technically be irrelevant to the valuation.</paratext>
                        </para>
                      </list.item>
                      <list.item>
                        <para>
                          <paratext>The valuation is to be made on the basis of the sale of the entire business with no discount or adjustment because of the size of the shareholder's holding.</paratext>
                        </para>
                      </list.item>
                      <list.item>
                        <para>
                          <paratext>
                            <internal.reference refid="a419110">article 20.4(e)</internal.reference>
                             provides a sweeper provision allowing greater discretion for the expert to base the valuation on any additional factors that it reasonably believes should be taken into account.
                          </paratext>
                        </para>
                      </list.item>
                    </list>
                  </division>
                </drafting.note>
              </subclause2>
            </subclause1>
            <subclause1 id="a258890">
              <identifier>20.5</identifier>
              <para>
                <paratext>If any difficulty arises in applying any of these assumptions or bases then the Independent Expert shall resolve that difficulty in whatever manner it shall in its absolute discretion think fit.</paratext>
              </para>
            </subclause1>
            <subclause1 id="a739550">
              <identifier>20.6</identifier>
              <para>
                <paratext>The Directors will give the Independent Expert access to all accounting records or other relevant documents of the Group, subject to it agreeing such confidentiality provisions as the Directors may reasonably impose.</paratext>
              </para>
            </subclause1>
            <subclause1 condition="optional" id="a1031991">
              <identifier>20.7</identifier>
              <para>
                <paratext>The parties are entitled to make submissions to the Independent Expert [including oral submissions] and shall provide (or procure that others provide) the Independent Expert with such assistance and documents as the Independent Expert may reasonably require for the purpose of reaching a decision.</paratext>
              </para>
            </subclause1>
            <subclause1 id="a76040">
              <identifier>20.8</identifier>
              <para>
                <paratext>The Independent Expert shall act as expert and not as arbitrator and its determination shall be final and binding on the parties (in the absence of fraud or manifest error).</paratext>
              </para>
            </subclause1>
            <subclause1 id="a770326">
              <identifier>20.9</identifier>
              <para>
                <paratext>The Independent Expert shall be requested to determine the Fair Value within [NUMBER] Business Days of its appointment and to deliver its certificate to the Company. Forthwith upon receipt, the Company shall deliver a copy of the certificate to the Seller.</paratext>
              </para>
              <drafting.note id="a390979" jurisdiction="">
                <head align="left" preservecase="true">
                  <headtext>Seller's right to withdraw</headtext>
                </head>
                <division id="a000128" level="1">
                  <para>
                    <paratext>
                      Once the seller has received the expert's determination of fair value they may, if that fair value is less than the sale price the seller proposed in the original transfer notice (see 
                      <internal.reference refid="a615419">article 19.2(c)</internal.reference>
                      ), withdraw the transfer notice within a specified period (see 
                      <internal.reference refid="a568649">article 19.3</internal.reference>
                      ).
                    </paratext>
                  </para>
                </division>
              </drafting.note>
            </subclause1>
            <subclause1 id="a467204">
              <identifier>20.10</identifier>
              <para>
                <paratext>The cost of obtaining the Independent Expert's certificate shall be borne by the parties [equally or in such other proportions as the Independent Expert directs] [unless:</paratext>
              </para>
              <subclause2 id="a862412">
                <identifier>(a)</identifier>
                <para>
                  <paratext>
                    the Seller withdraws the relevant Transfer Notice in accordance with 
                    <internal.reference refid="a568649">article 19.3</internal.reference>
                    ; or
                  </paratext>
                </para>
              </subclause2>
              <subclause2 id="a411206">
                <identifier>(b)</identifier>
                <para>
                  <paratext>in respect of a Deemed Transfer Notice, the Fair Value is less than the price per Sale Share offered to the Seller by the Directors before the appointment of the Independent Expert,</paratext>
                </para>
              </subclause2>
              <para>
                <paratext>in which case the Seller shall bear the cost.]</paratext>
              </para>
            </subclause1>
          </clause>
          <clause id="a599340">
            <identifier>21.</identifier>
            <head align="left" preservecase="true">
              <headtext>Compulsory transfers</headtext>
            </head>
            <drafting.note id="a466568" jurisdiction="">
              <head align="left" preservecase="true">
                <headtext>Compulsory transfers</headtext>
              </head>
              <division id="a000129" level="1">
                <para>
                  <paratext>
                    An investor will be keen to ensure that the company's shares are held by a reasonably small group of people. Therefore, an investor is likely to insist that certain events will trigger a mandatory transfer of shares, with the shareholder being deemed to have issued a transfer notice. 
                    <internal.reference refid="a599340">article 21</internal.reference>
                     provides for a compulsory transfer notice to be issued in a variety of circumstances including:
                  </paratext>
                </para>
                <list type="bulleted">
                  <list.item>
                    <para>
                      <paratext>The bankruptcy of an individual shareholder.</paratext>
                    </para>
                  </list.item>
                  <list.item>
                    <para>
                      <paratext>The insolvency or administration of a corporate shareholder.</paratext>
                    </para>
                  </list.item>
                  <list.item>
                    <para>
                      <paratext>The departure of Employee Shareholders from the Group.</paratext>
                    </para>
                  </list.item>
                </list>
                <para>
                  <paratext>
                    The pre-emption provisions of 
                    <internal.reference refid="a73365">article 19</internal.reference>
                     will generally apply to a compulsory transfer of shares to be made under 
                    <internal.reference refid="a599340">article 21</internal.reference>
                    , although amendments to this general rule can be found in:
                  </paratext>
                </para>
                <list type="bulleted">
                  <list.item>
                    <para>
                      <paratext>
                        <internal.reference refid="a653808">article 17.8</internal.reference>
                         (which applies to all transfer notices deemed to be given in these Articles).
                      </paratext>
                    </para>
                  </list.item>
                  <list.item>
                    <para>
                      <paratext>
                        <internal.reference refid="a73365">article 19</internal.reference>
                         itself (where specific derogations are made to certain provisions where the transfer notice in question is one which was deemed to have been given).
                      </paratext>
                    </para>
                  </list.item>
                  <list.item>
                    <para>
                      <paratext>
                        <internal.reference refid="a627423">article 21.5</internal.reference>
                         and 
                        <internal.reference refid="a642150">article 21.6</internal.reference>
                         which, in respect of persons ceasing to hold office or employment with the Group, override the general rule that shares are to be offered for sale at the Transfer Price (see 
                        <internal.reference refid="a810274">article 19.4</internal.reference>
                        ).
                      </paratext>
                    </para>
                  </list.item>
                </list>
              </division>
            </drafting.note>
            <subclause1 id="a499248">
              <identifier>21.1</identifier>
              <para>
                <paratext>A person entitled to a Share in consequence of the bankruptcy of a Shareholder (or equivalent procedure in any jurisdiction outside England and Wales) shall be deemed to have given a Transfer notice in respect of that Share at such time as the Directors (acting with Investor Consent) may determine.</paratext>
              </para>
              <drafting.note id="a913916" jurisdiction="">
                <head align="left" preservecase="true">
                  <headtext>Bankruptcy</headtext>
                </head>
                <division id="a000130" level="1">
                  <para>
                    <paratext>An investor will want to avoid the risk that a trustee in bankruptcy (or other transmittee) acquires shares, without such person having a corresponding obligation to sell those shares. A trustee in bankruptcy will be keen to realise any value attached to the shares for the benefit of the bankrupt's creditors. Such realisation may, for the sake of a quick transfer, be at a price below market value and may otherwise result in a third party holding shares to whom the investor might object.</paratext>
                  </para>
                  <para>
                    <paratext>
                      Consider whether 
                      <internal.reference refid="a499248">article 21.1</internal.reference>
                       should be extended to cover situations where a shareholder makes any composition or other arrangement with their creditors generally.
                    </paratext>
                  </para>
                </division>
              </drafting.note>
            </subclause1>
            <subclause1 id="a766281">
              <identifier>21.2</identifier>
              <para>
                <paratext>If a Shareholder which is a body corporate either suffers or resolves to appoint a liquidator, administrator or administrative receiver over it, or any material part of its assets [(other than a voluntary liquidation for the purpose of a bona fide scheme of solvent amalgamation or reconstruction)] or suffers or takes any equivalent action in any jurisdiction outside England and Wales, that Shareholder shall be deemed to have given a Transfer Notice in respect of all Shares held by it at such time as the Directors (acting with Investor Consent) may determine.</paratext>
              </para>
              <drafting.note id="a460752" jurisdiction="">
                <head align="left" preservecase="true">
                  <headtext>Corporate insolvency</headtext>
                </head>
                <division id="a000131" level="1">
                  <para>
                    <paratext>
                      For the same reasons as apply to individual shareholders on bankruptcy (see 
                      <internal.reference refid="a913916">Drafting note, Bankruptcy</internal.reference>
                      ), a corporate shareholder which enters into an insolvency procedure will be required to sell its shares. The additional issue to consider in relation to companies is whether solvent amalgamations or reconstructions, which may not be related to any financial difficulties, should be excluded from 
                      <internal.reference refid="a766281">article 21.2</internal.reference>
                      . If such exclusion is permitted, the company should carefully consider what evidence it will require as to the status of any successor company.
                    </paratext>
                  </para>
                </division>
              </drafting.note>
            </subclause1>
            <subclause1 id="a965181">
              <identifier>21.3</identifier>
              <para>
                <paratext>
                  If there is a change in control (as 'control' is defined in section 1124 of the Corporation Tax Act 2010) of any Shareholder which is a company, it shall be bound at any time, if and when required in writing by the Directors to do so, to give (or procure the giving in the case of a nominee) a Transfer Notice in respect of all the Shares registered in its name (or the name of its nominee(s)) [save that, where that Shareholder acquired Shares as a Permitted Transferee of an Original Shareholder, it shall first be permitted to transfer those Shares back to the Original Shareholder from whom it received its Shares or to any other Permitted Transferee of that Original Shareholder before being required to serve a Transfer Notice]. This 
                  <internal.reference refid="a965181">article 21.3</internal.reference>
                   shall not apply to a Shareholder that is an Investor.
                </paratext>
              </para>
              <drafting.note id="a1027088" jurisdiction="">
                <head align="left" preservecase="true">
                  <headtext>Change of control of shareholder</headtext>
                </head>
                <division id="a000132" level="1">
                  <para>
                    <paratext>
                      Without the inclusion of 
                      <internal.reference refid="a965181">article 21.3</internal.reference>
                      , it may be possible to avoid provisions of the Articles which restrict who may or may not hold shares, by transferring ownership of the shareholder, rather than the shares. 
                      <internal.reference refid="a965181">article 21.3</internal.reference>
                       requires a transfer notice to be given in such an event, but only if (and to the extent) the directors determine. The company should consider whether additional protection should be included to deem a transfer notice to be given if an obligation to transfer shares under 
                      <internal.reference refid="a965181">article 21.3</internal.reference>
                       is not complied with.
                    </paratext>
                  </para>
                  <para>
                    <paratext>
                      <internal.reference refid="a965181">article 21.3</internal.reference>
                       does provide one relaxation of the general rule on the change of control of a shareholder. If the company to whom the change of control occurs is a permitted transferee of an original shareholder, it is allowed to transfer the shares back to the original shareholder or to another permitted shareholder of the original shareholder before it is required to serve a transfer notice.
                    </paratext>
                  </para>
                </division>
              </drafting.note>
            </subclause1>
            <subclause1 id="a368481">
              <identifier>21.4</identifier>
              <para>
                <paratext>
                  If an Employee becomes a Departing Employee a Transfer Notice shall, unless the Directors (with Investor Consent) otherwise direct in writing in respect of any particular Relevant Shares prior to or within [NUMBER] Business Days after the relevant Termination Date, be deemed to have been served on the relevant Termination Date in respect of all Relevant Shares (a 
                  <defn.term>Compulsory Employee Transfer</defn.term>
                  ) and any Transfer Notice served in respect of any of such Relevant Shares before the date such Employee becomes a Departing Employee shall automatically lapse.
                </paratext>
              </para>
              <drafting.note id="a723966" jurisdiction="">
                <head align="left" preservecase="true">
                  <headtext>Cessation of employment or office</headtext>
                </head>
                <division id="a000133" level="1">
                  <para>
                    <paratext>A key aspect of any negotiation of the articles of a venture capital backed company will concern the provisions relating to the compulsory transfer of shares on the termination of office or employment. The principle is that if a director or employee ceases to have an employment relationship or directorship with the Group, that person should cease to have any equity interest in the company. Investors will be keen to ensure that only those who have a direct influence on the performance of the Group can benefit from any increase in the value of the company's equity.</paratext>
                  </para>
                  <para>
                    <paratext>
                      <internal.reference refid="a368481">article 21.4</internal.reference>
                       provides that, if an Employee ceases to be a director or employee of the Group, such person will be deemed to have served a transfer notice in respect of all shares they hold (unless the directors, with investor consent, decide otherwise within a specified period).
                    </paratext>
                  </para>
                  <para>
                    <paratext>
                      It is not just the shares held by such Employee which are to be sold. As there may be shareholders who only hold shares as a result of being a permitted transferee of that Employee, additional transfer notices are deemed to be served in respect of all shares held by their permitted transferees (see the definition of 
                      <internal.reference refid="a481660">Relevant Shares</internal.reference>
                      ).
                    </paratext>
                  </para>
                  <para>
                    <paratext>
                      In the event that, before ceasing to be employed or hold office, any holder of Relevant Shares in relation to that employee or director had served a voluntary transfer notice in respect of some or all shares held by them, 
                      <internal.reference refid="a368481">article 21.4</internal.reference>
                       makes it clear that such transfer notice is cancelled and replaced by the transfer notice deemed to be given under 
                      <internal.reference refid="a368481">article 21.4</internal.reference>
                      .
                    </paratext>
                  </para>
                </division>
              </drafting.note>
            </subclause1>
            <subclause1 id="a627423">
              <identifier>21.5</identifier>
              <para>
                <paratext>Notwithstanding any other provisions of these Articles, the Transfer Price in respect of a Compulsory Employee Transfer shall, where the Departing Employee is:</paratext>
              </para>
              <subclause2 id="a381753">
                <identifier>(a)</identifier>
                <para>
                  <paratext>a Bad Leaver or an Early Leaver, be restricted to a maximum of the lower of the aggregate Issue Price of such Sale Shares and the aggregate Fair Value of such Sale Shares; and</paratext>
                </para>
              </subclause2>
              <subclause2 id="a118765">
                <identifier>(b)</identifier>
                <para>
                  <paratext>a Good Leaver, be the aggregate Fair Value of such Sale Shares.</paratext>
                </para>
                <drafting.note id="a933548" jurisdiction="">
                  <head align="left" preservecase="true">
                    <headtext>Good, bad and early leavers</headtext>
                  </head>
                  <division id="a000134" level="1">
                    <para>
                      <paratext>
                        The definitions of what constitutes a 'Good Leaver' and a 'Bad Leaver' will often be keenly negotiated. For the meaning of those phrases within this standard document, see the definitions of those terms in 
                        <internal.reference refid="a308401">article 1.1</internal.reference>
                        . The general principle is that only one of those two terms will be specifically defined, with the other defined as being any Departing Employee who does not fall within the other definition. In these Articles, the definition of Bad Leaver is specifically defined, which would commonly be considered to be a management-friendly approach (as the definition of a Good Leaver will often cover a wider group of people).
                      </paratext>
                    </para>
                    <para>
                      <paratext>
                        Under 
                        <internal.reference refid="a381753">article 21.5(a)</internal.reference>
                        , the maximum price at which a Bad Leaver will be able to sell their shares will be the amount they paid for them (or, where acquired on transfer, the amount originally subscribed for those shares). If the market value of those shares at the time of the deemed transfer notice is less than the amount the Bad Leaver paid (or originally subscribed), that lower amount will be the Transfer Price. The principle is that such a shareholder is leaving in circumstances where they should not benefit from any uplift in value of their shares. This is particularly the case in venture capital investments where those shareholders who continue in business will hold relatively illiquid shares. Were a bad leaver able to benefit from an increase in their shares' value, other shareholders may see that as an easy, if unfair, way to effect an early exit from the company.
                      </paratext>
                    </para>
                    <para>
                      <paratext>Good leavers, on the other hand, can benefit from any uplift in value on the shares to be sold. Note, however, that the fair value of the shares to be sold may be less than the amount originally subscribed for those shares. As such, a good leaver could still take out less than they originally invested, even though leaving the Group for 'good' reasons.</paratext>
                    </para>
                    <para>
                      <paratext>
                        <internal.reference refid="a627423">Article 21.5</internal.reference>
                         also refers to 'Early Leavers'. In the event that a shareholder (usually a manager) leaves the business within a prescribed period following completion of the venture capital investment (often between one and three years), an investor may consider that such person has effectively broken the commitment to the business that such person gave at the time of investment. Such commitment may have formed a material part of that investor's decision to invest and so the investor may consider that such a person should not be allowed to benefit from any increase in the value of their shares as a result.
                      </paratext>
                    </para>
                    <division id="a810059" level="2">
                      <head align="left" preservecase="true">
                        <headtext>Can a bad leaver clause constitute a penalty or unfair prejudice?</headtext>
                      </head>
                      <para>
                        <paratext>In recent years there have been several challenges to compulsory transfer provisions, particularly as they relate to bad leavers, on the grounds that they are penalty clauses and therefore unenforceable. The rule against penalties is not restricted to obligations to pay a sum of money, but can extend to other clauses operating on a breach of contract, such as a requirement to transfer property or the withholding of sums that would otherwise be due. Since leaver provisions generally require bad leavers to sell their shares for an undervalue, or prevent them from receiving accrued bonuses, there is the potential for them to be construed as penalties.</paratext>
                      </para>
                      <para>
                        <paratext>
                          In 2015, the Supreme Court reformulated and clarified the test for a penalty in 
                          <ital>Cavendish Square Holding BV v Talal El Makdessi; ParkingEye Limited v Beavis [2015] UKSC 67</ital>
                          . In their joint leading judgment, Lords Neuberger and Sumption held that the true test is “whether the impugned provision is a secondary obligation which imposes a detriment on the contract-breaker out of all proportion to any legitimate interest of the innocent party in the enforcement of the primary obligation.” Their judgment also confirmed that the penalty rule only applies to a provision operating on a breach of contract, since a provision is a penalty only if it provides an exorbitant alternative to damages.
                        </paratext>
                      </para>
                      <para>
                        <paratext>
                          The 
                          <ital>Makdessi</ital>
                           case related to an SPA entered into by Cavendish and Mr Makdessi. Mr Makdessi breached their restrictive covenants and Cavendish sought to enforce clauses which allowed it, in the event of such breach, to withhold the remaining instalments of deferred consideration and require Mr Makdessi to sell their remaining shares to Cavendish at a price excluding goodwill. Mr Makdessi argued that these clauses were unenforceable penalties. Lords Neuberger and Sumption concluded that although the clauses were triggered by a breach of contract, they were not secondary obligations. Regarding the transfer of shares, they took the view that a contractual obligation conferring an option to acquire shares for purely commercial reasons and not as compensation for breach of contract was a primary obligation, even though it was triggered by a breach of contract. Some of the justices differed, construing the compulsory transfer of shares as a secondary obligation. All agreed, however, that Cavendish had a legitimate interest in protecting the goodwill in the business and that the effect of both clauses, although harsh, was not exorbitant or penal and so even if the compulsory transfer provision were a secondary obligation, it was not a penalty clause. It was noted that the parties were of relatively equal bargaining power and had negotiated the clauses with the benefit of expert legal advice on both sides.
                        </paratext>
                      </para>
                      <para>
                        <paratext>
                          For a further discussion of the Supreme Court judgment, see 
                          <link href="0-620-0446" style="ACTLinkPLCtoPLC">
                            <ital>Legal update, Penalty clauses: the "haphazardly constructed edifice" is rebuilt but not extended (Supreme Court): full update</ital>
                          </link>
                          .
                        </paratext>
                      </para>
                      <para>
                        <paratext>
                          <ital>Makdessi</ital>
                           has analogies with bad leaver provisions in that the consequence of one of the relevant clauses was the forfeiture of existing rights, rather than the payment of a liquidated sum. Following the case there have been several others in which the courts have considered bad leaver provisions in light of the reformulated test for a penalty in 
                          <ital>Makdessi</ital>
                          .
                        </paratext>
                      </para>
                      <division id="a678697" level="3">
                        <head align="left" preservecase="true">
                          <headtext>Applying Cavendish v El Makdessi</headtext>
                        </head>
                        <para>
                          <paratext>
                            In 
                            <ital>Richards &amp; another v I P Solutions Group Ltd [2016] EWHC 1835 (QB)</ital>
                             May J held (obiter) that a provision of the company's articles of association providing for the payment of £1 for the aggregate shareholding of a bad leaver was not a penalty. Noting that the bad leaver provision was contained in the company's articles of association and that the articles dealt with the transfer of shares in a range of leaver situations, with the bad leaver being the only one to arise on the breach of an employment contract, May LJ stated that “the arrangement for "leavers" as provided for under the articles of association thus appears to me to be more akin to a primary obligation agreed between parties for distinct commercial reasons to do with a shareholder leaving the company.” The transfer price of £1 was “simply the agreed price on transfer.” May LJ further stated that even if the bad leaver provision were a secondary obligation, she would have found that there was nothing unconscionable in an arrangement between parties made at arms-length with expert legal advice, and that she would still have found the provision enforceable.
                          </paratext>
                        </para>
                        <para>
                          <paratext>
                            In the Scottish case of 
                            <ital>Re Braid Group (Holdings) Ltd [2016] CSIH 68</ital>
                             it was held by a majority (Lord Menzies dissenting) that a bad leaver provision in a company's articles which required shares to be transferred at the subscription price rather than at fair value (resulting in a loss to the bad leaver of over £18 million) was not a penalty. However, in this case, the judges construed the requirement to transfer the shares for less than fair value as a secondary obligation triggered by the bad leaver's breach of their employment contract or failure properly to carry out the duties of a director. It therefore had the potential to be a penalty, but Lords Malcolm and Brodie held that the bad leaver provision protected a legitimate interest, was not exorbitant or unconscionable and that the rule against penalties did not, therefore, apply.
                          </paratext>
                        </para>
                        <para>
                          <paratext>
                            In 
                            <ital>Signia Wealth Ltd v Vector Trustees Ltd [2018] EWHC 1774 (Ch)</ital>
                            , D, having been found to be a bad leaver, was required to transfer her shares for significantly less than their market value. D argued that the differentiation between a good leaver and a bad leaver in the articles constituted a penalty but the court held that the penalty doctrine did not apply. None of the events triggering the compulsory transfer process under the articles, including the leaver provisions, related to the shareholder's breach of contract. Even though one of the factors determining whether the leaver was a good or bad leaver was whether they were in breach of their contract of employment, this did not mean that the leaver provisions amounted to a penalty payable on breach. The court stated that there was a legitimate commercial interest in the leaver provisions, which aimed to ensure that the shares in the company remained vested in those directly connected with its development and to incentivize key employees to remain with the company. It also noted that the doctrine of penalty is an interference with freedom of contract which should be applied with care in a commercial case in which the contract has been negotiated without any sign of oppression.
                          </paratext>
                        </para>
                        <para>
                          <paratext>
                            Most recently, in 
                            <ital>Nosworthy v Instinctif Partners Ltd [2019] UKEAT/0100/18</ital>
                            , the EAT held that bad leaver provisions which required a departing employee (N) to transfer her shares for less than market value and to forfeit her loan notes were not a penalty. N had acquired the shares and loan notes as deferred consideration under an SPA. By voluntarily resigning, N became a bad leaver under the articles of association and breached a covenant contained in an investment agreement to which she was a party. Although she was in breach of an agreement, the company dealt with the shares in accordance with the terms of its articles, rather than those of the contract that was breached. The court therefore found that the bad leaver provisions applied not because of any breach of contract but because of the terms of the articles of association. Since the relevant provision did not operate on breach of contract, the penalty doctrine did not apply. For further discussion of the EAT judgment, see 
                            <link href="w-020-1718" style="ACTLinkPLCtoPLC">
                              <ital>Article, Bad leaver provisions: penalty</ital>
                            </link>
                            .
                          </paratext>
                        </para>
                        <para>
                          <paratext>
                            In light of 
                            <ital>Makdessi</ital>
                             and the subsequent cases that have considered bad leaver provisions, it seems that factors the courts will consider in determining whether a bad leaver clause is penal include:
                          </paratext>
                        </para>
                        <list type="bulleted">
                          <list.item>
                            <para>
                              <paratext>
                                <bold>Whether the leaver provisions are triggered by a breach of contract</bold>
                                . If not, the penalty doctrine will not apply because a provision is a penalty only if it provides an exorbitant alternative to damages for breach.
                              </paratext>
                            </para>
                          </list.item>
                          <list.item>
                            <para>
                              <paratext>
                                <bold>Whether the leaver provisions form primary or secondary obligations under the contract.</bold>
                                 The courts will not review the fairness of a primary obligation, but can regulate the remedies available for breach, including any secondary obligations that seek to provide a contractual alternative to common law damages.
                              </paratext>
                            </para>
                          </list.item>
                          <list.item>
                            <para>
                              <paratext>
                                <bold>Whether the sanction protects a legitimate commercial interest and is proportionate.</bold>
                                 A secondary obligation will not be a penalty if it protects a legitimate commercial interest and is not extravagant or unconscionable. Legitimate commercial interests are not limited to compensation for the breach: for example, protecting the goodwill of a company or ensuring that the shares remain in the ownership of those actively involved in the company's development have been found to be legitimate commercial interests. A sanction may not be extravagant or unconscionable simply because the sums involved exceed the loss incurred. A broader range of considerations will apply, including the commercial context that underlies the clause, and the wider ramifications of the breach for the innocent party. It may also be relevant to consider if the clause goes way beyond the industry norms, and is thereby exorbitant.
                              </paratext>
                            </para>
                          </list.item>
                          <list.item>
                            <para>
                              <paratext>
                                <bold>The relative bargaining position of the parties. </bold>
                                Where the parties are of broadly equal bargaining power and have negotiated the contract with the benefit of legal advice on each side, there will be a strong initial presumption against the clause being penal.
                              </paratext>
                            </para>
                          </list.item>
                        </list>
                        <para>
                          <paratext>For further discussion of these factors and the drafting considerations relevant to bad leaver and penalty clauses, see:</paratext>
                        </para>
                        <list type="bulleted">
                          <list.item>
                            <para>
                              <paratext>
                                <link href="w-005-1407" style="ACTLinkPLCtoPLC">
                                  <ital>Article, Articles: could a bad leaver provision requiring the transfer of shares for less than market value be a penalty? (updated)</ital>
                                </link>
                                .
                              </paratext>
                            </para>
                          </list.item>
                          <list.item>
                            <para>
                              <paratext>
                                <link anchor="a521801" href="9-582-2885" style="ACTLinkPLCtoPLC">
                                  <ital>Practice note, Contracts: agreed remedies: Distinguishing between liquidated damages and penalties</ital>
                                </link>
                                .
                              </paratext>
                            </para>
                          </list.item>
                          <list.item>
                            <para>
                              <paratext>
                                <link anchor="a321809" href="0-620-0446" style="ACTLinkPLCtoPLC">
                                  <ital>Legal update, Penalty clauses: the "haphazardly constructed edifice" is rebuilt but not extended (Supreme Court): full update: Comment</ital>
                                </link>
                                .
                              </paratext>
                            </para>
                          </list.item>
                        </list>
                      </division>
                      <division id="a876096" level="3">
                        <head align="left" preservecase="true">
                          <headtext>Unfair prejudice</headtext>
                        </head>
                        <para>
                          <paratext>
                            In 
                            <link href="D-027-2781" style="ACTLinkURL">
                              <ital>Moxon v Litchfield and others [2013] EWHC 3957 (Ch)</ital>
                            </link>
                            , the High Court concluded that, although the proper categorisation of an individual as a bad leaver under the contractual definition produced a draconian result for the individual required to transfer shares at par, neither the principles of equity nor the court's jurisdiction under 
                            <link href="9-505-7237" style="ACTLinkPLCtoPLC">
                              <ital>section 994</ital>
                            </link>
                             of the CA 2006 provided grounds for intervening in the operation of the contractual agreement made between the parties when the company was formed. Hildyard J considered that at most the exercise of contractual rights will be subject to equitable restraint if the exercise of that right would be unconscionable. However, any such contractual provision should be strictly interpreted, exercised in good faith and not permitted to be used for unworthy purposes.
                          </paratext>
                        </para>
                      </division>
                    </division>
                  </division>
                </drafting.note>
              </subclause2>
            </subclause1>
            <subclause1 id="a642150">
              <identifier>21.6</identifier>
              <para>
                <paratext>
                  Notwithstanding the provisions of 
                  <internal.reference refid="a627423">article 21.5</internal.reference>
                  , an Investor Majority may, by notice in writing served on the Company and the relevant Seller(s), direct that some higher (but not lower) Transfer Price shall apply to any or all Sale Shares which would otherwise be subject to 
                  <internal.reference refid="a627423">article 21.5</internal.reference>
                  .
                </paratext>
              </para>
              <drafting.note id="a1023043" jurisdiction="">
                <head align="left" preservecase="true">
                  <headtext>Investor's power to change compulsory transfer price</headtext>
                </head>
                <division id="a000135" level="1">
                  <para>
                    <paratext>
                      At the time of drafting the Articles, it will not be possible to anticipate all the circumstances in which any particular manager or shareholder may depart the business. As such, 
                      <internal.reference refid="a642150">article 21.6</internal.reference>
                       allows the investor (being the party which will lead on negotiation of, and will usually want control of, the leaver provisions) to override the price per share prescribed on a shareholder ceasing to be a director or employee of the Group, where it considers it equitable to do so.
                    </paratext>
                  </para>
                </division>
              </drafting.note>
            </subclause1>
            <subclause1 id="a890822">
              <identifier>21.7</identifier>
              <para>
                <paratext>
                  Forthwith upon a Transfer Notice being deemed to be served under article [
                  <internal.reference refid="a599340">article 21</internal.reference>
                  <ital> </ital>
                  <bold>OR </bold>
                  <internal.reference refid="a368481">article 21.4</internal.reference>
                  ] the [Relevant Shares 
                  <bold>OR</bold>
                   the Shares subject to the relevant Deemed Transfer Notice] (
                  <defn.term>Restricted Shares</defn.term>
                  ) shall cease to confer on the holder of them any rights:
                </paratext>
              </para>
              <subclause2 id="a884186">
                <identifier>(a)</identifier>
                <para>
                  <paratext>to vote (whether on a show of hands, on a poll or otherwise and whether in person, by proxy or otherwise), including in respect of any resolution of any class of Shares;</paratext>
                </para>
              </subclause2>
              <subclause2 id="a638516">
                <identifier>(b)</identifier>
                <para>
                  <paratext>to receive dividends or other distributions otherwise attaching to those Shares; [or]</paratext>
                </para>
              </subclause2>
              <subclause2 condition="optional" id="a375528">
                <identifier>(c)</identifier>
                <para>
                  <paratext>to participate in any future issue of Shares [issued in respect of those Shares].</paratext>
                </para>
              </subclause2>
              <para>
                <paratext>
                  The Directors may (with Investor Consent) reinstate the rights referred to in 
                  <internal.reference refid="a890822">article 21.7</internal.reference>
                   at any time and, in any event, such rights shall be reinstated [in respect of any Shares transferred pursuant to article [
                  <internal.reference refid="a599340">article 21</internal.reference>
                  <ital> </ital>
                  <bold>OR </bold>
                  <internal.reference refid="a368481">article 21.4</internal.reference>
                  ] on completion of such transfer 
                  <bold>OR</bold>
                   on completion of a transfer made pursuant to article [
                  <internal.reference refid="a599340">article 21</internal.reference>
                  <ital> </ital>
                  <bold>OR </bold>
                  <internal.reference refid="a368481">article 21.4</internal.reference>
                  ]].
                </paratext>
              </para>
              <drafting.note id="a898913" jurisdiction="">
                <head align="left" preservecase="true">
                  <headtext>Disenfranchisement on compulsory transfers</headtext>
                </head>
                <division id="a000136" level="1">
                  <para>
                    <paratext>
                      <internal.reference refid="a890822">article 21.7</internal.reference>
                       largely repeats the wording of 
                      <internal.reference refid="a499404">article 17.7(a)</internal.reference>
                      . For general information on the wording of 
                      <internal.reference refid="a890822">article 21.7</internal.reference>
                      , see 
                      <internal.reference refid="a760621">Drafting note, Disenfranchisement</internal.reference>
                      .
                    </paratext>
                  </para>
                  <para>
                    <paratext>
                      In relation to the disenfranchisement provisions of 
                      <internal.reference refid="a890822">article 21.7</internal.reference>
                       only, consider whether such disenfranchisement should occur on any of the compulsory transfer events in 
                      <internal.reference refid="a599340">article 21</internal.reference>
                      , or just when a shareholder ceases to be a director or employee of the Group. If the former, 
                      <internal.reference refid="a890822">article 21.7</internal.reference>
                       should refer to 
                      <internal.reference refid="a599340">article 21</internal.reference>
                      ; if the latter, the same references should be limited to 
                      <internal.reference refid="a368481">article 21.4</internal.reference>
                      .
                    </paratext>
                  </para>
                </division>
              </drafting.note>
            </subclause1>
          </clause>
          <clause id="a1052001">
            <identifier>22.</identifier>
            <head align="left" preservecase="true">
              <headtext>Mandatory offer on change of control</headtext>
            </head>
            <subclause1 id="a293627">
              <identifier>22.1</identifier>
              <para>
                <paratext>
                  In the event that a proposed transfer of Shares (other than a transfer of Shares made pursuant to 
                  <internal.reference refid="a817012">article 18</internal.reference>
                   [, 
                  <internal.reference refid="a599340">article 21</internal.reference>
                  ] or 
                  <internal.reference refid="a46380">article 26.2</internal.reference>
                  , but after the operation of the pre-emption procedure set out in 
                  <internal.reference refid="a73365">article 19</internal.reference>
                  ), whether made as one or as a series of transactions (a 
                  <defn.term>Proposed Transfer</defn.term>
                  ) would, if completed, result in any person [other than an existing Shareholder] (the 
                  <defn.term>Buyer</defn.term>
                  ), together with any person acting in concert with the Buyer, acquiring a Controlling Interest, the remaining provisions of this 
                  <internal.reference refid="a1052001">article 22</internal.reference>
                   shall apply.
                </paratext>
              </para>
              <drafting.note id="a570383" jurisdiction="">
                <head align="left" preservecase="true">
                  <headtext>Mandatory offer on change of control</headtext>
                </head>
                <division id="a000137" level="1">
                  <para>
                    <paratext>
                      The provisions of 
                      <internal.reference refid="a1052001">article 22</internal.reference>
                       apply if a transfer of shares would result in the buyer (and persons acting in concert with it, as defined in 
                      <internal.reference refid="a308401">article 1.1</internal.reference>
                      ) acquiring a 'Controlling Interest' in the company. In the standard document, a controlling interest is defined by reference to 'control' within the meaning of 
                      <link href="5-505-5457" style="ACTLinkPLCtoPLC">
                        <ital>section 1124</ital>
                      </link>
                       of the Corporation Tax Act 2010. Whether that test is appropriate to a particular investment is likely to be determined according to the relative shareholdings of the separate groups of investors and managers. The threshold (above which a person is deemed to hold a controlling interest) is likely to be set at a number which is below the aggregate percentage of the equity share capital held by the management team.
                    </paratext>
                  </para>
                  <para>
                    <paratext>
                      <internal.reference refid="a293627">Article 22.1</internal.reference>
                       provides optional wording to exclude the procedures set out in 
                      <internal.reference refid="a1052001">article 22</internal.reference>
                       where the proposed buyer of shares which would result in the acquisition of a controlling interest is an existing shareholder.
                    </paratext>
                  </para>
                </division>
              </drafting.note>
            </subclause1>
            <subclause1 id="a834329">
              <identifier>22.2</identifier>
              <para>
                <paratext>
                  The [Seller 
                  <bold>OR</bold>
                   Company] shall procure that, prior to the completion of the Proposed Transfer, the Buyer shall make an offer (the 
                  <defn.term>Offer</defn.term>
                  ) to each Shareholder [and, in respect of all Equity Shares held in treasury, the Company] (each an 
                  <bold>Offeree</bold>
                  ) on the date of the Offer [other than any holder(s) of Restricted Shares], to buy all of the Equity Shares held by such Offerees on the date of the Offer for a consideration in cash per Equity Share (the 
                  <defn.term>Offer Price</defn.term>
                  ) which is equal to the highest price per Equity Share offered, paid or to be paid by the Buyer, or any person acting in concert with the Buyer, for any Equity Shares in connection with the Proposed Transfer [or any transaction in the [NUMBER] calendar months preceding the date of completion of the Proposed Transfer].
                </paratext>
              </para>
              <drafting.note id="a488977" jurisdiction="">
                <head align="left" preservecase="true">
                  <headtext>Obligation to make an offer</headtext>
                </head>
                <division id="a000138" level="1">
                  <para>
                    <paratext>
                      In the event of an acquisition of a controlling interest, 
                      <internal.reference refid="a834329">article 22.2</internal.reference>
                       requires that the proposed buyer offers to acquire all the equity shares of the company. Given the buyer will not, at the point this obligation arises, be a shareholder, it would be difficult for the Articles to place a direct obligation on that buyer to make the offer. As such, 
                      <internal.reference refid="a834329">article 22.2</internal.reference>
                       provides that either the relevant seller(s) of shares or the company should procure that such an offer be made. Depending on the context in which the particular sale is to take place, it is likely that the seller will have more sway with the buyer in terms of procuring that offer.
                    </paratext>
                  </para>
                  <para>
                    <paratext>
                      <internal.reference refid="a834329">article 22.2</internal.reference>
                       allows the holders of Restricted Shares to be excluded from the particular offer. A Restricted Share is one whose rights have been disenfranchised pursuant to 
                      <internal.reference refid="a890822">article 21.7</internal.reference>
                      . Such exclusion may be considered to be an aggressive position and that, if all other shareholders have the right to accept such an offer, it should not matter whether the holders of such Restricted Shares may also benefit from that offer, even if it results in such holders obtaining a higher price for their shares than they would otherwise receive under the terms of these Articles (as 
                      <internal.reference refid="a834329">article 22.2</internal.reference>
                       also specified the price at which such offer must be made). If the holders of Restricted Shares are excluded from the benefit of 
                      <internal.reference refid="a834329">article 22.2</internal.reference>
                      , consider also whether the definition of 'Restricted Shares' should extend to the holders of any Shares which have been disenfranchised pursuant to 
                      <internal.reference refid="a499404">article 17.7(a)</internal.reference>
                      .
                    </paratext>
                  </para>
                  <para>
                    <paratext>Consideration should be given as to which shares must be subject to the offer and to whom the offer is to be made. The standard document provides for the offer to be made in respect of those shares in issue at the date of the offer (thereby excluding shares issued after that date) and to the shareholders holding those shares at that date (even though shares may be transferred after that date).</paratext>
                  </para>
                  <para>
                    <paratext>
                      Consideration should also be given to whether an offer under 
                      <internal.reference refid="a1052001">article 22</internal.reference>
                       should extend to Shares acquired after the date of the offer. If so, the wording of 
                      <internal.reference refid="a501753">article 23.10</internal.reference>
                       may be adapted for the purpose.
                    </paratext>
                  </para>
                  <para>
                    <paratext>
                      <bold>Treasury shares</bold>
                    </paratext>
                  </para>
                  <para>
                    <paratext>
                      Under 
                      <internal.reference refid="a638953">article 26</internal.reference>
                      , the Company may hold shares bought back in treasury. A buyer under a drag along will want to acquire 100% of the Company's equity share capital. For that reason, 
                      <internal.reference refid="a1052001">article 22</internal.reference>
                       applies not just to Equity Shares held by Shareholders, but also by the Company.
                    </paratext>
                  </para>
                </division>
              </drafting.note>
            </subclause1>
            <subclause1 id="a212222">
              <identifier>22.3</identifier>
              <para>
                <paratext>
                  The Offer shall be made by notice in writing (an 
                  <defn.term>Offer Notice</defn.term>
                  ) addressed to each Offeree on the date of the Offer at least [NUMBER] Business Days (the 
                  <defn.term>Offer Period</defn.term>
                  ) before the date fixed for completion of the Proposed Transfer (the 
                  <defn.term>Sale Date</defn.term>
                  ). [To the extent not described in any accompanying documents, the 
                  <bold>OR</bold>
                   The] Offer Notice shall specify:
                </paratext>
              </para>
              <subclause2 id="a812967">
                <identifier>(a)</identifier>
                <para>
                  <paratext>the identity of the Buyer (and any person(s) acting in concert with the Buyer);</paratext>
                </para>
              </subclause2>
              <subclause2 id="a276310">
                <identifier>(b)</identifier>
                <para>
                  <paratext>the Offer Price and any other terms and conditions of the Offer;</paratext>
                </para>
              </subclause2>
              <subclause2 id="a620703">
                <identifier>(c)</identifier>
                <para>
                  <paratext>the Sale Date; and</paratext>
                </para>
              </subclause2>
              <subclause2 id="a381394">
                <identifier>(d)</identifier>
                <para>
                  <paratext>the number of Equity Shares which would be held by the Buyer (and persons acting in concert with the Buyer) on completion of the Proposed Transfer.</paratext>
                </para>
              </subclause2>
            </subclause1>
            <subclause1 id="a853101">
              <identifier>22.4</identifier>
              <para>
                <paratext>The completion of the Proposed Transfer shall be conditional in all respects on:</paratext>
              </para>
              <subclause2 id="a624748">
                <identifier>(a)</identifier>
                <para>
                  <paratext>
                    the making of an Offer in accordance with this 
                    <internal.reference refid="a1052001">article 22</internal.reference>
                    ; and
                  </paratext>
                </para>
              </subclause2>
              <subclause2 id="a575387">
                <identifier>(b)</identifier>
                <para>
                  <paratext>
                    the completion of the transfer of any Equity Shares by any Offeree (each an 
                    <defn.term>Accepting Offeree</defn.term>
                    ) who accepts the Offer within the Offer Period,
                  </paratext>
                </para>
                <para>
                  <paratext>
                    and the Directors shall refuse to register any Proposed Transfer made in breach of this 
                    <internal.reference refid="a853101">article 22.4</internal.reference>
                    .
                  </paratext>
                </para>
                <drafting.note id="a553065" jurisdiction="">
                  <head align="left" preservecase="true">
                    <headtext>Conditions of the Proposed Transfer</headtext>
                  </head>
                  <division id="a000139" level="1">
                    <para>
                      <paratext>
                        <internal.reference refid="a853101">article 22.4</internal.reference>
                         gives protection to the company's shareholders by ensuring that if a Proposed Transfer which would result in the acquisition of a controlling interest is not preceded by an Offer under 
                        <internal.reference refid="a1052001">article 22</internal.reference>
                        , that Proposed Transfer may not be completed (and shall not be registered by the directors). If the offer made by the third party buyer is accepted by any shareholder, completion of the Proposed Transfer is also conditional on that buyer purchasing all the shares held by shareholders that accept the offer.
                      </paratext>
                    </para>
                  </division>
                </drafting.note>
              </subclause2>
            </subclause1>
            <subclause1 id="a298535">
              <identifier>22.5</identifier>
              <para>
                <paratext>
                  The Proposed Transfer is, but the purchase of Shares from Accepting Offerees pursuant to an Offer made under this 
                  <internal.reference refid="a1052001">article 22</internal.reference>
                   shall not be, subject to the pre-emption provisions of 
                  <internal.reference refid="a73365">article 19</internal.reference>
                  .
                </paratext>
              </para>
            </subclause1>
          </clause>
          <clause id="a457892">
            <identifier>23.</identifier>
            <head align="left" preservecase="true">
              <headtext>Drag along</headtext>
            </head>
            <subclause1 id="a78272">
              <identifier>23.1</identifier>
              <para>
                <paratext>
                  If an Investor Majority [and, for transfers before the [NUMBER] anniversary of the Adoption Date, the holders of [PERCENTAGE]% by nominal value of the Ordinary Shares in issue for the time being] (the 
                  <defn.term>Selling Shareholders</defn.term>
                  ) wish to transfer all of their interest in Equity Shares (
                  <defn.term>Sellers' Shares</defn.term>
                  ) to a bona fide purchaser on arm's-length terms (
                  <defn.term>Proposed Buyer</defn.term>
                  ), the Selling Shareholders shall have the option (
                  <defn.term>Drag Along Option</defn.term>
                  ) to require all the other holders of Equity Shares on the date of the request[, including the Company in respect of Equity Shares held in treasury, if any] (
                  <defn.term>Called Shareholders</defn.term>
                  ) to sell and transfer all their interest in Equity Shares [with full title guarantee] to the Proposed Buyer (or as the Proposed Buyer may direct) in accordance with the provisions of this 
                  <internal.reference refid="a457892">article 23</internal.reference>
                  .
                </paratext>
              </para>
              <drafting.note id="a129858" jurisdiction="">
                <head align="left" preservecase="true">
                  <headtext>Drag along</headtext>
                </head>
                <division id="a000140" level="1">
                  <para>
                    <paratext>
                      <internal.reference refid="a457892">article 23</internal.reference>
                       provides a mechanism by which an investor (or group of investors), should they wish to sell all their shares to a third party, can ensure the sale of 100% of the equity share capital to that buyer. It will be a matter for negotiation as to whether the right to exercise the drag along provisions is reserved only to the investors, or whether the consent of any other group of shareholders, provided that together they hold a minimum percentage of the company's equity share capital, is required to do so.
                    </paratext>
                  </para>
                  <para>
                    <paratext>
                      <internal.reference refid="a78272">article 23.1</internal.reference>
                       contains optional wording to prevent an investor (or group of investors) from exercising alone the drag along within a prescribed period following completion. It may be possible for an investor to obtain a substantial internal rate of return on its investment within a relatively short timeframe after completion of its investment (see 
                      <link href="6-384-9563" style="ACTLinkPLCtoPLC">
                        <ital>Practice note, Internal rate of return (IRR): an introduction</ital>
                      </link>
                      ). However, management may consider that they have not had sufficient time to increase the company's value as far as they think possible and that they should be able to veto an investor exit which may well be calculated on pure financial engineering.
                    </paratext>
                  </para>
                  <para>
                    <paratext>
                      <internal.reference refid="a78272">article 23.1</internal.reference>
                       also provides for those forced to sell their shares under a drag along to give 
                      <link href="8-107-6622" style="ACTLinkPLCtoPLC">
                        <bold>
                          <ital>full title guarantee</ital>
                        </bold>
                      </link>
                       for the shares to be sold. In certain cases, it will simply not be appropriate, or possible, for a shareholder to give full title guarantee and so these words should be included only with caution. For further detail, see 
                      <internal.reference refid="a336400">Drafting note, Terms of the sale</internal.reference>
                      .
                    </paratext>
                  </para>
                  <division id="a81291" level="2">
                    <head align="left" preservecase="true">
                      <headtext>Treasury shares</headtext>
                    </head>
                    <para>
                      <paratext>
                        Under 
                        <internal.reference refid="a638953">article 26</internal.reference>
                         the Company will be able to hold shares in treasury following a buyback. Consider whether the percentage of ordinary shares required to trigger the drag along in 
                        <internal.reference refid="a78272">article 23.1</internal.reference>
                         should be calculated by reference to a total number of ordinary shares that includes or excludes any ordinary shares held in treasury.
                      </paratext>
                    </para>
                    <para>
                      <paratext>
                        Under 
                        <internal.reference refid="a764618">article 1.10</internal.reference>
                        , references to the holders of Ordinary Shares will not include the Company. As such, the total pool of shares, against which the percentage threshold is calculated, will be smaller, making it easier for ordinary shareholders to reach that threshold. Note, however, that 
                        <internal.reference refid="a78272">article 23.1</internal.reference>
                         allows the Selling Shareholders to any Equity Shares held by the Company in treasury.
                      </paratext>
                    </para>
                  </division>
                </division>
              </drafting.note>
            </subclause1>
            <subclause1 id="a722748">
              <identifier>23.2</identifier>
              <para>
                <paratext>
                  The Selling Shareholders may exercise the Drag Along Option by giving notice in writing to that effect (a 
                  <defn.term>Drag Along Notice</defn.term>
                  ), at any time before the completion of the transfer of the Sellers' Shares, to the Proposed Buyer and each Called Shareholder. A Drag Along Notice shall specify:
                </paratext>
              </para>
              <subclause2 id="a786388">
                <identifier>(a)</identifier>
                <para>
                  <paratext>
                    that the Called Shareholders are required to transfer all their Equity Shares (
                    <defn.term>Called Shares</defn.term>
                    ) pursuant to this 
                    <internal.reference refid="a457892">article 23</internal.reference>
                    ;
                  </paratext>
                </para>
              </subclause2>
              <subclause2 id="a421900">
                <identifier>(b)</identifier>
                <para>
                  <paratext>the identity of the Proposed Buyer (and, if relevant, the transferee(s) nominated by the Proposed Buyer);</paratext>
                </para>
              </subclause2>
              <subclause2 id="a193328">
                <identifier>(c)</identifier>
                <para>
                  <paratext>
                    the consideration payable for the Called Shares calculated in accordance with 
                    <internal.reference refid="a193754">article 23.4</internal.reference>
                    ;
                  </paratext>
                </para>
              </subclause2>
              <subclause2 id="a703812">
                <identifier>(d)</identifier>
                <para>
                  <paratext>the proposed date of completion of transfer of the Called Shares.</paratext>
                </para>
              </subclause2>
            </subclause1>
            <subclause1 id="a933543">
              <identifier>23.3</identifier>
              <para>
                <paratext>Once given, a Drag Along Notice may not be revoked [save with the prior consent of the Directors, acting with Investor Consent]. However, a Drag Along Notice shall lapse if, for any reason, the Selling Shareholders have not completed the transfer of all the Sellers' Shares to the Proposed Buyer (or as the Proposed Buyer may direct) within [NUMBER] Business Days of serving the Drag Along Notice. The Selling Shareholders may serve further Drag Along Notices following the lapse of any particular Drag Along Notice.</paratext>
              </para>
            </subclause1>
            <subclause1 id="a193754">
              <identifier>23.4</identifier>
              <para>
                <paratext>
                  The consideration (in cash or otherwise) for which the Called Shareholders shall be obliged to sell each of the Called Shares shall be that to which they would be entitled if the total consideration proposed to be paid by the Proposed Buyer were distributed to the holders of the Called Shares and the Sellers' Shares in accordance with the provisions of 
                  <internal.reference refid="a302537">article 11</internal.reference>
                  .
                </paratext>
              </para>
              <drafting.note id="a1039093" jurisdiction="">
                <head align="left" preservecase="true">
                  <headtext>Consideration under a drag along</headtext>
                </head>
                <division id="a000141" level="1">
                  <para>
                    <paratext>
                      A shareholder who is obliged to sell their shares under 
                      <internal.reference refid="a457892">article 23</internal.reference>
                       will be keen to ensure that they cannot be dragged at a price per share which is less than the price the investor is to receive. 
                      <internal.reference refid="a457892">article 23</internal.reference>
                       provides that the consideration must at least equal that to be received by the investor (on the assumption that only in very rare cases will an investor sell its own shares at a price below that which it considers fair and reasonable in the circumstances).
                    </paratext>
                  </para>
                  <para>
                    <paratext>
                      However, 
                      <internal.reference refid="a193754">article 23.4</internal.reference>
                       also provides that the sale preference provisions of 
                      <internal.reference refid="a302537">article 11</internal.reference>
                       will apply to such a sale. As a result, the first tranche of proceeds of a sale under a drag along will be used to repay the amounts paid by the investor for its shares. As such, if an investor considers that 100% of the company should be sold at the price it paid for its proportion of the share capital, but no more (that is, less than it was worth at the time of the investment), it would be possible for the ordinary shareholders to be obliged to sell their shares without receiving any consideration in return. 
                      <internal.reference refid="a78272">article 23.1</internal.reference>
                       will provide some comfort to the ordinary shareholders, if an investor (or group of investors) cannot exercise the drag along option alone for a certain period after completion of the investment.
                    </paratext>
                  </para>
                </division>
              </drafting.note>
            </subclause1>
            <subclause1 id="a508935">
              <identifier>23.5</identifier>
              <para>
                <paratext>
                  No Drag Along Notice shall require a Called Shareholder to agree to any terms except those specifically set out in this 
                  <internal.reference refid="a457892">article 23</internal.reference>
                  .
                </paratext>
              </para>
              <drafting.note id="a336400" jurisdiction="">
                <head align="left" preservecase="true">
                  <headtext>Terms of the sale</headtext>
                </head>
                <division id="a000142" level="1">
                  <para>
                    <paratext>
                      In a conventional sale and purchase of shares in the United Kingdom, it is common for the seller to give certain warranties to the buyer of those shares. Venture capital transactions differ slightly in that a venture capital house is unlikely to want to give any warranties, other than very limited ones relating to its title to its shares and its capacity to enter into the particular sale and purchase agreement. A buyer of a venture capital backed company will often, therefore, have to rely on warranties given by management alone. However, in the context of a drag along, particularly one where the ordinary shareholders will not receive much, if anything, by way of consideration (see 
                      <internal.reference refid="a1039093">Drafting note, Consideration under a drag along</internal.reference>
                      ), it would be difficult to force any dragged shareholder to give any warranties to the buyer. 
                      <internal.reference refid="a508935">article 23.5</internal.reference>
                       makes it clear that no such dragged shareholder will be obliged to agree to any terms not specified in this 
                      <internal.reference refid="a457892">article 23</internal.reference>
                       (save that they are to give full title guarantee to their shares, if the wording in square brackets in 
                      <internal.reference refid="a78272">article 23.1</internal.reference>
                       is included).
                    </paratext>
                  </para>
                </division>
              </drafting.note>
            </subclause1>
            <subclause1 id="a58997">
              <identifier>23.6</identifier>
              <para>
                <paratext>Completion of the sale and purchase of the Called Shares shall take place on the same date as, and conditional upon the completion of, the sale and purchase of the Sellers' Shares unless:</paratext>
              </para>
              <subclause2 id="a86777">
                <identifier>(a)</identifier>
                <para>
                  <paratext>all of the Called Shareholders and the Selling Shareholders otherwise agree; or</paratext>
                </para>
              </subclause2>
              <subclause2 id="a828205">
                <identifier>(b)</identifier>
                <para>
                  <paratext>that date is less than [NUMBER] Business Days after the date of service of the Drag Along Notice, in which case completion of the sale and purchase of the Called Shares shall take place [NUMBER] Business Days after the date of service of the Drag Along Notice.</paratext>
                </para>
              </subclause2>
            </subclause1>
            <subclause1 id="a630682">
              <identifier>23.7</identifier>
              <para>
                <paratext>
                  Within [NUMBER] Business Days of the Selling Shareholders serving a Drag Along Notice on the Called Shareholders, the Called Shareholders shall deliver stock transfer forms for their Equity Shares in favour of the Proposed Buyer (or as the Proposed Buyer may direct), together with the share certificate(s) in respect of those Equity Shares (or a suitable indemnity in respect thereof) to the Company. On the expiration of that [NUMBER] Business Day period the Company shall pay the Called Shareholders, on behalf of the Proposed Buyer, the amounts they are respectively due pursuant to 
                  <internal.reference refid="a193754">article 23.4</internal.reference>
                   to the extent the Proposed Buyer has put the Company in the requisite funds. The Company's receipt for the amounts due pursuant to 
                  <internal.reference refid="a193754">article 23.4</internal.reference>
                   shall be a good discharge to the Proposed Buyer. The Company shall hold the amounts due to the Called Shareholders pursuant to 
                  <internal.reference refid="a193754">article 23.4</internal.reference>
                   in trust for the Called Shareholders without any obligation to pay interest.
                </paratext>
              </para>
              <drafting.note id="a670208" jurisdiction="">
                <head align="left" preservecase="true">
                  <headtext>Mechanics of the offer</headtext>
                </head>
                <division id="a000143" level="1">
                  <para>
                    <paratext>
                      Under 
                      <internal.reference refid="a630682">article 23.7</internal.reference>
                       and 
                      <internal.reference refid="a211532">article 23.8</internal.reference>
                       the called shareholders must deliver stock transfer forms and their share certificates (or an indemnity) within a prescribed period of receiving a drag along notice. At the end of this period the company will, if it has been put in funds by the buyer, pay the called shareholders the relevant amounts due under 
                      <internal.reference refid="a193754">article 23.4</internal.reference>
                       on behalf of the buyer. If the buyer fails to put the company in funds by the end of the relevant period, the called shareholders can have their share certificates and stock transfer forms returned. This puts an onus on a buyer to ensure that the company has the necessary funds to complete the transfer.
                    </paratext>
                  </para>
                  <para>
                    <paratext>
                      Under 
                      <internal.reference refid="a353537">article 23.9</internal.reference>
                      , if a called shareholder fails to deliver stock transfer forms and their share certificates (or an indemnity), any director of the company can transfer the shares on their behalf and only once their share certificates (or an indemnity) have been received are they entitled to receive payment for those shares.
                    </paratext>
                  </para>
                </division>
              </drafting.note>
            </subclause1>
            <subclause1 id="a211532">
              <identifier>23.8</identifier>
              <para>
                <paratext>
                  To the extent that the Proposed Buyer has not, on the expiration of the [NUMBER] Business Day period, put the Company in funds to pay the amounts due pursuant to 
                  <internal.reference refid="a193754">article 23.4</internal.reference>
                  , the Called Shareholders shall be entitled to the return of the stock transfer forms and share certificate(s) (or suitable indemnity) for the relevant Equity Shares and the Called Shareholders shall have no further rights or obligations under this 
                  <internal.reference refid="a457892">article 23</internal.reference>
                   in respect of their Equity Shares.
                </paratext>
              </para>
            </subclause1>
            <subclause1 id="a353537">
              <identifier>23.9</identifier>
              <para>
                <paratext>
                  If any Called Shareholder fails to deliver to the Company a duly executed stock transfer form (or forms) in respect of the Called Shares held by them (together with the share certificate(s) in respect of those Called Shares (or a suitable indemnity in respect thereof)) the defaulting Called Shareholder shall be deemed to have appointed any person nominated for the purpose by the Selling Shareholders to be their agent [and attorney] to execute and deliver all necessary transfers on their behalf, against receipt by the Company (on trust for such holder) of the consideration payable for the Called Shares. After the Proposed Buyer (or person(s) nominated by the Proposed Buyer) has been registered as the holder of any such Called Shares, the validity of such proceedings shall not be questioned by any person. Failure to produce a share certificate shall not impede the registration of any transfer of Shares under this 
                  <internal.reference refid="a457892">article 23</internal.reference>
                  .
                </paratext>
              </para>
              <drafting.note id="a537987" jurisdiction="">
                <head align="left" preservecase="true">
                  <headtext>Director as attorney</headtext>
                </head>
                <division id="a000144" level="1">
                  <para>
                    <paratext>
                      For a consideration of the effect (or otherwise) of granting a power of attorney under a set of articles, see 
                      <internal.reference refid="a786532">Drafting note, Shareholder rights on Exit</internal.reference>
                      .
                    </paratext>
                  </para>
                </division>
              </drafting.note>
            </subclause1>
            <subclause1 id="a501753">
              <identifier>23.10</identifier>
              <para>
                <paratext>
                  Upon any person, following the issue of a Drag Along Notice, becoming a Shareholder (or increasing an existing shareholding) including, without limitation, pursuant to the exercise of any option, warrant or other right to acquire or subscribe for, or to convert any security into, Equity Shares, whether or not pursuant to a Share Option Scheme (a 
                  <defn.term>New Shareholder</defn.term>
                  ), a Drag Along Notice shall be deemed to have been served upon the New Shareholder, on the same terms as the previous Drag Along Notice, who shall then be bound to sell and transfer all such Equity Shares acquired by them to the Proposed Buyer (or as the Proposed Buyer may direct) and the provisions of this 
                  <internal.reference refid="a457892">article 23</internal.reference>
                   shall apply mutatis mutandis to the New Shareholder, save that completion of the sale of such Equity Shares shall take place forthwith upon the later of the Drag Along Notice being deemed served on the New Shareholder and the date of completion of the sale of the Called Shares. References in this 
                  <internal.reference refid="a797386">Article 23.11</internal.reference>
                   to a person becoming a Shareholder (or increasing an existing shareholding) shall include the Company, in respect of the acquisition of any of its own Equity Shares.
                </paratext>
              </para>
              <drafting.note id="a285681" jurisdiction="">
                <head align="left" preservecase="true">
                  <headtext>Which shareholders are subject to the drag along?</headtext>
                </head>
                <division id="a000145" level="1">
                  <para>
                    <paratext>
                      <internal.reference refid="a78272">article 23.1</internal.reference>
                       allows a drag along notice to be served on the holders of Equity Shares at the date of the 'request'. It will usually be a key part of any sale and purchase pursuant to a drag along that the buyer acquires 100% of the company's equity share capital. 
                      <internal.reference refid="a501753">article 23.10</internal.reference>
                       provides a mechanism to sweep up any additional shares which are issued after the date of the request.
                    </paratext>
                  </para>
                </division>
              </drafting.note>
            </subclause1>
            <subclause1 id="a797386">
              <identifier>23.11</identifier>
              <para>
                <paratext>
                  A transfer of Called Shares to a Proposed Buyer (or as the Proposed Buyer may direct) pursuant to a sale in respect of which a Drag Along Notice has been duly served shall not be subject to the pre-emption provisions of 
                  <internal.reference refid="a73365">article 19</internal.reference>
                  .
                </paratext>
              </para>
            </subclause1>
            <subclause1 id="a239830">
              <identifier>23.12</identifier>
              <para>
                <paratext>Any Transfer Notice or Deemed Transfer Notice served in respect of the transfer of any Share which has not completed before the date of service of a Drag Along Notice shall automatically be revoked by the service of a Drag Along Notice.</paratext>
              </para>
            </subclause1>
          </clause>
          <head align="left" preservecase="true">
            <headtext>DECISION-MAKING BY SHAREHOLDERS</headtext>
          </head>
          <clause id="a272265">
            <identifier>24.</identifier>
            <head align="left" preservecase="true">
              <headtext>General meetings</headtext>
            </head>
            <subclause1 id="a898417">
              <identifier>24.1</identifier>
              <para>
                <paratext>
                  No business other than, subject to 
                  <internal.reference refid="a561265">article 24.2</internal.reference>
                  , the appointment of the chair of the meeting is to be transacted at a general meeting unless a quorum is present at the commencement of the meeting and also when that business is voted on.
                </paratext>
              </para>
              <drafting.note id="a233194" jurisdiction="">
                <head align="left" preservecase="true">
                  <headtext>Quorum at shareholder meetings</headtext>
                </head>
                <division id="a000146" level="1">
                  <para>
                    <paratext>
                      <internal.reference refid="a898417">Article 24.1</internal.reference>
                       replaces 
                      <link href="6-505-5094" style="ACTLinkPLCtoPLC">
                        <ital>model article 38</ital>
                      </link>
                      . Under 
                      <internal.reference refid="a561265">article 24.2</internal.reference>
                       the default rule is that the Chair (as defined) will chair general meetings. Only if they are absent (or there is no such Chair in office) will a chair of the meeting have to be elected. An inquorate meeting will need to appoint a chair of the meeting (in the absence of the Chair), as both the obligation, and the discretionary right, to adjourn inquorate meetings is vested in such chair of the meeting (
                      <ital>see model article 41(1)</ital>
                      ).
                    </paratext>
                  </para>
                </division>
              </drafting.note>
            </subclause1>
            <subclause1 id="a561265">
              <identifier>24.2</identifier>
              <para>
                <paratext>The Chair shall chair general meetings. If there is no Chair in office for the time being, or the Chair is unable to attend any general meeting, the Directors present (or, if no Directors are present, the meeting) must appoint another Director present at the meeting (or, if no Directors are present, a Shareholder) to chair the meeting and the appointment of the chair of the meeting must be the first business of the meeting.</paratext>
              </para>
              <drafting.note id="a724535" jurisdiction="">
                <head align="left" preservecase="true">
                  <headtext>Chair of general meetings</headtext>
                </head>
                <division id="a000147" level="1">
                  <para>
                    <paratext>
                      <internal.reference refid="a561265">Article 24.2</internal.reference>
                       modifies 
                      <link href="6-505-5094" style="ACTLinkPLCtoPLC">
                        <ital>model article 39</ital>
                      </link>
                      , given the specific definition given to 'Chair' in, and the provisions relating to their appointment in, 
                      <internal.reference refid="a798536">article 6.6</internal.reference>
                       of, the standard document.
                    </paratext>
                  </para>
                </division>
              </drafting.note>
            </subclause1>
          </clause>
          <clause id="a1019957">
            <identifier>25.</identifier>
            <head align="left" preservecase="true">
              <headtext>Voting</headtext>
            </head>
            <subclause1 id="a389759">
              <identifier>25.1</identifier>
              <para>
                <paratext>Subject to any other provisions in these Articles concerning voting rights, each Share in the Company shall carry the right to receive notice of and to attend, speak and vote at all general meetings of the Company.</paratext>
              </para>
              <drafting.note id="a677764" jurisdiction="">
                <head align="left" preservecase="true">
                  <headtext>Votes attached to shares</headtext>
                </head>
                <division id="a000148" level="1">
                  <para>
                    <paratext>
                      Part 13 of the 
                      <link href="3-503-8567" style="ACTLinkPLCtoPLC">
                        <ital>CA 2006</ital>
                      </link>
                       (and, in particular, 
                      <link href="4-505-5170" style="ACTLinkPLCtoPLC">
                        <ital>sections 284</ital>
                      </link>
                       and 
                      <link href="0-505-9491" style="ACTLinkPLCtoPLC">
                        <ital>285</ital>
                      </link>
                      ) makes express provision for the number of votes to be conferred on each shareholder, whether a vote is taken on a show of hands or on a poll, and whether a shareholder votes in person, by proxy or otherwise. As such, the standard document does not repeat those statutory provisions, in line with the Government's preference for articles not to repeat matters dealt with by the CA 2006.
                    </paratext>
                  </para>
                  <para>
                    <paratext>
                      For information on the appointment of proxies (including as a result of 
                      <link href="6-506-1410" style="ACTLinkPLCtoPLC">
                        <ital>The Companies (Shareholders' Rights) Regulations 2009</ital>
                      </link>
                       (
                      <ital>SI 2009/1632</ital>
                      ), see 
                      <link href="8-375-1206" style="ACTLinkPLCtoPLC">
                        <ital>Practice note, Proxies</ital>
                      </link>
                      .
                    </paratext>
                  </para>
                  <para>
                    <paratext>
                      Note that both 
                      <internal.reference refid="a389759">article 25.1</internal.reference>
                       and the statutory provisions as to voting are subject to anything contained in the company's articles such as weighted voting rights (although weighted voting rights are not included within these Articles).
                    </paratext>
                  </para>
                </division>
              </drafting.note>
            </subclause1>
            <subclause1 condition="optional" id="a461088">
              <identifier>25.2</identifier>
              <para>
                <paratext>A poll may be demanded at any general meeting by any qualifying person (as defined in section 318 of the Act) present and entitled to vote at the meeting.</paratext>
              </para>
              <drafting.note id="a194514" jurisdiction="">
                <head align="left" preservecase="true">
                  <headtext>Demand for a poll</headtext>
                </head>
                <division id="a000149" level="1">
                  <para>
                    <paratext>
                      <internal.reference refid="a389759">Article 25.1</internal.reference>
                       restricts those categories of people who would otherwise be entitled to demand a poll at a general meeting, under 
                      <link href="6-505-5094" style="ACTLinkPLCtoPLC">
                        <ital>model article 44(2)</ital>
                      </link>
                      . Shareholders will often be of the view that, if they are happy with the result of a resolution taken on a show of hands, it should not be open to any person outside the membership to seek to overturn the decision by way of a poll.
                    </paratext>
                  </para>
                  <para>
                    <paratext>
                      A 'qualifying person' is defined in 
                      <link href="7-505-5178" style="ACTLinkPLCtoPLC">
                        <ital>section 318(3)</ital>
                      </link>
                       of the CA 2006 as being:
                    </paratext>
                  </para>
                  <list type="bulleted">
                    <list.item>
                      <para>
                        <paratext>An individual who is a member of the company.</paratext>
                      </para>
                    </list.item>
                    <list.item>
                      <para>
                        <paratext>
                          A corporate representative of a member (authorised under 
                          <link href="8-505-5390" style="ACTLinkPLCtoPLC">
                            <ital>section 323</ital>
                          </link>
                           of the CA 2006).
                        </paratext>
                      </para>
                    </list.item>
                    <list.item>
                      <para>
                        <paratext>A proxy of a member appointed in relation to the relevant meeting.</paratext>
                      </para>
                    </list.item>
                  </list>
                  <para>
                    <paratext>
                      A company may further limit 
                      <internal.reference refid="a461088">article 25.2</internal.reference>
                       by excluding the right for a qualifying person to demand a poll on questions as to the election of a chair of the meeting, or the adjournment of the meeting.
                    </paratext>
                  </para>
                  <para>
                    <paratext>
                      <link href="6-505-5094" style="ACTLinkPLCtoPLC">
                        <ital>Model article 44(2)</ital>
                      </link>
                       cannot be amended in a way which would breach 
                      <link href="6-505-5391" style="ACTLinkPLCtoPLC">
                        <ital>section 321</ital>
                      </link>
                       of the CA 2006, which sets out minimum thresholds for categories of members who may demand a poll, breach of which renders such a provision void. For further information on those minimum thresholds and on the general provisions of the 
                      <link href="3-503-8567" style="ACTLinkPLCtoPLC">
                        <ital>CA 2006</ital>
                      </link>
                       in relation to polls, see 
                      <link anchor="a77060" href="9-523-8714" style="ACTLinkPLCtoPLC">
                        <ital>Practice note, General meetings: resolutions and voting: Voting on a poll</ital>
                      </link>
                      .
                    </paratext>
                  </para>
                </division>
              </drafting.note>
            </subclause1>
            <subclause1 id="a1027198">
              <identifier>25.3</identifier>
              <para>
                <paratext>Model article 44(3) shall be amended by the insertion of the words "A demand so withdrawn shall not invalidate the result of a show of hands declared before the demand was made" as a new paragraph at the end of that model article.</paratext>
              </para>
            </subclause1>
            <subclause1 id="a328867">
              <identifier>25.4</identifier>
              <para>
                <paratext>Model article 45(1) shall be amended by:</paratext>
              </para>
              <subclause2 id="a689441">
                <identifier>(a)</identifier>
                <para>
                  <paratext>the deletion of model article 45(1)(d) and its replacement with the words "is delivered to the company in accordance with the Articles not less than 48 hours before the time appointed for holding the meeting or adjourned meeting at which the right to vote is to be exercised and in accordance with any instructions contained in the notice of the general meeting (or adjourned meeting) to which they relate"; and</paratext>
                </para>
              </subclause2>
              <subclause2 id="a76561">
                <identifier>(b)</identifier>
                <para>
                  <paratext>the insertion of the words "and a proxy notice which is not delivered in such manner shall be invalid [,unless the Directors, in their discretion, accept the notice at any time before the meeting]" as a new paragraph at the end of that model article.</paratext>
                </para>
                <drafting.note id="a837984" jurisdiction="">
                  <head align="left" preservecase="true">
                    <headtext>Appointment of proxies</headtext>
                  </head>
                  <division id="a000150" level="1">
                    <para>
                      <paratext>
                        The 
                        <link href="6-505-5094" style="ACTLinkPLCtoPLC">
                          <ital>Model Articles</ital>
                        </link>
                         contain no express requirement as to the time of delivery of a proxy notice. 
                        <link href="2-505-5393" style="ACTLinkPLCtoPLC">
                          <ital>Section 327(2)(a)</ital>
                        </link>
                         of the CA 2006 provides that any article that requires delivery of proxy notices to be given earlier than 48 hours before the particular meeting is void.
                      </paratext>
                    </para>
                    <para>
                      <paratext>
                        <link href="6-505-5094" style="ACTLinkPLCtoPLC">
                          <ital>Model article 45</ital>
                        </link>
                         allows instructions as to delivery to be stated in the notice of the general meeting to which a proxy notice relates. Whilst this does allow the directors flexibility in setting the rules (and to vary them from meeting to meeting, subject always to 
                        <link href="2-505-5393" style="ACTLinkPLCtoPLC">
                          <ital>section 327(2)(a)</ital>
                        </link>
                         of the CA 2006), the shareholders may prefer certainty as to required delivery times (as provided in 
                        <internal.reference refid="a689441">article 25.4(a)</internal.reference>
                        , although 
                        <internal.reference refid="a76561">article 25.4(b)</internal.reference>
                         re-establishes a degree of flexibility for the directors to reduce that 48 hour rule, to be exercised at their discretion).
                      </paratext>
                    </para>
                    <para>
                      <paratext>
                        <internal.reference refid="a200960">Article 29</internal.reference>
                         is relevant in determining whether a proxy notice has been received in time for a particular general meeting.
                      </paratext>
                    </para>
                    <para>
                      <paratext>
                        For further information on the appointment of proxies, see 
                        <link href="8-375-1206" style="ACTLinkPLCtoPLC">
                          <ital>Practice note, Proxies</ital>
                        </link>
                        .
                      </paratext>
                    </para>
                  </division>
                </drafting.note>
              </subclause2>
            </subclause1>
          </clause>
          <clause id="a638953">
            <identifier>26.</identifier>
            <head align="left" preservecase="true">
              <headtext>Purchase of own shares</headtext>
            </head>
            <subclause1 id="a152157">
              <identifier>26.1</identifier>
              <para>
                <paratext>
                  Subject to the Act but without prejudice to any other provision of these Articles (including, without limitation, 
                  <internal.reference refid="a152999">article 13.2(e)</internal.reference>
                  ), the Company may purchase its own shares in accordance with Chapter 4 of Part 18 of the Act, including (without limitation) out of capital up to any amount in a financial year not exceeding the lower of:
                </paratext>
              </para>
              <subclause2 id="a609683">
                <identifier>(a)</identifier>
                <para>
                  <paratext>£15,000; and</paratext>
                </para>
              </subclause2>
              <subclause2 id="a424056">
                <identifier>(b)</identifier>
                <para>
                  <paratext>the nominal value of 5% of the Company's fully paid share capital at the beginning of each Financial Year.</paratext>
                </para>
                <drafting.note id="a157189" jurisdiction="">
                  <head align="left" preservecase="true">
                    <headtext>Purchase of own shares</headtext>
                  </head>
                  <division id="a000151" level="1">
                    <para>
                      <paratext>
                        On 30 April 2013, the 
                        <link href="1-526-7748" style="ACTLinkPLCtoPLC">
                          <ital>Companies Act 2006 (Amendment of Part 18) Regulations 2013</ital>
                        </link>
                         (
                        <ital>SI 2013/999</ital>
                        ) came into force and were amended with effect from 6 April 2015 by the 
                        <link href="9-608-7337" style="ACTLinkPLCtoPLC">
                          <ital>Companies Act 2006 (Amendment of Part 18) Regulations 2015</ital>
                        </link>
                         (
                        <ital>SI 2015/0532</ital>
                        ). Both sets of Regulations amend the CA 2006 to deregulate the share buyback regime for private companies.
                      </paratext>
                    </para>
                    <para>
                      <paratext>
                        Section 692(1ZA) of the CA 2006 permits a company to buy shares out of capital for relatively small sums, whether or not it has available profits to cover that amount. A company that wishes to take advantage of this ability must be authorised to do so by its articles and 
                        <internal.reference refid="a152157">article 26.1</internal.reference>
                         provides that authority. The total purchase price for any shares bought back under 
                        <internal.reference refid="a152157">article 26.1</internal.reference>
                         is capped (
                        <ital>section 692(1ZA), CA 2006</ital>
                        ). However, a company may use this power to make a purchase from cash in tandem with the power to make a purchase from capital under Chapter 5 of Part 18, as amended (
                        <ital>section 692(1), CA 2006</ital>
                        ). The Regulations now also make it clear that the reference to 5% of a company's share capital is to 5% of the aggregate nominal value at the beginning of each financial year of the company, excluding amounts standing to the credit of the share premium account..
                      </paratext>
                    </para>
                    <para>
                      <paratext>
                        For more, see 
                        <link href="1-386-4240" style="ACTLinkPLCtoPLC">
                          <ital>Practice note, Share buybacks: private companies</ital>
                        </link>
                        .
                      </paratext>
                    </para>
                    <para>
                      <paratext>
                        Consider whether the Company should have the power set out in 
                        <internal.reference refid="a152157">article 26.1</internal.reference>
                        . In any event, the exercise of the power will be subject to Investor Consent under 
                        <internal.reference refid="a152999">article 13.2(e)</internal.reference>
                        .
                      </paratext>
                    </para>
                  </division>
                </drafting.note>
              </subclause2>
            </subclause1>
            <subclause1 condition="optional" id="a46380">
              <identifier>26.2</identifier>
              <para>
                <paratext>
                  Subject to the remaining provisions of this 
                  <internal.reference refid="a638953">article 26</internal.reference>
                  , on a purchase of Shares in accordance with Chapter 4 of Part 18 of the Act, the Company may:
                </paratext>
              </para>
              <subclause2 id="a241511">
                <identifier>(a)</identifier>
                <para>
                  <paratext>hold the Shares (or any of them) in treasury;</paratext>
                </para>
              </subclause2>
              <subclause2 id="a576677">
                <identifier>(b)</identifier>
                <para>
                  <paratext>deal with any of the Shares, at any time, in accordance with section 727; or</paratext>
                </para>
              </subclause2>
              <subclause2 id="a305599">
                <identifier>(c)</identifier>
                <para>
                  <paratext>cancel any of the Shares, at any time, in accordance with section 729 of the Act.</paratext>
                </para>
                <drafting.note id="a384413" jurisdiction="">
                  <head align="left" preservecase="true">
                    <headtext>26.2 Treasury shares: powers of the Company</headtext>
                  </head>
                  <division id="a000152" level="1">
                    <para>
                      <paratext>
                        Under 
                        <link href="4-506-4754" style="ACTLinkPLCtoPLC">
                          <ital>section 724(3)</ital>
                        </link>
                         of the CA 2006, following a buyback of shares made out of distributable profits a company may hold some or all of those shares in treasury, sell them for a cash consideration, transfer them in accordance with or pursuant to an employees' share scheme or cancel any of them.
                      </paratext>
                    </para>
                  </division>
                </drafting.note>
              </subclause2>
            </subclause1>
            <subclause1 id="a654037">
              <identifier>26.3</identifier>
              <para>
                <paratext>
                  The provisions of 
                  <internal.reference refid="a227058">article 16.4</internal.reference>
                   to 
                  <internal.reference refid="a164238">article 16.11</internal.reference>
                   (inclusive) shall apply to a sale or transfer of Shares held in treasury pursuant to article 26.2(b) save that, for the purposes of this 
                  <internal.reference refid="a654037">article 26.3</internal.reference>
                  :
                </paratext>
              </para>
              <subclause2 id="a604676">
                <identifier>(a)</identifier>
                <para>
                  <paratext>
                    reference in 
                    <internal.reference refid="a544163">article 16</internal.reference>
                     to an allotment shall include the sale or transfer of Shares; and
                  </paratext>
                </para>
              </subclause2>
              <subclause2 id="a487181">
                <identifier>(b)</identifier>
                <para>
                  <paratext>reference in the definition of "Relevant Securities" to Shares "issued after the Adoption Date" shall include Shares to be sold or transferred by the Company,</paratext>
                </para>
              </subclause2>
              <para>
                <paratext>that immediately before the sale or transfer were, in each case, held by the Company as treasury shares</paratext>
              </para>
              <drafting.note id="a839665" jurisdiction="">
                <head align="left" preservecase="true">
                  <headtext>Pre-emption rights on sale of treasury shares</headtext>
                </head>
                <division id="a000153" level="1">
                  <para>
                    <paratext>
                      Where the Company chooses to sell shares held in treasury in accordance with 
                      <link href="6-506-2155" style="ACTLinkPLCtoPLC">
                        <ital>section 727</ital>
                      </link>
                       of the CA 2006, consider how those shares should be transferred and whether pre-emption rights will apply to those shares. An investor will want that ability to ensure that those shares cannot end up in the hands of someone of whom it does not approve.
                    </paratext>
                  </para>
                  <para>
                    <paratext>
                      <internal.reference refid="a654037">Article 26.3</internal.reference>
                       applies to a sale of shares out of treasury the pre-emption on allotment provisions of 
                      <internal.reference refid="a227058">article 16.4</internal.reference>
                       to 
                      <internal.reference refid="a164238">article 16.11</internal.reference>
                       (inclusive). 
                      <internal.reference refid="a604676">article 26.3(a)</internal.reference>
                      <ital> and</ital>
                      <internal.reference refid="a487181">article 26.3(b)</internal.reference>
                      <ital> </ital>
                      modify 
                      <internal.reference refid="a544163">article 16</internal.reference>
                       to ensure that those provisions work in the context of a sale of treasury shares. Although a sale of treasury shares might be made subject to the pre-emption provisions that apply on a transfer of shares (
                      <internal.reference refid="a73365">article 19</internal.reference>
                      ), the provisions relating to an allotment of shares require fewer modifications to fit the circumstances of a sale out of treasury. This approach also mirrors 
                      <link href="7-505-8817" style="ACTLinkPLCtoPLC">
                        <ital>section 560(3)</ital>
                      </link>
                       of the CA 2006 which applies the statutory pre-emption provisions of 
                      <link href="5-505-5122" style="ACTLinkPLCtoPLC">
                        <ital>sections 561</ital>
                      </link>
                       and 
                      <link href="3-505-5123" style="ACTLinkPLCtoPLC">
                        <ital>562</ital>
                      </link>
                       of the CA 2006 to a sale of treasury shares.
                    </paratext>
                  </para>
                  <para>
                    <paratext>
                      Deeming 
                      <internal.reference refid="a227058">article 16.4</internal.reference>
                       to 
                      <internal.reference refid="a164238">article 16.11</internal.reference>
                       to apply to the sale of treasury shares will mean that only the sale or transfer of "Relevant Securities" will be subject to pre-emption rights. Consider whether the exclusions from the definition of "Relevant Securities" are appropriate in each case. In particular, should a transfer of shares in accordance with or pursuant to an employees' share scheme be expressly excluded from the operation of the pre-emption provisions?
                    </paratext>
                  </para>
                </division>
              </drafting.note>
            </subclause1>
          </clause>
          <clause id="a545934">
            <identifier>27.</identifier>
            <head align="left" preservecase="true">
              <headtext>Company's Lien over Shares</headtext>
            </head>
            <drafting.note id="a614801" jurisdiction="">
              <head align="left" preservecase="true">
                <headtext>Nil, partly or fully paid shares</headtext>
              </head>
              <division id="a000154" level="1">
                <para>
                  <paratext>
                    The standard document incorporates 
                    <link href="6-505-5094" style="ACTLinkPLCtoPLC">
                      <ital>model article 21(1)</ital>
                    </link>
                    , which requires all shares to be issued fully paid. As such, a lien which extends only to shares which are not fully paid (such as that in article 52 of the 
                    <link href="6-505-5094" style="ACTLinkPLCtoPLC">
                      <ital>model articles for public companies</ital>
                    </link>
                    <ital>)</ital>
                     would have no relevance to these Articles. 
                    <internal.reference refid="a342989">Article 27.1</internal.reference>
                    <ital> </ital>
                    extends the company's lien to all amounts which are (or may become) due to the company by a shareholder at any future time.
                  </paratext>
                </para>
                <para>
                  <paratext>
                    Although it is possible to extend the company's lien to a shareholder's ordinary debts, it is not possible to extend a call and forfeiture provision to sums other than amounts unpaid on shares. As such, wording equivalent to that in articles 54 to 62 of the 
                    <link href="6-505-5094" style="ACTLinkPLCtoPLC">
                      <ital>model articles for public companies</ital>
                    </link>
                     will not be relevant to the standard document, given the incorporation of model article 21(1).
                  </paratext>
                </para>
                <para>
                  <paratext>
                    Companies backed by venture capital investment may wish to retain the flexibility to allot nil or partly paid shares as part of management or employee incentive arrangements. If so, it will be appropriate to include call, forfeiture and surrender provisions. In that case, consider excluding existing 
                    <internal.reference refid="a545934">article 27</internal.reference>
                     and 
                    <internal.reference refid="a913255">article 28</internal.reference>
                     of this standard document and replacing them with 
                    <link href="3-385-6951" style="ACTLinkPLCtoPLC">
                      <ital>Standard clause, Articles of association, Partly paid shares: calls on shares, lien and forfeiture</ital>
                    </link>
                    . It will be necessary both to adapt that standard clause to this document and to consider whether any consequential changes would be required to this document, such as (without limitation):
                  </paratext>
                </para>
                <list type="bulleted">
                  <list.item>
                    <para>
                      <paratext>
                        The exclusion of model article 21(1) (by including it in the list of exclusions set out in 
                        <internal.reference refid="a852328">article 2.2</internal.reference>
                        ); and
                      </paratext>
                    </para>
                  </list.item>
                  <list.item>
                    <para>
                      <paratext>
                        The manner in which dividends are to be allocated between shareholders (see 
                        <internal.reference refid="a890010">Drafting note, Allocation of dividends</internal.reference>
                        ).
                      </paratext>
                    </para>
                  </list.item>
                </list>
              </division>
            </drafting.note>
            <subclause1 id="a342989">
              <identifier>27.1</identifier>
              <para>
                <paratext>
                  The Company has a lien (the 
                  <bold>Company's Lien</bold>
                  ) over every Share which is registered in the name of a person indebted or under any liability to the Company, whether they are the sole registered holder of the Share or one of several joint holders, for all monies payable by them (either alone or jointly with any other person) to the Company, whether payable immediately or at some time in the future.
                </paratext>
              </para>
              <drafting.note id="a897585" jurisdiction="">
                <head align="left" preservecase="true">
                  <headtext>Extent of the Company's Lien</headtext>
                </head>
                <division id="a000155" level="1">
                  <para>
                    <paratext>
                      <internal.reference refid="a342989">Article 27.1</internal.reference>
                       extends the scope of the company's lien on its shares (and the associated power of sale) to any indebtedness or other liability of its shareholders to the company. As such, the lien will apply even to fully paid shares.
                    </paratext>
                  </para>
                  <para>
                    <paratext>
                      As a company is not obliged to take notice of any trust (
                      <link href="2-505-7721" style="ACTLinkPLCtoPLC">
                        <ital>section 126</ital>
                      </link>
                      <ital>, CA 2006</ital>
                      ), the lien only permits the company to exercise its rights against the registered holder of the shares (and not, for example, a beneficial owner).
                    </paratext>
                  </para>
                </division>
              </drafting.note>
            </subclause1>
            <subclause1 id="a569055">
              <identifier>27.2</identifier>
              <para>
                <paratext>The Company's Lien over a share:</paratext>
              </para>
              <subclause2 id="a844178">
                <identifier>(a)</identifier>
                <para>
                  <paratext>takes priority over any third party's interest in that Share; and</paratext>
                </para>
              </subclause2>
              <subclause2 id="a487649">
                <identifier>(b)</identifier>
                <para>
                  <paratext>extends to any dividend or other money payable by the Company in respect of that Share and (if the lien is enforced and the Share is sold by the Company) the proceeds of sale of that Share.</paratext>
                </para>
              </subclause2>
            </subclause1>
            <subclause1 id="a822815">
              <identifier>27.3</identifier>
              <para>
                <paratext>The Directors may at any time decide that a Share which is or would otherwise be subject to the Company's Lien shall not be subject to it, either wholly or in part.</paratext>
              </para>
            </subclause1>
          </clause>
          <clause id="a913255">
            <identifier>28.</identifier>
            <head align="left" preservecase="true">
              <headtext>Enforcement of the Company's Lien</headtext>
            </head>
            <subclause1 id="a630552">
              <identifier>28.1</identifier>
              <para>
                <paratext>
                  Subject to the provisions of this 
                  <internal.reference refid="a913255">article 28</internal.reference>
                  , if:
                </paratext>
              </para>
              <subclause2 id="a128530">
                <identifier>(a)</identifier>
                <para>
                  <paratext>a Lien Enforcement Notice has been given in respect of a Share; and</paratext>
                </para>
              </subclause2>
              <subclause2 id="a900176">
                <identifier>(b)</identifier>
                <para>
                  <paratext>the person to whom the notice was given has failed to comply with it,</paratext>
                </para>
              </subclause2>
              <para>
                <paratext>the Company may sell that Share in such manner as the Directors decide.</paratext>
              </para>
            </subclause1>
            <subclause1 id="a850814">
              <identifier>28.2</identifier>
              <para>
                <paratext>A Lien Enforcement Notice:</paratext>
              </para>
              <subclause2 id="a733320">
                <identifier>(a)</identifier>
                <para>
                  <paratext>may only be given in respect of a Share which is subject to the Company's Lien and in respect of a sum payable to the Company for which the due date for payment has passed;</paratext>
                </para>
              </subclause2>
              <subclause2 id="a85804">
                <identifier>(b)</identifier>
                <para>
                  <paratext>must specify the Share concerned;</paratext>
                </para>
              </subclause2>
              <subclause2 id="a1028352">
                <identifier>(c)</identifier>
                <para>
                  <paratext>must require payment of the sum within 14 clear days of the notice (that is, excluding the date on which the notice is given and the date on which that 14 day period expires);</paratext>
                </para>
              </subclause2>
              <subclause2 id="a466287">
                <identifier>(d)</identifier>
                <para>
                  <paratext>must be addressed either to the holder of the Share or to a transmittee of that holder; and</paratext>
                </para>
              </subclause2>
              <subclause2 id="a886903">
                <identifier>(e)</identifier>
                <para>
                  <paratext>must state the Company's intention to sell the Share if the notice is not complied with.</paratext>
                </para>
                <drafting.note id="a359473" jurisdiction="">
                  <head align="left" preservecase="true">
                    <headtext>Clear days and transmittees</headtext>
                  </head>
                  <division id="a472923" level="1">
                    <head align="left" preservecase="true">
                      <headtext>Clear days</headtext>
                    </head>
                    <para>
                      <paratext>
                        <internal.reference refid="a1028352">article 28.2(c)</internal.reference>
                         requires 14 clear days to have passed before a sum is considered due. The formulation of clear days in brackets reflects the approach taken by the Model Articles in relation to the calling of adjourned meetings. If the notice is given on day one, the 14 day period commences on day two and the sum will not be due until day 16. Practitioners may prefer to insert a definition of "clear days" into 
                        <internal.reference refid="a308401">article 1.1</internal.reference>
                         to avoid the need to repeat those words in brackets.
                      </paratext>
                    </para>
                  </division>
                  <division id="a729445" level="1">
                    <head align="left" preservecase="true">
                      <headtext>Transmittees</headtext>
                    </head>
                    <para>
                      <paratext>
                        For the purposes of 
                        <internal.reference refid="a466287">article 28.2(d)</internal.reference>
                        , a "transmittee" is defined by article 1 of the Model Articles as "a person entitled to a share by reason of the death or bankruptcy of a shareholder or otherwise by operation of law".
                      </paratext>
                    </para>
                  </division>
                </drafting.note>
              </subclause2>
            </subclause1>
            <subclause1 id="a398154">
              <identifier>28.3</identifier>
              <para>
                <paratext>
                  Where Shares are sold under this 
                  <internal.reference refid="a913255">article 28</internal.reference>
                  :
                </paratext>
              </para>
              <subclause2 id="a622461">
                <identifier>(a)</identifier>
                <para>
                  <paratext>the Directors may authorise any person to execute an instrument of transfer of the Shares to the purchaser or to a person nominated by the purchaser; and</paratext>
                </para>
              </subclause2>
              <subclause2 id="a683958">
                <identifier>(b)</identifier>
                <para>
                  <paratext>the transferee is not bound to see to the application of the consideration, and the transferee's title is not affected by any irregularity in or invalidity of the process leading to the sale.</paratext>
                </para>
              </subclause2>
            </subclause1>
            <subclause1 id="a968309">
              <identifier>28.4</identifier>
              <para>
                <paratext>The net proceeds of any such sale (after payment of the costs of sale and any other costs of enforcing the Company's Lien) must be applied:</paratext>
              </para>
              <subclause2 id="a380836">
                <identifier>(a)</identifier>
                <para>
                  <paratext>first, in payment of so much of the sum for which the lien exists as was payable at the date of the Lien Enforcement Notice; and</paratext>
                </para>
              </subclause2>
              <subclause2 id="a408835">
                <identifier>(b)</identifier>
                <para>
                  <paratext>second, to the person entitled to the Shares at the date of the sale, but only after the certificate for the Shares sold has been surrendered to the Company for cancellation, or an indemnity in a form reasonably satisfactory to the Directors has been given for any lost certificates, and subject to a lien equivalent to the Company's Lien over the Shares before the sale for any money payable by that person (or their estate or any joint holder of the shares) after the date of the Lien Enforcement Notice.</paratext>
                </para>
              </subclause2>
            </subclause1>
            <subclause1 id="a590417">
              <identifier>28.5</identifier>
              <para>
                <paratext>A statutory declaration by a Director or the company secretary that the declarant is a Director or the company secretary and that a Share has been sold to satisfy the Company's Lien on a specified date:</paratext>
              </para>
              <subclause2 id="a780090">
                <identifier>(a)</identifier>
                <para>
                  <paratext>is conclusive evidence of the facts stated in it as against all persons claiming to be entitled to the Share; and</paratext>
                </para>
              </subclause2>
              <subclause2 id="a679913">
                <identifier>(b)</identifier>
                <para>
                  <paratext>subject to compliance with any other formalities of transfer required by the Articles or by law, constitutes a good title to the Share.</paratext>
                </para>
              </subclause2>
            </subclause1>
          </clause>
          <head align="left" preservecase="true">
            <headtext>ADMINISTRATIVE ARRANGEMENTS</headtext>
          </head>
          <clause id="a200960">
            <identifier>29.</identifier>
            <head align="left" preservecase="true">
              <headtext>Means of communication to be used</headtext>
            </head>
            <subclause1 id="a557248">
              <identifier>29.1</identifier>
              <para>
                <paratext>
                  Subject to 
                  <internal.reference refid="a678785">article 29.3</internal.reference>
                  , any notice, document or other information shall be deemed received by the intended recipient:
                </paratext>
              </para>
              <subclause2 id="a514871">
                <identifier>(a)</identifier>
                <para>
                  <paratext>if delivered by hand, at the time the notice, document or other information is left at the address;</paratext>
                </para>
              </subclause2>
              <subclause2 id="a68179">
                <identifier>(b)</identifier>
                <para>
                  <paratext>
                    if sent by [pre-paid first class post or other] next working day delivery service [providing proof of [postage 
                    <bold>OR</bold>
                     delivery]], at 9.00 am on the [second] Business Day after posting;
                  </paratext>
                </para>
              </subclause2>
              <subclause2 id="a483871">
                <identifier>(c)</identifier>
                <para>
                  <paratext>
                    if sent by pre-paid airmail [providing proof of [postage 
                    <bold>OR</bold>
                     delivery]], at 9.00 am on the [fifth] Business Day after posting;
                  </paratext>
                </para>
              </subclause2>
              <subclause2 id="a806404">
                <identifier>(d)</identifier>
                <para>
                  <paratext>if sent by email or fax, at the time of transmission; or</paratext>
                </para>
              </subclause2>
              <subclause2 id="a241993">
                <identifier>(e)</identifier>
                <para>
                  <paratext>if sent or supplied by means of a website, when the material is first made available on the website or (if later) when the recipient receives (or is deemed to have received) notice of the fact that the material is available on the website.</paratext>
                </para>
              </subclause2>
            </subclause1>
            <subclause1 id="a948583">
              <identifier>29.2</identifier>
              <para>
                <paratext>
                  If deemed receipt under 
                  <internal.reference refid="a557248">article 29.1</internal.reference>
                   would occur outside business hours in the place of receipt, it shall be deferred until business hours resume. In this 
                  <internal.reference refid="a948583">article 29.2</internal.reference>
                  , business hours means 9.00 am to 5.00 pm Monday to Friday on a day that is not a public holiday in the place of receipt and all references to time are to local time in the place of receipt.
                </paratext>
              </para>
              <drafting.note id="a781192" jurisdiction="">
                <head align="left" preservecase="true">
                  <headtext>Service or delivery of notices</headtext>
                </head>
                <division id="a000156" level="1">
                  <para>
                    <paratext>
                      <link href="2-505-5213" style="ACTLinkPLCtoPLC">
                        <ital>Section 1147</ital>
                      </link>
                       of CA 2006 provides deemed times of delivery of documents or information sent by a company, according to the manner in which they are sent. That section is subject to anything contained in the articles and so 
                      <internal.reference refid="a557248">article 29.1</internal.reference>
                       of the standard document will override that section (the 48 hour deemed delivery time for documents and information sent by electronic means, in particular, seems unduly lengthy). The 
                      <link href="3-503-8567" style="ACTLinkPLCtoPLC">
                        <ital>CA 2006</ital>
                      </link>
                       does not provide equivalent deemed delivery times for documents or information sent to a company. 
                      <internal.reference refid="a557248">article 29.1</internal.reference>
                       applies also to deliveries to the company as well as to any notices served under the articles by one shareholder on the other.
                    </paratext>
                  </para>
                  <para>
                    <paratext>
                      Article 48 of the 
                      <link href="6-505-5094" style="ACTLinkPLCtoPLC">
                        <ital>Model Articles</ital>
                      </link>
                      , which is included in the standard document, permits (subject to anything else in the articles) the sending or supply of documents to be provided under 
                      <link href="3-503-8567" style="ACTLinkPLCtoPLC">
                        <ital>CA 2006</ital>
                      </link>
                       by or to the company in any way provided by the Act. This would include the sending or supply of documents by electronic means, such as email, or by means of website publication (subject to 
                      <internal.reference refid="a678785">article 29.3</internal.reference>
                      ).
                    </paratext>
                  </para>
                  <para>
                    <paratext>It may be that sending documents or information by publishing them on a website is not something that will be much used. However, this has not been excluded (other than in the case of the Transfer Notices to be served under the share transfer provisions of the standard document) in case it may need to be used.</paratext>
                  </para>
                  <para>
                    <paratext>
                      Note that there are additional formalities to be followed under 
                      <link href="5-505-8045" style="ACTLinkPLCtoPLC">
                        <ital>Schedule 5</ital>
                      </link>
                       of CA 2006 in order for a company to send information or documents by electronic means, including by the use of a website:
                    </paratext>
                  </para>
                  <list type="bulleted">
                    <list.item>
                      <para>
                        <paratext>If a company wants to send communications in electronic form, such as by email, it may only do so to persons that have agreed (either generally or specifically) that the document or information may be sent or supplied in that form, and such documents or information may only be sent or supplied to an email address specified for the purpose by the intended recipient.</paratext>
                      </para>
                    </list.item>
                    <list.item>
                      <para>
                        <paratext>Each of the shareholders will also need to be asked individually by the company to agree that the company may provide them with documents or information by means of a website. If a shareholder does not respond within 28 days of the request, the shareholder will be deemed to have agreed to the use of a website.</paratext>
                      </para>
                    </list.item>
                    <list.item>
                      <para>
                        <paratext>If the company sends any documents to the members by means of website publication, it must notify them of the presence of the document or information on the website, and provide details of how to access the document or information.</paratext>
                      </para>
                    </list.item>
                  </list>
                  <para>
                    <paratext>
                      For more information, see 
                      <link href="1-211-3085" style="ACTLinkPLCtoPLC">
                        <ital>Checklist, Electronic communications</ital>
                      </link>
                      .
                    </paratext>
                  </para>
                </division>
              </drafting.note>
            </subclause1>
            <subclause1 id="a678785">
              <identifier>29.3</identifier>
              <para>
                <paratext>To prove service, it is sufficient to prove that:</paratext>
              </para>
              <subclause2 id="a604342">
                <identifier>(a)</identifier>
                <para>
                  <paratext>if delivered by hand, the notice was delivered to the correct address; or</paratext>
                </para>
              </subclause2>
              <subclause2 id="a228316">
                <identifier>(b)</identifier>
                <para>
                  <paratext>if sent by post [or by airmail], the envelope containing the notice was properly addressed, paid for and posted;</paratext>
                </para>
              </subclause2>
              <subclause2 id="a904794">
                <identifier>(c)</identifier>
                <para>
                  <paratext>if sent by fax, a transmission report was received confirming that the notice was successfully transmitted to the correct fax number; or</paratext>
                </para>
              </subclause2>
              <subclause2 id="a1030703">
                <identifier>(d)</identifier>
                <para>
                  <paratext>if sent by email, the notice was properly addressed and sent to the email address of the recipient.</paratext>
                </para>
              </subclause2>
            </subclause1>
            <subclause1 condition="optional" id="a151543">
              <identifier>29.4</identifier>
              <para>
                <paratext>A Transfer Notice (or Deemed Transfer Notice) may not be served or delivered in electronic form (other than by fax), or by means of a website.</paratext>
              </para>
              <drafting.note id="a837212" jurisdiction="">
                <head align="left" preservecase="true">
                  <headtext>Service and delivery of notices and documents under transfer articles</headtext>
                </head>
                <division id="a000157" level="1">
                  <para>
                    <paratext>
                      In respect of a proposed or deemed transfer of shares, a more formal procedure may be preferred for the service or delivery of notices to the use of email. In such cases, the definition of 
                      <internal.reference refid="a825560">Writing or written</internal.reference>
                      , together with 
                      <internal.reference refid="a151543">article 29.4</internal.reference>
                      , provide that electronic forms of communication (other than by fax) are specifically excluded for the purposes of serving the various notices that trigger the transfer procedures under the articles. If electronic forms of communication are also to be excluded for the purposes of any further notices required to be served to complete such procedures, then this article and the definition of "Writing or written" should be amended accordingly.
                    </paratext>
                  </para>
                  <para>
                    <paratext>
                      Further consideration should be given to whether it would be appropriate for service of any other documents in electronic form (or by electronic means), where such document requires the recipient to respond within a particular time period, or the contents of the document will have a material bearing on that recipient. For example, 
                      <internal.reference refid="a707506">article 19.9</internal.reference>
                       requires an offeree of new shares to respond with their acceptance within a prescribed period.
                    </paratext>
                  </para>
                </division>
              </drafting.note>
            </subclause1>
            <subclause1 id="a333010">
              <identifier>29.5</identifier>
              <para>
                <paratext>In proving that any notice, document or information was properly addressed, it will suffice to show that the notice, document or information was addressed to an address permitted for the purpose by the Act.</paratext>
              </para>
            </subclause1>
          </clause>
          <clause id="a934506">
            <identifier>30.</identifier>
            <head align="left" preservecase="true">
              <headtext>Indemnity and insurance</headtext>
            </head>
            <subclause1 id="a646111">
              <identifier>30.1</identifier>
              <para>
                <paratext>
                  Subject to 
                  <internal.reference refid="a748879">article 30.2</internal.reference>
                  , but without prejudice to any indemnity to which a Relevant Officer is otherwise entitled:
                </paratext>
              </para>
              <subclause2 id="a511299">
                <identifier>(a)</identifier>
                <para>
                  <paratext>each Relevant Officer shall be indemnified out of the Company's assets against all costs, charges, losses, expenses and liabilities incurred by them as a Relevant Officer:</paratext>
                </para>
                <subclause3 id="a650156">
                  <identifier>(i)</identifier>
                  <para>
                    <paratext>in the actual or purported execution and/or discharge of their duties, or in relation thereto [; and]</paratext>
                  </para>
                </subclause3>
                <subclause3 condition="optional" id="a233584">
                  <identifier>(ii)</identifier>
                  <para>
                    <paratext>in relation to the Company's [(or other Group Company's)] activities as trustee of an occupational pension scheme (as defined in section 235(6) of the Act),</paratext>
                  </para>
                </subclause3>
                <para>
                  <paratext>including (in each case) any liability incurred by them in defending any civil or criminal proceedings, in which judgment is given in their favour or in which they are acquitted, or the proceedings are otherwise disposed of without any finding or admission of any material breach of duty on their part, or in connection with any application in which the court grants them, in their capacity as a Relevant Officer, relief from liability for negligence, default, breach of duty or breach of trust in relation to the Company's (or other Group Company's) affairs; and</paratext>
                </para>
              </subclause2>
              <subclause2 id="a657526">
                <identifier>(b)</identifier>
                <para>
                  <paratext>
                    the Company may provide any Relevant Officer with funds to meet expenditure incurred or to be incurred by them in connection with any proceedings or application referred to in 
                    <internal.reference refid="a646111">article 30.1</internal.reference>
                     and otherwise may take any action to enable such Relevant Officer to avoid incurring such expenditure.
                  </paratext>
                </para>
                <drafting.note id="a152045" jurisdiction="">
                  <head align="left" preservecase="true">
                    <headtext>Directors' indemnity</headtext>
                  </head>
                  <division id="a000158" level="1">
                    <para>
                      <paratext>
                        <internal.reference refid="a934506">article 30</internal.reference>
                         extends the provisions of 
                        <link href="6-505-5094" style="ACTLinkPLCtoPLC">
                          <ital>model article 52</ital>
                        </link>
                         by:
                      </paratext>
                    </para>
                    <list type="bulleted">
                      <list.item>
                        <para>
                          <paratext>
                            Removing the discretion afforded to a company to indemnify its directors. Model Article 52 states that "a relevant director ... may be indemnified". 
                            <internal.reference refid="a934506">article 30</internal.reference>
                             states that relevant officers "shall be indemnified".
                          </paratext>
                        </para>
                      </list.item>
                      <list.item>
                        <para>
                          <paratext>
                            Providing (in 
                            <internal.reference refid="a657526">article 30.1(b)</internal.reference>
                            ) that the company can fund a director's expenditure in connection with any proceedings indemnified under 
                            <internal.reference refid="a511299">article 30.1(a)</internal.reference>
                            . Note that a company is not obliged to do so (unlike the indemnity in 
                            <internal.reference refid="a511299">article 30.1(a)</internal.reference>
                            ).
                          </paratext>
                        </para>
                      </list.item>
                      <list.item>
                        <para>
                          <paratext>Extending the category of persons who are covered to "other officers" (and former officers) of the company.</paratext>
                        </para>
                      </list.item>
                    </list>
                    <para>
                      <paratext>
                        The provisions of the 
                        <link href="6-505-5094" style="ACTLinkPLCtoPLC">
                          <ital>Model Articles</ital>
                        </link>
                         on indemnifying directors of any associated companies have been replaced with references to 'Group Companies', for consistency with the rest of these Articles.
                      </paratext>
                    </para>
                    <para>
                      <paratext>
                        The directors should consider whether they are happy to rely solely on an indemnity provision in the Articles, as there is uncertainty about a director's ability to enforce a provision such as this in their own favour (the Articles form a binding contract between the company and its members but a director is not party to this arrangement). Each director may want to enter into some form of separate contractual indemnity with the company. 
                        <internal.reference refid="a646111">article 30.1</internal.reference>
                         provides that the indemnity in the Articles does not prejudice any such separate contractual indemnity.
                      </paratext>
                    </para>
                  </division>
                </drafting.note>
              </subclause2>
            </subclause1>
            <subclause1 id="a748879">
              <identifier>30.2</identifier>
              <para>
                <paratext>
                  This 
                  <internal.reference refid="a934506">article 30</internal.reference>
                   does not authorise any indemnity which would be prohibited or rendered void by any provision of the Act or by any other provision of law.
                </paratext>
              </para>
              <drafting.note id="a903774" jurisdiction="">
                <head align="left" preservecase="true">
                  <headtext>Limitations on the indemnity</headtext>
                </head>
                <division id="a000159" level="1">
                  <para>
                    <paratext>
                      The terms of any indemnity in the Articles will be subject to the limitations imposed by 
                      <link href="8-505-5408" style="ACTLinkPLCtoPLC">
                        <ital>sections 234</ital>
                      </link>
                       and 
                      <link href="2-505-5411" style="ACTLinkPLCtoPLC">
                        <bold>
                          <ital>235</ital>
                        </bold>
                      </link>
                       of the CA 2006, which constitute exceptions to the general prohibition (
                      <link href="1-505-5218" style="ACTLinkPLCtoPLC">
                        <ital>section 232(2)</ital>
                      </link>
                      <ital>, CA 2006</ital>
                      ) on companies indemnifying directors for any negligence, default, breach of duty or trust. 
                      <internal.reference refid="a748879">article 30.2</internal.reference>
                       seeks to ensure that the indemnity does not exceed the limitations of those two sections. For more information on the extent to which indemnities may be granted under the 
                      <link href="3-503-8567" style="ACTLinkPLCtoPLC">
                        <ital>CA 2006</ital>
                      </link>
                      , see 
                      <link href="5-203-0413" style="ACTLinkPLCtoPLC">
                        <ital>Practice note, Directors' liabilities: Companies Act 2006</ital>
                      </link>
                      .
                    </paratext>
                  </para>
                </division>
              </drafting.note>
            </subclause1>
            <subclause1 id="a334495">
              <identifier>30.3</identifier>
              <para>
                <paratext>The Directors may decide to purchase and maintain insurance, at the expense of the Company, for the benefit of any Relevant Officer in respect of any Relevant Loss.</paratext>
              </para>
              <drafting.note id="a293800" jurisdiction="">
                <head align="left" preservecase="true">
                  <headtext>Insurance</headtext>
                </head>
                <division id="a000160" level="1">
                  <para>
                    <paratext>
                      <link href="9-505-5295" style="ACTLinkPLCtoPLC">
                        <ital>Section 233</ital>
                      </link>
                       of the CA 2006 constitutes a further exception to the general prohibition of 
                      <link href="1-505-5218" style="ACTLinkPLCtoPLC">
                        <ital>section 232(2)</ital>
                      </link>
                       of the CA 2006 and allows a company to purchase insurance for the benefit of its directors. 
                      <internal.reference refid="a334495">article 30.3</internal.reference>
                       extends 
                      <link href="6-505-5094" style="ACTLinkPLCtoPLC">
                        <ital>model article 53</ital>
                      </link>
                       (which has been excluded in the standard document) to other officers (and former officers), as is also the case in the indemnity provisions.
                    </paratext>
                  </para>
                </division>
              </drafting.note>
            </subclause1>
            <subclause1 id="a772429">
              <identifier>30.4</identifier>
              <para>
                <paratext>
                  In this 
                  <internal.reference refid="a934506">article 30</internal.reference>
                  :
                </paratext>
              </para>
              <subclause2 id="a458626">
                <identifier>(a)</identifier>
                <para>
                  <paratext>
                    <defn.term>Relevant Loss</defn.term>
                     means any loss or liability which has been or may be incurred by a Relevant Officer in connection with that Relevant Officer's duties or powers in relation to the Company (or other Group Company) or any pension fund [or employees' share scheme] of the Company (or other Group Company); and
                  </paratext>
                </para>
              </subclause2>
              <subclause2 id="a665616">
                <identifier>(b)</identifier>
                <para>
                  <paratext>
                    <defn.term>Relevant Officer</defn.term>
                     means any director or other officer [or former director or other officer] of any Group Company [(including any company which is a trustee of an occupational pension scheme (as defined by section 235(6) of the Act)] [, but excluding in each case any person engaged by a Group Company as auditor (whether or not they are also a director or other officer), to the extent they act in their capacity as auditor].
                  </paratext>
                </para>
                <drafting.note id="a988205" jurisdiction="">
                  <head align="left" preservecase="true">
                    <headtext>Relevant Officers</headtext>
                  </head>
                  <division id="a000161" level="1">
                    <para>
                      <paratext>
                        An 'officer' is defined by 
                        <link href="0-505-5407" style="ACTLinkPLCtoPLC">
                          <ital>section 1173(1)</ital>
                        </link>
                         of the CA 2006 as including any director, manager or secretary. The parties may wish to restrict the definition of 'Relevant Officer' in 
                        <internal.reference refid="a665616">article 30.4(b)</internal.reference>
                         to directors and, where relevant, secretaries (that is, excluding managers).
                      </paratext>
                    </para>
                    <para>
                      <paratext>
                        Reference in 
                        <internal.reference refid="a665616">article 30.4(b)</internal.reference>
                         to a trustee of an occupational pension scheme permits the indemnity of 
                        <internal.reference refid="a646111">article 30.1</internal.reference>
                         to extend to those matters which may be indemnified under 
                        <link href="8-505-5408" style="ACTLinkPLCtoPLC">
                          <ital>section 234</ital>
                        </link>
                         of the CA 2006. If 
                        <internal.reference refid="a233584">article 30.1(a)(ii)</internal.reference>
                         is included, the words in square brackets in 
                        <internal.reference refid="a665616">article 30.4(b)</internal.reference>
                         relating to occupational pension schemes should also be included.
                      </paratext>
                    </para>
                  </division>
                </drafting.note>
              </subclause2>
            </subclause1>
          </clause>
        </operative>
        <disclosure.schedule>
          <schedule id="a837787">
            <identifier>Schedule 1</identifier>
            <head align="left" preservecase="true">
              <headtext>[Model Articles]</headtext>
            </head>
            <drafting.note id="a158003" jurisdiction="">
              <head align="left" preservecase="true">
                <headtext>Schedule: Model Articles</headtext>
              </head>
              <division id="a000162" level="1">
                <para>
                  <paratext>
                    <internal.reference refid="a328943">Article 2.1</internal.reference>
                     includes reference to a Schedule to permit a copy of the 
                    <link href="https://uk.practicallaw.thomsonreuters.com/Document/IB686D280D6FA11DD8F32D38F0A964147/View/FullText.html?navId=FCB7E321E3B44DD4A7BDD69FE077382D&amp;amp;comp=pluk&amp;amp;transitionType=Default&amp;amp;contextData=(sc.Default)" style="ACTLinkURL">
                      <ital>Model Articles</ital>
                    </link>
                     to be appended to the set of Articles filed at Companies House under 
                    <link href="https://uk.practicallaw.thomsonreuters.com/Document/I5BAC67E18B3311DBA1DB80994EEB92DE/View/FullText.html?navId=FCB7E321E3B44DD4A7BDD69FE077382D&amp;amp;comp=pluk&amp;amp;transitionType=Default&amp;amp;contextData=(sc.Default)" style="ACTLinkURL">
                      <ital>section 26</ital>
                    </link>
                     of the CA 2006.
                  </paratext>
                </para>
              </division>
            </drafting.note>
          </schedule>
        </disclosure.schedule>
      </body>
      <rev.history>
        <rev.item>
          <rev.title>"Termination Date"</rev.title>
          <rev.date>20181207</rev.date>
          <rev.author>Practical Law Corporate</rev.author>
          <rev.body>
            <division id="a000001" level="1">
              <para>
                <paratext>Amending paragraph (a) of definition of Termination Date. Replacing "the date on which such notice expires" with "the date on which notice of termination was served".</paratext>
              </para>
            </division>
          </rev.body>
        </rev.item>
        <rev.item>
          <rev.title>Companies Act 2006 (Amendment of Part 18) Regulations 2015 (SI 2015/0532)</rev.title>
          <rev.date>20150406</rev.date>
          <rev.author>Practical Law Corporate</rev.author>
          <rev.body>
            <division id="a000002" level="1">
              <para>
                <paratext>
                  We have updated Article 15.1 and the related drafting note as a result of implementation of the Companies Act 2006 (Amendment of Part 18) Regulations 2015 (
                  <ital>SI 2015/0532</ital>
                  ).
                </paratext>
              </para>
            </division>
          </rev.body>
        </rev.item>
      </rev.history>
    </standard.doc>
  </n-docbody>
</n-document>
</file>

<file path=customXml/itemProps1.xml><?xml version="1.0" encoding="utf-8"?>
<ds:datastoreItem xmlns:ds="http://schemas.openxmlformats.org/officeDocument/2006/customXml" ds:itemID="{5092EC64-46DB-4CC0-B016-E06DDD13A7B1}">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3.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4.xml><?xml version="1.0" encoding="utf-8"?>
<ds:datastoreItem xmlns:ds="http://schemas.openxmlformats.org/officeDocument/2006/customXml" ds:itemID="{BE086BDB-E3E9-4C9E-8CC2-E67CE32C3AEF}">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10271</Words>
  <Characters>58547</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Articles of Association compared with Articles of Association-1</dc:title>
  <cp:lastModifiedBy>David Moulton</cp:lastModifiedBy>
  <cp:revision>3</cp:revision>
  <dcterms:created xsi:type="dcterms:W3CDTF">2023-09-25T12:58:00Z</dcterms:created>
  <dcterms:modified xsi:type="dcterms:W3CDTF">2023-09-25T13:00:00Z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p_dc_comparedocs">
    <vt:lpwstr>5.1.700.3 _tc</vt:lpwstr>
  </property>
</Properties>
</file>