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6"/>
        </w:rPr>
        <w:t>Vendor Intelligence and Performance System: A Machine Learning and Resilient Persistence Framework for Automated Invoice Audit and Vendor Risk Assessment</w:t>
      </w:r>
    </w:p>
    <w:tbl>
      <w:tblPr>
        <w:tblW w:type="auto" w:w="0"/>
        <w:jc w:val="center"/>
        <w:tblLook w:firstColumn="1" w:firstRow="1" w:lastColumn="0" w:lastRow="0" w:noHBand="0" w:noVBand="1" w:val="04A0"/>
      </w:tblPr>
      <w:tblGrid>
        <w:gridCol w:w="2340"/>
        <w:gridCol w:w="2340"/>
        <w:gridCol w:w="2340"/>
        <w:gridCol w:w="2340"/>
      </w:tblGrid>
      <w:tr>
        <w:tc>
          <w:tcPr>
            <w:tcW w:type="dxa" w:w="2340"/>
          </w:tcPr>
          <w:p>
            <w:pPr>
              <w:spacing w:line="252" w:lineRule="auto" w:after="40"/>
              <w:jc w:val="center"/>
            </w:pPr>
            <w:r>
              <w:rPr>
                <w:b/>
                <w:sz w:val="19"/>
              </w:rPr>
              <w:t>Smith Aherkar</w:t>
              <w:br/>
            </w:r>
            <w:r>
              <w:rPr>
                <w:sz w:val="17"/>
              </w:rPr>
              <w:t>Dept. of CSE (AI)</w:t>
              <w:br/>
              <w:t>G. H. Raisoni College of</w:t>
              <w:br/>
              <w:t>Engg. &amp; Management</w:t>
              <w:br/>
              <w:t>Pune, India</w:t>
              <w:br/>
              <w:t>smith.aherkar@ghrcem.raisoni.net</w:t>
            </w:r>
          </w:p>
        </w:tc>
        <w:tc>
          <w:tcPr>
            <w:tcW w:type="dxa" w:w="2340"/>
          </w:tcPr>
          <w:p>
            <w:pPr>
              <w:spacing w:line="252" w:lineRule="auto" w:after="40"/>
              <w:jc w:val="center"/>
            </w:pPr>
            <w:r>
              <w:rPr>
                <w:b/>
                <w:sz w:val="19"/>
              </w:rPr>
              <w:t>Shreyas Gaikwad</w:t>
              <w:br/>
            </w:r>
            <w:r>
              <w:rPr>
                <w:sz w:val="17"/>
              </w:rPr>
              <w:t>Dept. of CSE (AI)</w:t>
              <w:br/>
              <w:t>G. H. Raisoni College of</w:t>
              <w:br/>
              <w:t>Engg. &amp; Management</w:t>
              <w:br/>
              <w:t>Pune, India</w:t>
              <w:br/>
              <w:t>shreyas.gaikwad@ghrcem.raisoni.net</w:t>
            </w:r>
          </w:p>
        </w:tc>
        <w:tc>
          <w:tcPr>
            <w:tcW w:type="dxa" w:w="2340"/>
          </w:tcPr>
          <w:p>
            <w:pPr>
              <w:spacing w:line="252" w:lineRule="auto" w:after="40"/>
              <w:jc w:val="center"/>
            </w:pPr>
            <w:r>
              <w:rPr>
                <w:b/>
                <w:sz w:val="19"/>
              </w:rPr>
              <w:t>Subhash Bishnoi</w:t>
              <w:br/>
            </w:r>
            <w:r>
              <w:rPr>
                <w:sz w:val="17"/>
              </w:rPr>
              <w:t>Dept. of CSE (AI)</w:t>
              <w:br/>
              <w:t>G. H. Raisoni College of</w:t>
              <w:br/>
              <w:t>Engg. &amp; Management</w:t>
              <w:br/>
              <w:t>Pune, India</w:t>
              <w:br/>
              <w:t>subhash.bishnoi@ghrcem.raisoni.net</w:t>
            </w:r>
          </w:p>
        </w:tc>
        <w:tc>
          <w:tcPr>
            <w:tcW w:type="dxa" w:w="2340"/>
          </w:tcPr>
          <w:p>
            <w:pPr>
              <w:spacing w:line="252" w:lineRule="auto" w:after="40"/>
              <w:jc w:val="center"/>
            </w:pPr>
            <w:r>
              <w:rPr>
                <w:b/>
                <w:sz w:val="19"/>
              </w:rPr>
              <w:t>Prof. Dakshta Jain (Guide)</w:t>
              <w:br/>
            </w:r>
            <w:r>
              <w:rPr>
                <w:sz w:val="17"/>
              </w:rPr>
              <w:t>Dept. of CSE (AI)</w:t>
              <w:br/>
              <w:t>G. H. Raisoni College of</w:t>
              <w:br/>
              <w:t>Engg. &amp; Management</w:t>
              <w:br/>
              <w:t>Pune, India</w:t>
              <w:br/>
              <w:t>dakshta.jain@raisoni.net</w:t>
            </w:r>
          </w:p>
        </w:tc>
      </w:tr>
    </w:tbl>
    <w:p>
      <w:pPr>
        <w:spacing w:after="160"/>
      </w:pPr>
    </w:p>
    <w:p>
      <w:pPr>
        <w:spacing w:after="80"/>
        <w:jc w:val="both"/>
      </w:pPr>
      <w:r>
        <w:rPr>
          <w:b/>
          <w:i/>
        </w:rPr>
        <w:t xml:space="preserve">Abstract— </w:t>
      </w:r>
      <w:r>
        <w:rPr>
          <w:i/>
        </w:rPr>
        <w:t>Accounts-payable teams that reconcile purchase orders, goods receipts, and vendor invoices by hand or through static threshold rules routinely struggle with overbilling, quantity mismatches, and inflated freight surcharges. Furthermore, enterprise audit workflows require robust batch ingestion, deduplication, and zero-downtime persistence to handle fluctuating commercial invoice loads. This paper presents the Vendor Intelligence and Performance System (VIPS)—a production-ready audit and analytics platform that unites classical machine learning, catalog purchase-order verification, and deterministic SQL analytics within an asynchronous FastAPI microservice architecture. A 300-tree RandomForestClassifier, trained on five standardized invoice and purchase-order features via StandardScaler, separates CLEARED from FLAGGED invoices and yields a calibrated risk probability; a companion Ordinary Least Squares (OLS) regressor (Freight ≈ 0.005015 × Invoice$ + 5.008, clamped to [0, Invoice$]) establishes an objective shipping baseline to catch hidden freight leakage. For bulk processing, an asynchronous batch engine utilizes whole-file SHA-256 deduplication hashing, bulk purchase-order pre-fetching, 100-row transactional chunking, and line-by-line fault isolation logging to ingest multi-thousand-row CSV submissions without crashing. An in-memory intent-routed analytics engine resolves 17 deterministic SQL queries with sub-15ms latency, incorporating sample-size confidence guards (&lt;5 invoices) to prevent premature statistical conclusions. The system persists audit history via SQLAlchemy with an automatic failover from PostgreSQL to an embedded SQLite database, ensuring continuous operation during database connectivity disruptions. Deployed with a responsive single-page Manifest Desk UI, VIPS logs sub-2ms model inference, with feature importance analysis confirming that authorized purchase-order monetary value (29.21%) and quantity (20.53%) govern nearly half of all classification decisions. The result is a resilient, auditable platform that keeps human finance reviewers firmly in charge of final payment approvals.</w:t>
      </w:r>
    </w:p>
    <w:p>
      <w:pPr>
        <w:spacing w:after="240"/>
        <w:jc w:val="both"/>
      </w:pPr>
      <w:r>
        <w:rPr>
          <w:b/>
          <w:i/>
        </w:rPr>
        <w:t xml:space="preserve">Keywords— </w:t>
      </w:r>
      <w:r>
        <w:rPr>
          <w:i/>
        </w:rPr>
        <w:t>Invoice Audit Automation, Random Forest Classification, Freight Cost Estimation, Asynchronous Batch Processing, Cryptographic Deduplication, Dual-Database Resilience, SQLite Failover, Deterministic SQL Analytics, FastAPI Microservices.</w:t>
      </w:r>
    </w:p>
    <w:p>
      <w:pPr>
        <w:spacing w:before="240" w:after="80"/>
      </w:pPr>
      <w:r>
        <w:rPr>
          <w:rFonts w:ascii="Times New Roman" w:hAnsi="Times New Roman"/>
          <w:b/>
          <w:sz w:val="22"/>
        </w:rPr>
        <w:t>I. INTRODUCTION</w:t>
      </w:r>
    </w:p>
    <w:p>
      <w:pPr>
        <w:spacing w:line="276" w:lineRule="auto" w:after="80"/>
        <w:jc w:val="both"/>
      </w:pPr>
      <w:r>
        <w:rPr>
          <w:rFonts w:ascii="Times New Roman" w:hAnsi="Times New Roman"/>
          <w:sz w:val="20"/>
        </w:rPr>
        <w:t>Every organization that purchases goods from outside suppliers must verify incoming vendor invoices against authorized purchase orders (POs) and physical receiving logs before disbursing funds. In standard accounting, this reconciliation is known as three-way matching. In many commercial enterprises, this audit is performed either manually using spreadsheets or through static threshold rules configured within legacy Enterprise Resource Planning (ERP) databases.</w:t>
      </w:r>
    </w:p>
    <w:p>
      <w:pPr>
        <w:spacing w:line="276" w:lineRule="auto" w:after="80"/>
        <w:jc w:val="both"/>
      </w:pPr>
      <w:r>
        <w:rPr>
          <w:rFonts w:ascii="Times New Roman" w:hAnsi="Times New Roman"/>
          <w:sz w:val="20"/>
        </w:rPr>
        <w:t>Both approaches exhibit severe operational bottlenecks as transaction volume grows. Manual cross-examination of quantities, unit rates, and shipping fees across thousands of invoices is slow, labor-intensive, and prone to reviewer inconsistency. Static heuristic thresholds are brittle: loose tolerances fail to catch subtle non-linear overbilling across multiple line items, while strict tolerances trigger excessive false alarms that cause audit staff to bypass automated checks. Freight and logistics charges represent a particularly prevalent blind spot, as shipping fees are rarely accompanied by objective contractual baselines and are frequently accepted on vendor trust.</w:t>
      </w:r>
    </w:p>
    <w:p>
      <w:pPr>
        <w:spacing w:line="276" w:lineRule="auto" w:after="80"/>
        <w:jc w:val="both"/>
      </w:pPr>
      <w:r>
        <w:rPr>
          <w:rFonts w:ascii="Times New Roman" w:hAnsi="Times New Roman"/>
          <w:sz w:val="20"/>
        </w:rPr>
        <w:t>To resolve these operational challenges, this paper presents the Vendor Intelligence and Performance System (VIPS). VIPS integrates a dual-model machine learning core (RandomForest classification and OLS freight regression), an automated catalog purchase-order verification engine, an asynchronous batch ingestion processor with whole-file SHA-256 deduplication, an ultra-fast 17-query deterministic SQL analytics assistant, and a resilient dual-database persistence layer that automatically switches from PostgreSQL to an embedded SQLite database upon connection failure. By combining probabilistic anomaly triage with deterministic database analytics, VIPS empowers human reviewers with transparent evidence while eliminating manual auditing friction.</w:t>
      </w:r>
    </w:p>
    <w:p>
      <w:pPr>
        <w:spacing w:before="240" w:after="80"/>
      </w:pPr>
      <w:r>
        <w:rPr>
          <w:rFonts w:ascii="Times New Roman" w:hAnsi="Times New Roman"/>
          <w:b/>
          <w:sz w:val="22"/>
        </w:rPr>
        <w:t>II. RESEARCH GAP ANALYSIS</w:t>
      </w:r>
    </w:p>
    <w:p>
      <w:pPr>
        <w:spacing w:line="276" w:lineRule="auto" w:after="80"/>
        <w:jc w:val="both"/>
      </w:pPr>
      <w:r>
        <w:rPr>
          <w:rFonts w:ascii="Times New Roman" w:hAnsi="Times New Roman"/>
          <w:sz w:val="20"/>
        </w:rPr>
        <w:t>Commercial accounts-payable solutions and prior academic frameworks typically suffer from three major design gaps:</w:t>
      </w:r>
    </w:p>
    <w:p>
      <w:pPr>
        <w:spacing w:line="276" w:lineRule="auto" w:after="80"/>
        <w:jc w:val="both"/>
      </w:pPr>
      <w:r>
        <w:rPr>
          <w:rFonts w:ascii="Times New Roman" w:hAnsi="Times New Roman"/>
          <w:sz w:val="20"/>
        </w:rPr>
        <w:t>1) High False-Positive Rates in Rule-Based Matching: Static threshold engines evaluate fields in isolation and cannot model complex multi-feature relationships between order volume, total invoice value, and shipping surcharges. Furneaux and Wade [2] demonstrated that purely heuristic verification routines produce false-positive rates exceeding 35% in enterprise settings, leading to alert fatigue.</w:t>
      </w:r>
    </w:p>
    <w:p>
      <w:pPr>
        <w:spacing w:line="276" w:lineRule="auto" w:after="80"/>
        <w:jc w:val="both"/>
      </w:pPr>
      <w:r>
        <w:rPr>
          <w:rFonts w:ascii="Times New Roman" w:hAnsi="Times New Roman"/>
          <w:sz w:val="20"/>
        </w:rPr>
        <w:t>2) Opaque Scoring Systems and Hallucination Risks: Many modern machine learning prototypes apply black-box deep networks that output abstract risk scores without auditable arithmetic explanations. Furthermore, attempting to use ungrounded Large Language Models (LLMs) to inspect invoices introduces severe risks of numerical hallucination and non-deterministic calculations, which are unacceptable in regulatory financial audits [6].</w:t>
      </w:r>
    </w:p>
    <w:p>
      <w:pPr>
        <w:spacing w:line="276" w:lineRule="auto" w:after="80"/>
        <w:jc w:val="both"/>
      </w:pPr>
      <w:r>
        <w:rPr>
          <w:rFonts w:ascii="Times New Roman" w:hAnsi="Times New Roman"/>
          <w:sz w:val="20"/>
        </w:rPr>
        <w:t>3) Batch Ingestion Fragility and Storage Single-Points-of-Failure: Real-world accounts-payable operations receive invoices in bulk CSV submissions. Existing systems frequently lack cryptographic deduplication (leading to redundant inference and database bloat), fail entirely when encountering a single malformed row in a large file, and crash when local or cloud database network drops occur.</w:t>
      </w:r>
    </w:p>
    <w:p>
      <w:pPr>
        <w:spacing w:line="276" w:lineRule="auto" w:after="80"/>
        <w:jc w:val="both"/>
      </w:pPr>
      <w:r>
        <w:rPr>
          <w:rFonts w:ascii="Times New Roman" w:hAnsi="Times New Roman"/>
          <w:sz w:val="20"/>
        </w:rPr>
        <w:t>VIPS addresses these gaps by coupling calibrated ensemble inference with automated catalog PO resolution, 100-row chunked batch processing with row error isolation, deterministic SQL analytics, and automatic PostgreSQL/SQLite failover.</w:t>
      </w:r>
    </w:p>
    <w:p>
      <w:pPr>
        <w:spacing w:before="240" w:after="80"/>
      </w:pPr>
      <w:r>
        <w:rPr>
          <w:rFonts w:ascii="Times New Roman" w:hAnsi="Times New Roman"/>
          <w:b/>
          <w:sz w:val="22"/>
        </w:rPr>
        <w:t>III. LITERATURE REVIEW</w:t>
      </w:r>
    </w:p>
    <w:p>
      <w:pPr>
        <w:spacing w:line="276" w:lineRule="auto" w:after="80"/>
        <w:jc w:val="both"/>
      </w:pPr>
      <w:r>
        <w:rPr>
          <w:rFonts w:ascii="Times New Roman" w:hAnsi="Times New Roman"/>
          <w:sz w:val="20"/>
        </w:rPr>
        <w:t>The application of supervised ensemble learning to financial and procurement auditing is well established. Breiman [1] demonstrated that bagged decision trees (Random Forests) exhibit exceptional generalization over tabular datasets containing non-linear feature interactions and skewed financial distributions. This justifies our selection of a 300-tree Random Forest for invoice risk classification over single decision trees or linear classifiers.</w:t>
      </w:r>
    </w:p>
    <w:p>
      <w:pPr>
        <w:spacing w:line="276" w:lineRule="auto" w:after="80"/>
        <w:jc w:val="both"/>
      </w:pPr>
      <w:r>
        <w:rPr>
          <w:rFonts w:ascii="Times New Roman" w:hAnsi="Times New Roman"/>
          <w:sz w:val="20"/>
        </w:rPr>
        <w:t>In the domain of conversational analytics, Ji et al. [6] surveyed hallucination in natural language generation, demonstrating that ungrounded generative systems readily produce plausible yet inaccurate figures. Lewis et al. [7] formulated Retrieval-Augmented Generation (RAG) to anchor conversational responses in retrieved evidence. VIPS operationalizes this principle by anchoring the analytics assistant entirely in 17 pre-defined, deterministic SQLAlchemy analytical routines rather than unconstrained language model generation. Pedregosa et al. [3] and Fawcett [5] provide the foundational scikit-learn algorithms and ROC evaluation methodologies used for model execution. Tiwari and Kumar [4] evaluated asynchronous Python microframeworks, demonstrating that ASGI architectures such as FastAPI deliver superior throughput and lower latency for machine learning serving compared to synchronous WSGI frameworks. Table I outlines the mapping of related research to VIPS architectural decisions.</w:t>
      </w:r>
    </w:p>
    <w:p>
      <w:pPr>
        <w:jc w:val="center"/>
      </w:pPr>
      <w:r>
        <w:rPr>
          <w:b/>
          <w:sz w:val="18"/>
        </w:rPr>
        <w:t>TABLE I. Summary of Related Work and Architectural Mapping to VIPS Design Decisions</w:t>
      </w:r>
    </w:p>
    <w:tbl>
      <w:tblPr>
        <w:tblW w:type="auto" w:w="0"/>
        <w:jc w:val="center"/>
        <w:tblLook w:firstColumn="1" w:firstRow="1" w:lastColumn="0" w:lastRow="0" w:noHBand="0" w:noVBand="1" w:val="04A0"/>
      </w:tblPr>
      <w:tblGrid>
        <w:gridCol w:w="3120"/>
        <w:gridCol w:w="3120"/>
        <w:gridCol w:w="3120"/>
      </w:tblGrid>
      <w:tr>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No.</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Source</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Relevance &amp; Architectural Mapping to VIPS Design</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1</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Breiman [1]</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Justifies the 300-tree bagging ensemble (RandomForestClassifier) for robust tabular invoice risk scoring.</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2</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Furneaux &amp; Wade [2]</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Motivates combining statistical classifiers with catalog purchase-order baselines to overcome rule fatigue.</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3</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Ji et al. [6]</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Underpins strict hallucination mitigation: assistant outputs are computed via deterministic SQL routines with zero token guessing.</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4</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Lewis et al. [7]</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Directs the data retrieval architecture of the Vendor AI Assistant via structured database aggregations.</w:t>
            </w:r>
          </w:p>
        </w:tc>
      </w:tr>
    </w:tbl>
    <w:p>
      <w:pPr>
        <w:spacing w:before="240" w:after="80"/>
      </w:pPr>
      <w:r>
        <w:rPr>
          <w:rFonts w:ascii="Times New Roman" w:hAnsi="Times New Roman"/>
          <w:b/>
          <w:sz w:val="22"/>
        </w:rPr>
        <w:t>IV. OBJECTIVES AND SCOPE</w:t>
      </w:r>
    </w:p>
    <w:p>
      <w:pPr>
        <w:spacing w:before="160" w:after="60"/>
      </w:pPr>
      <w:r>
        <w:rPr>
          <w:rFonts w:ascii="Times New Roman" w:hAnsi="Times New Roman"/>
          <w:b/>
          <w:i/>
          <w:sz w:val="20"/>
        </w:rPr>
        <w:t>A. Objectives</w:t>
      </w:r>
    </w:p>
    <w:p>
      <w:pPr>
        <w:spacing w:line="276" w:lineRule="auto" w:after="80"/>
        <w:jc w:val="both"/>
      </w:pPr>
      <w:r>
        <w:rPr>
          <w:rFonts w:ascii="Times New Roman" w:hAnsi="Times New Roman"/>
          <w:sz w:val="20"/>
        </w:rPr>
        <w:t>• Dual-Model Machine Learning Serving: Provide sub-millisecond inference for invoice risk classification and objective freight cost baseline estimation.</w:t>
        <w:br/>
        <w:t>• Catalog PO Resolution &amp; Input Sanity Verification: Automatically match incoming invoices against the purchases catalog table to fetch authorized baseline quantities and dollars while enforcing strict numeric boundaries.</w:t>
        <w:br/>
        <w:t>• High-Throughput Asynchronous Batch Ingestion: Ingest bulk CSV files via FastAPI BackgroundTasks with SHA-256 pre-inference deduplication, 100-row chunking, and isolated error tracking.</w:t>
        <w:br/>
        <w:t>• Deterministic SQL Analytics Assistant: Implement 17 high-performance SQL analytical queries with in-memory regex intent classification and low-sample size warnings (&lt;5 invoices).</w:t>
        <w:br/>
        <w:t>• Resilient Dual-Database Persistence: Ensure uninterrupted audit operations via SQLAlchemy ORM with automatic zero-downtime failover from PostgreSQL to an embedded SQLite database.</w:t>
        <w:br/>
        <w:t>• Production-Ready Manifest Desk UI: Provide a responsive, single-page web interface with real-time audit tables, multi-factor filtering, and batch job monitoring.</w:t>
      </w:r>
    </w:p>
    <w:p>
      <w:pPr>
        <w:spacing w:before="160" w:after="60"/>
      </w:pPr>
      <w:r>
        <w:rPr>
          <w:rFonts w:ascii="Times New Roman" w:hAnsi="Times New Roman"/>
          <w:b/>
          <w:i/>
          <w:sz w:val="20"/>
        </w:rPr>
        <w:t>B. Scope</w:t>
      </w:r>
    </w:p>
    <w:p>
      <w:pPr>
        <w:spacing w:line="276" w:lineRule="auto" w:after="80"/>
        <w:jc w:val="both"/>
      </w:pPr>
      <w:r>
        <w:rPr>
          <w:rFonts w:ascii="Times New Roman" w:hAnsi="Times New Roman"/>
          <w:sz w:val="20"/>
        </w:rPr>
        <w:t>VIPS is trained and evaluated on wholesale distribution invoice data denominated in USD. The system processes both manual single-entry submissions and high-volume CSV batch files. Optical Character Recognition (OCR) for scanned paper PDFs and multi-currency foreign exchange reconciliation are scoped as future extensions. VIPS is designed strictly as an automated decision-support system: it scores, estimates, and explains anomalies, while ultimate payment approval or rejection authority remains with authorized finance reviewers.</w:t>
      </w:r>
    </w:p>
    <w:p>
      <w:pPr>
        <w:spacing w:before="240" w:after="80"/>
      </w:pPr>
      <w:r>
        <w:rPr>
          <w:rFonts w:ascii="Times New Roman" w:hAnsi="Times New Roman"/>
          <w:b/>
          <w:sz w:val="22"/>
        </w:rPr>
        <w:t>V. PROPOSED METHODOLOGY</w:t>
      </w:r>
    </w:p>
    <w:p>
      <w:pPr>
        <w:spacing w:before="160" w:after="60"/>
      </w:pPr>
      <w:r>
        <w:rPr>
          <w:rFonts w:ascii="Times New Roman" w:hAnsi="Times New Roman"/>
          <w:b/>
          <w:i/>
          <w:sz w:val="20"/>
        </w:rPr>
        <w:t>A. System Architecture</w:t>
      </w:r>
    </w:p>
    <w:p>
      <w:pPr>
        <w:spacing w:line="276" w:lineRule="auto" w:after="80"/>
        <w:jc w:val="both"/>
      </w:pPr>
      <w:r>
        <w:rPr>
          <w:rFonts w:ascii="Times New Roman" w:hAnsi="Times New Roman"/>
          <w:sz w:val="20"/>
        </w:rPr>
        <w:t>VIPS is structured into four cleanly decoupled operational layers behind an asynchronous ASGI server:</w:t>
      </w:r>
    </w:p>
    <w:p>
      <w:pPr>
        <w:spacing w:line="276" w:lineRule="auto" w:after="80"/>
        <w:jc w:val="both"/>
      </w:pPr>
      <w:r>
        <w:rPr>
          <w:rFonts w:ascii="Times New Roman" w:hAnsi="Times New Roman"/>
          <w:sz w:val="20"/>
        </w:rPr>
        <w:t>1. Layer 1 – Presentation Client &amp; API Gateway: A responsive Vanilla HTML5/CSS/JavaScript single-page Manifest Desk served directly via FastAPI StaticFiles. Requests are strictly parsed and validated against Pydantic v2 schemas across modular routers (/api/invoice, /api/freight, /api/batches, /api/rag).</w:t>
      </w:r>
    </w:p>
    <w:p>
      <w:pPr>
        <w:spacing w:line="276" w:lineRule="auto" w:after="80"/>
        <w:jc w:val="both"/>
      </w:pPr>
      <w:r>
        <w:rPr>
          <w:rFonts w:ascii="Times New Roman" w:hAnsi="Times New Roman"/>
          <w:sz w:val="20"/>
        </w:rPr>
        <w:t>2. Layer 2 – Ingestion &amp; Batch Engine: Handles file format validation, whole-file SHA-256 deduplication hashing, and streaming batch processing. Files with ≤500 rows are executed synchronously; larger batches are dispatched to FastAPI BackgroundTasks. The engine performs bulk PO pre-fetching, 100-row transactional database chunking, and captures malformed rows in an isolated batch_row_errors table.</w:t>
      </w:r>
    </w:p>
    <w:p>
      <w:pPr>
        <w:spacing w:line="276" w:lineRule="auto" w:after="80"/>
        <w:jc w:val="both"/>
      </w:pPr>
      <w:r>
        <w:rPr>
          <w:rFonts w:ascii="Times New Roman" w:hAnsi="Times New Roman"/>
          <w:sz w:val="20"/>
        </w:rPr>
        <w:t>3. Layer 3 – Machine Learning Intelligence Core: Evaluates a 300-tree RandomForestClassifier loaded as a singleton in memory via Joblib. Normalizes 5 features using a persisted StandardScaler, executes an OLS linear regressor for freight baselining, and outputs calibrated risk probabilities.</w:t>
      </w:r>
    </w:p>
    <w:p>
      <w:pPr>
        <w:spacing w:line="276" w:lineRule="auto" w:after="80"/>
        <w:jc w:val="both"/>
      </w:pPr>
      <w:r>
        <w:rPr>
          <w:rFonts w:ascii="Times New Roman" w:hAnsi="Times New Roman"/>
          <w:sz w:val="20"/>
        </w:rPr>
        <w:t>4. Layer 4 – Resilient Persistence &amp; Analytics Layer: Connects via SQLAlchemy 2.0 to primary PostgreSQL with automatic fallback to local SQLite (vendor_intelligence.db). Houses the deterministic SQL analytics assistant executing 17 specialized analytical queries with in-memory intent classification.</w:t>
      </w:r>
    </w:p>
    <w:p>
      <w:pPr>
        <w:spacing w:before="160" w:after="60"/>
      </w:pPr>
      <w:r>
        <w:rPr>
          <w:rFonts w:ascii="Times New Roman" w:hAnsi="Times New Roman"/>
          <w:b/>
          <w:i/>
          <w:sz w:val="20"/>
        </w:rPr>
        <w:t>B. Detailed Algorithms</w:t>
      </w:r>
    </w:p>
    <w:p>
      <w:pPr>
        <w:spacing w:line="276" w:lineRule="auto" w:after="80"/>
        <w:jc w:val="both"/>
      </w:pPr>
      <w:r>
        <w:rPr>
          <w:rFonts w:ascii="Times New Roman" w:hAnsi="Times New Roman"/>
          <w:sz w:val="20"/>
        </w:rPr>
        <w:t>Algorithm 1 formalizes the end-to-end audit pipeline for a single invoice transaction:</w:t>
      </w:r>
    </w:p>
    <w:p>
      <w:pPr>
        <w:spacing w:before="80" w:after="120"/>
        <w:ind w:left="288"/>
      </w:pPr>
      <w:r>
        <w:rPr>
          <w:rFonts w:ascii="Courier New" w:hAnsi="Courier New"/>
          <w:sz w:val="17"/>
        </w:rPr>
        <w:t>Algorithm 1: VIPS Single Invoice Audit Pipeline</w:t>
        <w:br/>
        <w:t>─────────────────────────────────────────────────────────────────</w:t>
        <w:br/>
        <w:t>Require: Invoice payload I = (q_inv, d_inv, f_inv), Vendor V, PO P</w:t>
        <w:br/>
        <w:t>Ensure: Verdict y, Probability p, Freight baseline F̂, DB Record R</w:t>
        <w:br/>
        <w:t xml:space="preserve"> 1: Validate payload I against Pydantic v2 schema (check positive numbers)</w:t>
        <w:br/>
        <w:t xml:space="preserve"> 2: (q_po, d_po) ← LookupPurchasesCatalog(db, V, P) ▷ Fetch PO baseline</w:t>
        <w:br/>
        <w:t xml:space="preserve"> 3: X ← [q_inv, d_inv, f_inv, q_po, d_po]</w:t>
        <w:br/>
        <w:t xml:space="preserve"> 4: Z ← StandardScaler.transform(X) ▷ Feature scaling</w:t>
        <w:br/>
        <w:t xml:space="preserve"> 5: y ← RandomForestClassifier.predict(Z) ▷ 0 (CLEARED) or 1 (FLAGGED)</w:t>
        <w:br/>
        <w:t xml:space="preserve"> 6: p ← RandomForestClassifier.predict_proba(Z)[0][1] ▷ Risk probability</w:t>
        <w:br/>
        <w:t xml:space="preserve"> 7: F̂_raw ← β_1 · d_inv + β_0 ▷ Linear regression freight estimate</w:t>
        <w:br/>
        <w:t xml:space="preserve"> 8: F̂ ← clamp(F̂_raw, min=0.0, max=d_inv) ▷ Physical sanity bounds</w:t>
        <w:br/>
        <w:t xml:space="preserve"> 9: R ← InsertInvoicePrediction(db, V, P, I, y, p, F̂, source='MANUAL')</w:t>
        <w:br/>
        <w:t>10: db.commit(); db.refresh(R)</w:t>
        <w:br/>
        <w:t>11: return y, p, F̂, R</w:t>
        <w:br/>
        <w:t>─────────────────────────────────────────────────────────────────</w:t>
      </w:r>
    </w:p>
    <w:p>
      <w:pPr>
        <w:spacing w:line="276" w:lineRule="auto" w:after="80"/>
        <w:jc w:val="both"/>
      </w:pPr>
      <w:r>
        <w:rPr>
          <w:rFonts w:ascii="Times New Roman" w:hAnsi="Times New Roman"/>
          <w:sz w:val="20"/>
        </w:rPr>
        <w:t>Algorithm 2 describes the high-throughput asynchronous batch ingestion engine with cryptographic deduplication and fault isolation:</w:t>
      </w:r>
    </w:p>
    <w:p>
      <w:pPr>
        <w:spacing w:before="80" w:after="120"/>
        <w:ind w:left="288"/>
      </w:pPr>
      <w:r>
        <w:rPr>
          <w:rFonts w:ascii="Courier New" w:hAnsi="Courier New"/>
          <w:sz w:val="17"/>
        </w:rPr>
        <w:t>Algorithm 2: Asynchronous Batch Ingestion &amp; Fault-Tolerant Deduplication</w:t>
        <w:br/>
        <w:t>─────────────────────────────────────────────────────────────────</w:t>
        <w:br/>
        <w:t>Require: Raw CSV bytes B, Filename F, Active database session db</w:t>
        <w:br/>
        <w:t>Ensure: Batch job record B_rec with UUID, error log, and counts</w:t>
        <w:br/>
        <w:t xml:space="preserve"> 1: if not F.endswith('.csv') or len(B) == 0 or len(B) &gt; 10MB then reject end if</w:t>
        <w:br/>
        <w:t xml:space="preserve"> 2: h ← SHA256(B) ▷ Compute whole-file cryptographic hash</w:t>
        <w:br/>
        <w:t xml:space="preserve"> 3: if exists(select 1 from upload_batches where file_hash = h and status != 'FAILED') then</w:t>
        <w:br/>
        <w:t xml:space="preserve"> 4:    raise DuplicateBatchException('Identical CSV batch already processed.')</w:t>
        <w:br/>
        <w:t xml:space="preserve"> 5: end if</w:t>
        <w:br/>
        <w:t xml:space="preserve"> 6: uuid_str ← UUIDv4()</w:t>
        <w:br/>
        <w:t xml:space="preserve"> 7: B_rec ← InsertUploadBatch(db, uuid_str, F, h, status='PROCESSING')</w:t>
        <w:br/>
        <w:t xml:space="preserve"> 8: df ← DecodeAndParseCSV(B, encodings=['utf-8-sig', 'utf-8', 'latin-1'])</w:t>
        <w:br/>
        <w:t xml:space="preserve"> 9: B_rec.row_count ← len(df); db.commit()</w:t>
        <w:br/>
        <w:t>10: PO_pairs ← ExtractDistinctPairs(df, 'VendorNumber', 'PONumber')</w:t>
        <w:br/>
        <w:t>11: PO_cache ← BulkLookupPurchases(db, PO_pairs) ▷ Single bulk SQL query</w:t>
        <w:br/>
        <w:t>12: for chunk in SplitIntoChunks(df, size=100) do</w:t>
        <w:br/>
        <w:t>13:    for idx, row in chunk do</w:t>
        <w:br/>
        <w:t>14:       try:</w:t>
        <w:br/>
        <w:t>15:          ValidateSanity(row) ▷ Check q&gt;0, d&gt;0, f≥0, d≤$10M, valid date</w:t>
        <w:br/>
        <w:t>16:          (q_po, d_po) ← PO_cache.get((row.vendor, row.po), default=(0, 0))</w:t>
        <w:br/>
        <w:t>17:          ScoreAndSaveInvoice(db, row, q_po, d_po, batch_id=B_rec.id)</w:t>
        <w:br/>
        <w:t>18:          B_rec.success_count += 1</w:t>
        <w:br/>
        <w:t>19:       except ValidationError as err:</w:t>
        <w:br/>
        <w:t>20:          LogBatchRowError(db, B_rec.id, row.num, row.raw_json, str(err))</w:t>
        <w:br/>
        <w:t>21:          B_rec.error_count += 1</w:t>
        <w:br/>
        <w:t>22:    end for</w:t>
        <w:br/>
        <w:t>23:    db.commit() ▷ 100-row transactional commit</w:t>
        <w:br/>
        <w:t>24: end for</w:t>
        <w:br/>
        <w:t>25: B_rec.status ← 'DONE'; B_rec.completed_at ← UTC_NOW(); db.commit()</w:t>
        <w:br/>
        <w:t>26: return B_rec</w:t>
        <w:br/>
        <w:t>─────────────────────────────────────────────────────────────────</w:t>
      </w:r>
    </w:p>
    <w:p>
      <w:pPr>
        <w:spacing w:line="276" w:lineRule="auto" w:after="80"/>
        <w:jc w:val="both"/>
      </w:pPr>
      <w:r>
        <w:rPr>
          <w:rFonts w:ascii="Times New Roman" w:hAnsi="Times New Roman"/>
          <w:sz w:val="20"/>
        </w:rPr>
        <w:t>Algorithm 3 formalizes the deterministic SQL analytics assistant with in-memory intent routing and low-sample size guards:</w:t>
      </w:r>
    </w:p>
    <w:p>
      <w:pPr>
        <w:spacing w:before="80" w:after="120"/>
        <w:ind w:left="288"/>
      </w:pPr>
      <w:r>
        <w:rPr>
          <w:rFonts w:ascii="Courier New" w:hAnsi="Courier New"/>
          <w:sz w:val="17"/>
        </w:rPr>
        <w:t>Algorithm 3: Deterministic SQL Analytics Routing &amp; Confidence Guard</w:t>
        <w:br/>
        <w:t>─────────────────────────────────────────────────────────────────</w:t>
        <w:br/>
        <w:t>Require: Natural language user query Q, Database session db</w:t>
        <w:br/>
        <w:t>Ensure: Markdown formatted analytical reply M</w:t>
        <w:br/>
        <w:t xml:space="preserve"> 1: (intent, params) ← In_Memory_Classify_Intent(Q) ▷ Regex pattern match</w:t>
        <w:br/>
        <w:t xml:space="preserve"> 2: if intent is UNSUPPORTED then</w:t>
        <w:br/>
        <w:t xml:space="preserve"> 3:    return FormattedSupportedMenu()</w:t>
        <w:br/>
        <w:t xml:space="preserve"> 4: end if</w:t>
        <w:br/>
        <w:t xml:space="preserve"> 5: data ← ExecuteSQLRoutine(db, intent, params) ▷ 1 of 17 fixed functions</w:t>
        <w:br/>
        <w:t xml:space="preserve"> 6: if data.vendor_total_invoices &lt; 5 then</w:t>
        <w:br/>
        <w:t xml:space="preserve"> 7:    caveat ← '⚠️ Low Sample Size Caveat: Vendor has &lt;5 invoices on record.'</w:t>
        <w:br/>
        <w:t xml:space="preserve"> 8: else</w:t>
        <w:br/>
        <w:t xml:space="preserve"> 9:    caveat ← ''</w:t>
        <w:br/>
        <w:t>10: end if</w:t>
        <w:br/>
        <w:t>11: M ← FormatDeterministicMarkdown(intent, data, caveat)</w:t>
        <w:br/>
        <w:t>12: return M ▷ Instant response (&lt;15ms), zero token cost, zero hallucination</w:t>
        <w:br/>
        <w:t>─────────────────────────────────────────────────────────────────</w:t>
      </w:r>
    </w:p>
    <w:p>
      <w:pPr>
        <w:spacing w:before="160" w:after="60"/>
      </w:pPr>
      <w:r>
        <w:rPr>
          <w:rFonts w:ascii="Times New Roman" w:hAnsi="Times New Roman"/>
          <w:b/>
          <w:i/>
          <w:sz w:val="20"/>
        </w:rPr>
        <w:t>C. Mathematical Models</w:t>
      </w:r>
    </w:p>
    <w:p>
      <w:pPr>
        <w:spacing w:line="276" w:lineRule="auto" w:after="80"/>
        <w:jc w:val="both"/>
      </w:pPr>
      <w:r>
        <w:rPr>
          <w:rFonts w:ascii="Times New Roman" w:hAnsi="Times New Roman"/>
          <w:sz w:val="20"/>
        </w:rPr>
        <w:t>1) Feature Standardisation: Input vectors are centered and scaled using parameters saved at training time:</w:t>
      </w:r>
    </w:p>
    <w:p>
      <w:pPr>
        <w:spacing w:before="80" w:after="80"/>
        <w:jc w:val="center"/>
      </w:pPr>
      <w:r>
        <w:rPr>
          <w:i/>
          <w:sz w:val="20"/>
        </w:rPr>
        <w:tab/>
        <w:t>z_j = (x_j - μ_j) / σ_j,   j ∈ {1, 2, ..., 5}</w:t>
        <w:tab/>
        <w:tab/>
        <w:t>(1)</w:t>
      </w:r>
    </w:p>
    <w:p>
      <w:pPr>
        <w:spacing w:line="276" w:lineRule="auto" w:after="80"/>
        <w:jc w:val="both"/>
      </w:pPr>
      <w:r>
        <w:rPr>
          <w:rFonts w:ascii="Times New Roman" w:hAnsi="Times New Roman"/>
          <w:sz w:val="20"/>
        </w:rPr>
        <w:t>where the 5 features are: invoice_quantity, invoice_dollars, Freight, total_item_quantity, and total_item_dollars.</w:t>
      </w:r>
    </w:p>
    <w:p>
      <w:pPr>
        <w:spacing w:line="276" w:lineRule="auto" w:after="80"/>
        <w:jc w:val="both"/>
      </w:pPr>
      <w:r>
        <w:rPr>
          <w:rFonts w:ascii="Times New Roman" w:hAnsi="Times New Roman"/>
          <w:sz w:val="20"/>
        </w:rPr>
        <w:t>2) Random Forest Posterior: The classifier consists of an ensemble of B = 300 bagged decision trees minimizing Gini impurity:</w:t>
      </w:r>
    </w:p>
    <w:p>
      <w:pPr>
        <w:spacing w:before="80" w:after="80"/>
        <w:jc w:val="center"/>
      </w:pPr>
      <w:r>
        <w:rPr>
          <w:i/>
          <w:sz w:val="20"/>
        </w:rPr>
        <w:tab/>
        <w:t>I_G(t) = 1 - \sum_{k=0}^{1} [p(k|t)]^2</w:t>
        <w:tab/>
        <w:tab/>
        <w:t>(2)</w:t>
      </w:r>
    </w:p>
    <w:p>
      <w:pPr>
        <w:spacing w:line="276" w:lineRule="auto" w:after="80"/>
        <w:jc w:val="both"/>
      </w:pPr>
      <w:r>
        <w:rPr>
          <w:rFonts w:ascii="Times New Roman" w:hAnsi="Times New Roman"/>
          <w:sz w:val="20"/>
        </w:rPr>
        <w:t>The ensemble posterior risk probability represents the mean vote across all constituent trees:</w:t>
      </w:r>
    </w:p>
    <w:p>
      <w:pPr>
        <w:spacing w:before="80" w:after="80"/>
        <w:jc w:val="center"/>
      </w:pPr>
      <w:r>
        <w:rPr>
          <w:i/>
          <w:sz w:val="20"/>
        </w:rPr>
        <w:tab/>
        <w:t>P(y=1|Z) = (1 / B) \sum_{b=1}^{B} p_b(y=1|Z)</w:t>
        <w:tab/>
        <w:tab/>
        <w:t>(3)</w:t>
      </w:r>
    </w:p>
    <w:p>
      <w:pPr>
        <w:spacing w:before="80" w:after="80"/>
        <w:jc w:val="center"/>
      </w:pPr>
      <w:r>
        <w:rPr>
          <w:i/>
          <w:sz w:val="20"/>
        </w:rPr>
        <w:tab/>
        <w:t>ŷ = 1 (FLAGGED) if P(y=1|Z) ≥ 0.50; else ŷ = 0 (CLEARED)</w:t>
        <w:tab/>
        <w:tab/>
        <w:t>(4)</w:t>
      </w:r>
    </w:p>
    <w:p>
      <w:pPr>
        <w:spacing w:line="276" w:lineRule="auto" w:after="80"/>
        <w:jc w:val="both"/>
      </w:pPr>
      <w:r>
        <w:rPr>
          <w:rFonts w:ascii="Times New Roman" w:hAnsi="Times New Roman"/>
          <w:sz w:val="20"/>
        </w:rPr>
        <w:t>3) Ordinary Least Squares Freight Regressor: The baseline expected freight cost is modeled against invoice dollar amount D:</w:t>
      </w:r>
    </w:p>
    <w:p>
      <w:pPr>
        <w:spacing w:before="80" w:after="80"/>
        <w:jc w:val="center"/>
      </w:pPr>
      <w:r>
        <w:rPr>
          <w:i/>
          <w:sz w:val="20"/>
        </w:rPr>
        <w:tab/>
        <w:t>F̂(D) = 0.00501517 · D + 5.00802058</w:t>
        <w:tab/>
        <w:tab/>
        <w:t>(5)</w:t>
      </w:r>
    </w:p>
    <w:p>
      <w:pPr>
        <w:spacing w:line="276" w:lineRule="auto" w:after="80"/>
        <w:jc w:val="both"/>
      </w:pPr>
      <w:r>
        <w:rPr>
          <w:rFonts w:ascii="Times New Roman" w:hAnsi="Times New Roman"/>
          <w:sz w:val="20"/>
        </w:rPr>
        <w:t>Equation (5) establishes a baseline variable freight rate of approximately $5.02 per $1,000 in invoiced goods plus a fixed $5.01 baseline handling fee. The prediction is clamped between 0 and the invoice dollars (0 ≤ F̂ ≤ D) to prevent negative shipping costs or freight charges that exceed merchandise value.</w:t>
      </w:r>
    </w:p>
    <w:p>
      <w:pPr>
        <w:spacing w:before="160" w:after="60"/>
      </w:pPr>
      <w:r>
        <w:rPr>
          <w:rFonts w:ascii="Times New Roman" w:hAnsi="Times New Roman"/>
          <w:b/>
          <w:i/>
          <w:sz w:val="20"/>
        </w:rPr>
        <w:t>D. Resilience and Dual-Database Failover</w:t>
      </w:r>
    </w:p>
    <w:p>
      <w:pPr>
        <w:spacing w:line="276" w:lineRule="auto" w:after="80"/>
        <w:jc w:val="both"/>
      </w:pPr>
      <w:r>
        <w:rPr>
          <w:rFonts w:ascii="Times New Roman" w:hAnsi="Times New Roman"/>
          <w:sz w:val="20"/>
        </w:rPr>
        <w:t>A critical enterprise requirement is resilience against database connection drops. During startup, VIPS executes a connection probe against PostgreSQL using SQLAlchemy with pool_pre_ping=True. If PostgreSQL is offline or credentials fail, the application catches the operational exception, logs a warning, and automatically instantiates a local SQLite database engine (vendor_intelligence.db) with check_same_thread=False. Because table schemas are unified under declarative Base models, the API gateway continues processing predictions, batch uploads, and audit queries without service downtime.</w:t>
      </w:r>
    </w:p>
    <w:p>
      <w:pPr>
        <w:spacing w:before="240" w:after="80"/>
      </w:pPr>
      <w:r>
        <w:rPr>
          <w:rFonts w:ascii="Times New Roman" w:hAnsi="Times New Roman"/>
          <w:b/>
          <w:sz w:val="22"/>
        </w:rPr>
        <w:t>VI. MODULE DESIGN</w:t>
      </w:r>
    </w:p>
    <w:p>
      <w:pPr>
        <w:spacing w:line="276" w:lineRule="auto" w:after="80"/>
        <w:jc w:val="both"/>
      </w:pPr>
      <w:r>
        <w:rPr>
          <w:rFonts w:ascii="Times New Roman" w:hAnsi="Times New Roman"/>
          <w:sz w:val="20"/>
        </w:rPr>
        <w:t>Module 1: Invoice Risk Classification (ml_models.py) — Scales features and evaluates the 300-tree Random Forest classifier, returning binary verdicts and risk probabilities.</w:t>
        <w:br/>
        <w:t>Module 2: Freight Baseline Estimation (ml_models.py) — Applies the fitted OLS regressor to provide an objective freight benchmark clamped to physical dollar bounds.</w:t>
        <w:br/>
        <w:t>Module 3: Catalog PO Verification &amp; Input Validation (batch_processor.py, services.py) — Matches vendor and PO numbers against the purchases catalog table, validating numeric positivity, valid date syntax, and the $10,000,000 safety ceiling.</w:t>
        <w:br/>
        <w:t>Module 4: Asynchronous Batch Ingestion Engine (batch_processor.py) — Manages CSV ingestion, whole-file SHA-256 deduplication hashing, UUID v4 job tracking, 100-row chunked database commits, and row-level error isolation.</w:t>
        <w:br/>
        <w:t>Module 5: Deterministic SQL Analytics Engine (rag_service.py) — Resolves 17 structured analytical queries (flag rates, spend rankings, freight ratios, dollar mismatches, vendor comparisons) via in-memory regex intent routing and low-sample size guards (&lt;5 invoices).</w:t>
        <w:br/>
        <w:t>Module 6: Resilient Dual-Database Persistence (database.py, models_db.py) — Coordinates SQLAlchemy ORM sessions across primary PostgreSQL with automatic zero-downtime failover to local SQLite.</w:t>
      </w:r>
    </w:p>
    <w:p>
      <w:pPr>
        <w:spacing w:before="240" w:after="80"/>
      </w:pPr>
      <w:r>
        <w:rPr>
          <w:rFonts w:ascii="Times New Roman" w:hAnsi="Times New Roman"/>
          <w:b/>
          <w:sz w:val="22"/>
        </w:rPr>
        <w:t>VII. ADVANTAGES OF THE PROPOSED ARCHITECTURE</w:t>
      </w:r>
    </w:p>
    <w:p>
      <w:pPr>
        <w:spacing w:line="276" w:lineRule="auto" w:after="80"/>
        <w:jc w:val="both"/>
      </w:pPr>
      <w:r>
        <w:rPr>
          <w:rFonts w:ascii="Times New Roman" w:hAnsi="Times New Roman"/>
          <w:sz w:val="20"/>
        </w:rPr>
        <w:t>• Non-Blocking Bulk Processing: Asynchronous execution for batches &gt;500 rows prevents HTTP gateway timeouts during large invoice submissions.</w:t>
        <w:br/>
        <w:t>• Cryptographic Deduplication: SHA-256 pre-inference hashing eliminates redundant compute costs and prevents duplicate invoice records.</w:t>
        <w:br/>
        <w:t>• Row-Level Fault Containment: Corrupted lines in bulk CSV files are logged to batch_row_errors with line numbers and error tracebacks, allowing valid rows to proceed.</w:t>
        <w:br/>
        <w:t>• Zero-Downtime Database Resilience: Seamless PostgreSQL-to-SQLite automatic failover prevents server crashes during localized database outages.</w:t>
        <w:br/>
        <w:t>• Hallucination-Free Analytics: The analytics assistant executes deterministic SQL aggregations rather than ungrounded LLM guessing, delivering 0ms token cost and sub-15ms response times.</w:t>
        <w:br/>
        <w:t>• Auditable Human Oversight: The platform triages transactions and highlights variance while keeping payment approval decisions firmly in the hands of finance professionals.</w:t>
      </w:r>
    </w:p>
    <w:p>
      <w:pPr>
        <w:spacing w:before="240" w:after="80"/>
      </w:pPr>
      <w:r>
        <w:rPr>
          <w:rFonts w:ascii="Times New Roman" w:hAnsi="Times New Roman"/>
          <w:b/>
          <w:sz w:val="22"/>
        </w:rPr>
        <w:t>VIII. RESULTS AND DISCUSSION</w:t>
      </w:r>
    </w:p>
    <w:p>
      <w:pPr>
        <w:spacing w:before="160" w:after="60"/>
      </w:pPr>
      <w:r>
        <w:rPr>
          <w:rFonts w:ascii="Times New Roman" w:hAnsi="Times New Roman"/>
          <w:b/>
          <w:i/>
          <w:sz w:val="20"/>
        </w:rPr>
        <w:t>A. Feature Importance Analysis</w:t>
      </w:r>
    </w:p>
    <w:p>
      <w:pPr>
        <w:spacing w:line="276" w:lineRule="auto" w:after="80"/>
        <w:jc w:val="both"/>
      </w:pPr>
      <w:r>
        <w:rPr>
          <w:rFonts w:ascii="Times New Roman" w:hAnsi="Times New Roman"/>
          <w:sz w:val="20"/>
        </w:rPr>
        <w:t>Mean Decrease in Impurity (MDI) was extracted across all 300 constituent trees of the Random Forest classifier to identify feature contributions. Table II summarizes the relative importance weights.</w:t>
      </w:r>
    </w:p>
    <w:p>
      <w:pPr>
        <w:jc w:val="center"/>
      </w:pPr>
      <w:r>
        <w:rPr>
          <w:b/>
          <w:sz w:val="18"/>
        </w:rPr>
        <w:t>TABLE II. Random Forest Feature Importance (Mean Decrease in Impurity)</w:t>
      </w:r>
    </w:p>
    <w:tbl>
      <w:tblPr>
        <w:tblW w:type="auto" w:w="0"/>
        <w:jc w:val="center"/>
        <w:tblLook w:firstColumn="1" w:firstRow="1" w:lastColumn="0" w:lastRow="0" w:noHBand="0" w:noVBand="1" w:val="04A0"/>
      </w:tblPr>
      <w:tblGrid>
        <w:gridCol w:w="3120"/>
        <w:gridCol w:w="3120"/>
        <w:gridCol w:w="3120"/>
      </w:tblGrid>
      <w:tr>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Feature</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Description</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Weight (%)</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total_item_dollars</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PO-authorized monetary expenditure baseline</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29.21%</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total_item_quantity</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PO-authorized physical unit quantity baseline</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20.53%</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invoice_dollars</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Total billed invoice dollar expenditure</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18.11%</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invoice_quantity</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Total billed physical invoice unit quantity</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16.34%</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Freight</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Billed shipping and freight handling surcharge</w:t>
            </w:r>
          </w:p>
        </w:tc>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15.81%</w:t>
            </w:r>
          </w:p>
        </w:tc>
      </w:tr>
    </w:tbl>
    <w:p>
      <w:pPr>
        <w:spacing w:line="276" w:lineRule="auto" w:after="80"/>
        <w:jc w:val="both"/>
      </w:pPr>
      <w:r>
        <w:rPr>
          <w:rFonts w:ascii="Times New Roman" w:hAnsi="Times New Roman"/>
          <w:sz w:val="20"/>
        </w:rPr>
        <w:t>Crucially, the two purchase order baseline features account for nearly half (49.74%) of the decision boundary, corroborating the domain principle that the authorized purchase order serves as the primary ground truth against which invoice validity must be assessed.</w:t>
      </w:r>
    </w:p>
    <w:p>
      <w:pPr>
        <w:spacing w:before="160" w:after="60"/>
      </w:pPr>
      <w:r>
        <w:rPr>
          <w:rFonts w:ascii="Times New Roman" w:hAnsi="Times New Roman"/>
          <w:b/>
          <w:i/>
          <w:sz w:val="20"/>
        </w:rPr>
        <w:t>B. Updated Component Stack</w:t>
      </w:r>
    </w:p>
    <w:p>
      <w:pPr>
        <w:spacing w:line="276" w:lineRule="auto" w:after="80"/>
        <w:jc w:val="both"/>
      </w:pPr>
      <w:r>
        <w:rPr>
          <w:rFonts w:ascii="Times New Roman" w:hAnsi="Times New Roman"/>
          <w:sz w:val="20"/>
        </w:rPr>
        <w:t>Table III outlines the comprehensive technology stack across all four operational layers of the VIPS platform.</w:t>
      </w:r>
    </w:p>
    <w:p>
      <w:pPr>
        <w:jc w:val="center"/>
      </w:pPr>
      <w:r>
        <w:rPr>
          <w:b/>
          <w:sz w:val="18"/>
        </w:rPr>
        <w:t>TABLE III. Updated Component Stack Across VIPS System Architecture</w:t>
      </w:r>
    </w:p>
    <w:tbl>
      <w:tblPr>
        <w:tblW w:type="auto" w:w="0"/>
        <w:jc w:val="center"/>
        <w:tblLook w:firstColumn="1" w:firstRow="1" w:lastColumn="0" w:lastRow="0" w:noHBand="0" w:noVBand="1" w:val="04A0"/>
      </w:tblPr>
      <w:tblGrid>
        <w:gridCol w:w="3120"/>
        <w:gridCol w:w="3120"/>
        <w:gridCol w:w="3120"/>
      </w:tblGrid>
      <w:tr>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Architectural Layer</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Technologies &amp; Frameworks</w:t>
            </w:r>
          </w:p>
        </w:tc>
        <w:tc>
          <w:tcPr>
            <w:tcW w:type="dxa" w:w="3120"/>
            <w:shd w:fill="F3F4F6"/>
            <w:tcBorders>
              <w:top w:val="single" w:sz="4" w:space="0" w:color="CCCCCC"/>
              <w:bottom w:val="single" w:sz="4" w:space="0" w:color="CCCCCC"/>
              <w:left w:val="none" w:sz="0" w:space="0" w:color="auto"/>
              <w:right w:val="none" w:sz="0" w:space="0" w:color="auto"/>
            </w:tcBorders>
          </w:tcPr>
          <w:p>
            <w:pPr>
              <w:jc w:val="center"/>
            </w:pPr>
            <w:r>
              <w:rPr>
                <w:b/>
                <w:sz w:val="17"/>
              </w:rPr>
              <w:t>Operational Responsibilities</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Layer 1: Gateway &amp; UI</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FastAPI (ASGI), Pydantic v2, Vanilla HTML5/CSS3/ES6+</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REST routing, schema contracts, OpenAPI documentation, Manifest Desk dashboard.</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Layer 2: Batch Ingestion</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FastAPI BackgroundTasks, Pandas, Python hashlib (SHA-256)</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Async batch processing, deduplication hashing, chunked transactions, fault isolation.</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Layer 3: ML Intelligence</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Scikit-Learn (Joblib), NumPy, StandardScaler</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RandomForest risk classification, OLS freight regression, catalog PO verification.</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Layer 4: SQL Analytics</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SQLAlchemy 2.0 ORM, Python re (In-Memory Routing)</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17 deterministic SQL analytics routines, low-sample guards, rich Markdown formatting.</w:t>
            </w:r>
          </w:p>
        </w:tc>
      </w:tr>
      <w:tr>
        <w:tc>
          <w:tcPr>
            <w:tcW w:type="dxa" w:w="3120"/>
            <w:tcBorders>
              <w:top w:val="single" w:sz="4" w:space="0" w:color="CCCCCC"/>
              <w:bottom w:val="single" w:sz="4" w:space="0" w:color="CCCCCC"/>
              <w:left w:val="none" w:sz="0" w:space="0" w:color="auto"/>
              <w:right w:val="none" w:sz="0" w:space="0" w:color="auto"/>
            </w:tcBorders>
          </w:tcPr>
          <w:p>
            <w:pPr>
              <w:jc w:val="center"/>
            </w:pPr>
            <w:r>
              <w:rPr>
                <w:sz w:val="16"/>
              </w:rPr>
              <w:t>Persistence Layer</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PostgreSQL (Primary) with SQLite Auto-Failover</w:t>
            </w:r>
          </w:p>
        </w:tc>
        <w:tc>
          <w:tcPr>
            <w:tcW w:type="dxa" w:w="3120"/>
            <w:tcBorders>
              <w:top w:val="single" w:sz="4" w:space="0" w:color="CCCCCC"/>
              <w:bottom w:val="single" w:sz="4" w:space="0" w:color="CCCCCC"/>
              <w:left w:val="none" w:sz="0" w:space="0" w:color="auto"/>
              <w:right w:val="none" w:sz="0" w:space="0" w:color="auto"/>
            </w:tcBorders>
          </w:tcPr>
          <w:p>
            <w:pPr>
              <w:jc w:val="left"/>
            </w:pPr>
            <w:r>
              <w:rPr>
                <w:sz w:val="16"/>
              </w:rPr>
              <w:t>High-concurrency persistence with automatic zero-downtime offline standby resilience.</w:t>
            </w:r>
          </w:p>
        </w:tc>
      </w:tr>
    </w:tbl>
    <w:p>
      <w:pPr>
        <w:spacing w:before="160" w:after="60"/>
      </w:pPr>
      <w:r>
        <w:rPr>
          <w:rFonts w:ascii="Times New Roman" w:hAnsi="Times New Roman"/>
          <w:b/>
          <w:i/>
          <w:sz w:val="20"/>
        </w:rPr>
        <w:t>C. Latency and Operational Performance</w:t>
      </w:r>
    </w:p>
    <w:p>
      <w:pPr>
        <w:spacing w:line="276" w:lineRule="auto" w:after="80"/>
        <w:jc w:val="both"/>
      </w:pPr>
      <w:r>
        <w:rPr>
          <w:rFonts w:ascii="Times New Roman" w:hAnsi="Times New Roman"/>
          <w:sz w:val="20"/>
        </w:rPr>
        <w:t>Local benchmarking on an Intel Core i7 / 16GB workstation indicates that inference latency is under 2.0ms for the Random Forest classifier and under 0.5ms for the OLS freight regressor. End-to-end synchronous HTTP response times average 38ms. In-memory intent classification and deterministic SQL execution in the analytics engine complete in under 15ms with zero API token consumption. For bulk batch processing, pre-fetching PO tuples into an in-memory dictionary prior to chunked database insertion reduces roundtrips by over 95%, enabling ingestion throughput of approximately 350-500 rows per second.</w:t>
      </w:r>
    </w:p>
    <w:p>
      <w:pPr>
        <w:spacing w:before="240" w:after="80"/>
      </w:pPr>
      <w:r>
        <w:rPr>
          <w:rFonts w:ascii="Times New Roman" w:hAnsi="Times New Roman"/>
          <w:b/>
          <w:sz w:val="22"/>
        </w:rPr>
        <w:t>IX. EXPECTED OUTCOMES</w:t>
      </w:r>
    </w:p>
    <w:p>
      <w:pPr>
        <w:spacing w:line="276" w:lineRule="auto" w:after="80"/>
        <w:jc w:val="both"/>
      </w:pPr>
      <w:r>
        <w:rPr>
          <w:rFonts w:ascii="Times New Roman" w:hAnsi="Times New Roman"/>
          <w:sz w:val="20"/>
        </w:rPr>
        <w:t>By integrating calibrated classification with automated PO matching, objective freight baselines, and deterministic SQL analytics, VIPS is projected to decrease manual invoice reconciliation workload by 65-80% in enterprise accounts-payable units. The automated capture of row-level errors and rapid analytics queries accelerate vendor dispute resolution cycles from days to minutes, while persistent audit logging ensures complete compliance with corporate accounting governance mandates.</w:t>
      </w:r>
    </w:p>
    <w:p>
      <w:pPr>
        <w:spacing w:before="240" w:after="80"/>
      </w:pPr>
      <w:r>
        <w:rPr>
          <w:rFonts w:ascii="Times New Roman" w:hAnsi="Times New Roman"/>
          <w:b/>
          <w:sz w:val="22"/>
        </w:rPr>
        <w:t>X. CONCLUSION AND FUTURE SCOPE</w:t>
      </w:r>
    </w:p>
    <w:p>
      <w:pPr>
        <w:spacing w:line="276" w:lineRule="auto" w:after="80"/>
        <w:jc w:val="both"/>
      </w:pPr>
      <w:r>
        <w:rPr>
          <w:rFonts w:ascii="Times New Roman" w:hAnsi="Times New Roman"/>
          <w:sz w:val="20"/>
        </w:rPr>
        <w:t>This paper presented the Vendor Intelligence and Performance System (VIPS), an enterprise-ready invoice audit automation framework. The platform successfully transitions from a preliminary prototype into a resilient, high-throughput system. Key operational milestones implemented in the platform include non-blocking asynchronous CSV batch ingestion, pre-inference cryptographic SHA-256 deduplication, row-level error containment, catalog purchase-order verification, dual-database persistence with automatic SQLite failover, and a 17-query deterministic SQL analytics assistant. Future work will focus on integrating multimodal Optical Character Recognition (OCR) for scanned paper and PDF invoices, introducing multi-currency foreign exchange reconciliation, and implementing multi-tenant enterprise access controls.</w:t>
      </w:r>
    </w:p>
    <w:p>
      <w:pPr>
        <w:spacing w:before="240" w:after="80"/>
      </w:pPr>
      <w:r>
        <w:rPr>
          <w:rFonts w:ascii="Times New Roman" w:hAnsi="Times New Roman"/>
          <w:b/>
          <w:sz w:val="22"/>
        </w:rPr>
        <w:t>ACKNOWLEDGMENT</w:t>
      </w:r>
    </w:p>
    <w:p>
      <w:pPr>
        <w:spacing w:line="276" w:lineRule="auto" w:after="80"/>
        <w:jc w:val="both"/>
      </w:pPr>
      <w:r>
        <w:rPr>
          <w:rFonts w:ascii="Times New Roman" w:hAnsi="Times New Roman"/>
          <w:sz w:val="20"/>
        </w:rPr>
        <w:t>The authors thank Prof. Dakshta Jain for her guidance throughout the design and development of this project, and the Department of Computer Science and Engineering (Artificial Intelligence), G. H. Raisoni College of Engineering and Management, Pune, for the resources and support extended to carry out this work.</w:t>
      </w:r>
    </w:p>
    <w:p>
      <w:pPr>
        <w:spacing w:before="240" w:after="80"/>
      </w:pPr>
      <w:r>
        <w:rPr>
          <w:rFonts w:ascii="Times New Roman" w:hAnsi="Times New Roman"/>
          <w:b/>
          <w:sz w:val="22"/>
        </w:rPr>
        <w:t>REFERENCES</w:t>
      </w:r>
    </w:p>
    <w:p>
      <w:pPr>
        <w:spacing w:after="40"/>
        <w:ind w:left="288" w:hanging="288"/>
        <w:jc w:val="both"/>
      </w:pPr>
      <w:r>
        <w:rPr>
          <w:sz w:val="17"/>
        </w:rPr>
        <w:t>[1] L. Breiman, "Random Forests," Machine Learning, vol. 45, no. 1, pp. 5–32, 2001.</w:t>
      </w:r>
    </w:p>
    <w:p>
      <w:pPr>
        <w:spacing w:after="40"/>
        <w:ind w:left="288" w:hanging="288"/>
        <w:jc w:val="both"/>
      </w:pPr>
      <w:r>
        <w:rPr>
          <w:sz w:val="17"/>
        </w:rPr>
        <w:t>[2] B. Furneaux and M. Wade, "Automating the purchase-to-pay process: A systematic evaluation of AI-driven invoice verification," Journal of Purchasing and Supply Management, vol. 24, no. 4, pp. 312–324, 2018.</w:t>
      </w:r>
    </w:p>
    <w:p>
      <w:pPr>
        <w:spacing w:after="40"/>
        <w:ind w:left="288" w:hanging="288"/>
        <w:jc w:val="both"/>
      </w:pPr>
      <w:r>
        <w:rPr>
          <w:sz w:val="17"/>
        </w:rPr>
        <w:t>[3] F. Pedregosa et al., "Scikit-learn: Machine learning in Python," Journal of Machine Learning Research, vol. 12, pp. 2825–2830, 2011.</w:t>
      </w:r>
    </w:p>
    <w:p>
      <w:pPr>
        <w:spacing w:after="40"/>
        <w:ind w:left="288" w:hanging="288"/>
        <w:jc w:val="both"/>
      </w:pPr>
      <w:r>
        <w:rPr>
          <w:sz w:val="17"/>
        </w:rPr>
        <w:t>[4] A. Tiwari and S. Kumar, "Comparative analysis of asynchronous microframeworks for high-throughput machine learning inference," in Proc. IEEE Int. Conf. Cloud Computing and Data Science, pp. 104–109, 2021.</w:t>
      </w:r>
    </w:p>
    <w:p>
      <w:pPr>
        <w:spacing w:after="40"/>
        <w:ind w:left="288" w:hanging="288"/>
        <w:jc w:val="both"/>
      </w:pPr>
      <w:r>
        <w:rPr>
          <w:sz w:val="17"/>
        </w:rPr>
        <w:t>[5] T. Fawcett, "An introduction to ROC analysis," Pattern Recognition Letters, vol. 27, no. 8, pp. 861–874, 2006.</w:t>
      </w:r>
    </w:p>
    <w:p>
      <w:pPr>
        <w:spacing w:after="40"/>
        <w:ind w:left="288" w:hanging="288"/>
        <w:jc w:val="both"/>
      </w:pPr>
      <w:r>
        <w:rPr>
          <w:sz w:val="17"/>
        </w:rPr>
        <w:t>[6] Z. Ji et al., "Survey of hallucination in natural language generation," ACM Computing Surveys, vol. 55, no. 12, pp. 1–38, 2023.</w:t>
      </w:r>
    </w:p>
    <w:p>
      <w:pPr>
        <w:spacing w:after="40"/>
        <w:ind w:left="288" w:hanging="288"/>
        <w:jc w:val="both"/>
      </w:pPr>
      <w:r>
        <w:rPr>
          <w:sz w:val="17"/>
        </w:rPr>
        <w:t>[7] P. Lewis et al., "Retrieval-augmented generation for knowledge-intensive NLP tasks," in Proc. NeurIPS, 2020.</w:t>
      </w:r>
    </w:p>
    <w:p>
      <w:pPr>
        <w:spacing w:after="40"/>
        <w:ind w:left="288" w:hanging="288"/>
        <w:jc w:val="both"/>
      </w:pPr>
      <w:r>
        <w:rPr>
          <w:sz w:val="17"/>
        </w:rPr>
        <w:t>[8] S. Aherkar, S. Gaikwad, and S. Bishnoi, "Vendor Intelligence and Performance System: Project Documentation," G. H. Raisoni College of Engineering and Management, Internal Report,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1118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