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Code Build-Out Guide</w:t>
      </w:r>
    </w:p>
    <w:p>
      <w:r>
        <w:t>Automated Real Estate Wholesaling | Implementation specification | v1.0 | October 25, 2026</w:t>
      </w:r>
    </w:p>
    <w:p>
      <w:r>
        <w:t>Companion to Wholesale_Automation_Master_Spec_v1.docx. The master specification governs product intent; this document defines an implementable technical plan. No integrations, agent runtime, accounts, or automated messages have been deployed.</w:t>
      </w:r>
    </w:p>
    <w:p>
      <w:pPr>
        <w:pStyle w:val="Heading1"/>
      </w:pPr>
      <w:r>
        <w:t>0. Read this before building</w:t>
      </w:r>
    </w:p>
    <w:p>
      <w:pPr>
        <w:pStyle w:val="ListBullet"/>
      </w:pPr>
      <w:r>
        <w:t>Claude Code is a development tool, not by itself a guaranteed always-on hosting platform. Use Claude Code to create and test software, then deploy workers that call an authorized model API from cloud infrastructure.</w:t>
      </w:r>
    </w:p>
    <w:p>
      <w:pPr>
        <w:pStyle w:val="ListBullet"/>
      </w:pPr>
      <w:r>
        <w:t>Do not invent existing API keys, paid data subscriptions, cloud accounts, Microsoft permissions, Dots features, or connected services. Present setup checkpoints requiring user action.</w:t>
      </w:r>
    </w:p>
    <w:p>
      <w:pPr>
        <w:pStyle w:val="ListBullet"/>
      </w:pPr>
      <w:r>
        <w:t>No outbound emails or texts, contract negotiation, offers, commitments, or property representations without explicit approval and compliance gates. Use draft-only mode initially.</w:t>
      </w:r>
    </w:p>
    <w:p>
      <w:pPr>
        <w:pStyle w:val="ListBullet"/>
      </w:pPr>
      <w:r>
        <w:t>Do not assert wholesale inventory or properties under contract unless supported by records. Preserve the approved outreach concept without false factual claims.</w:t>
      </w:r>
    </w:p>
    <w:p>
      <w:pPr>
        <w:pStyle w:val="Heading1"/>
      </w:pPr>
      <w:r>
        <w:t>1. System architecture</w:t>
      </w:r>
    </w:p>
    <w:p>
      <w:r>
        <w:t>Proposed stack: Python 3.12 / FastAPI; PostgreSQL as authoritative state; Redis + Celery or a managed task queue for jobs; Microsoft Graph for Outlook mail; Google Sheets API as an operator-facing investor/buy-box mirror; Zapier Email Parser as requested; model API for classification, drafting, and extraction; cloud hosting with managed scheduler, secrets, logging and alerts. Alternative stack choices require a written rationale.</w:t>
      </w:r>
    </w:p>
    <w:p>
      <w:r>
        <w:t>Event path: Outlook Graph webhook or change notification → validate event → fetch message by ID → idempotency check → classify → conversation agent → QA agent → approved send via Graph → audit log. Buy-box path: conversation agent → structured extraction → formatting agent → parser inbox → Zapier → Sheets → sync back to PostgreSQL → search-profile creation → property discovery jobs → matching/review queue.</w:t>
      </w:r>
    </w:p>
    <w:p>
      <w:r>
        <w:t>Google Sheets remains visible to the operator; PostgreSQL prevents race conditions and tracks message/thread IDs, versions, suppression, retries, and audit history. Do not rely on a sheet as the only concurrency-safe database.</w:t>
      </w:r>
    </w:p>
    <w:p>
      <w:pPr>
        <w:pStyle w:val="Heading1"/>
      </w:pPr>
      <w:r>
        <w:t>2. Agent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Agent</w:t>
            </w:r>
          </w:p>
        </w:tc>
        <w:tc>
          <w:tcPr>
            <w:tcW w:type="dxa" w:w="3312"/>
          </w:tcPr>
          <w:p>
            <w:r>
              <w:t>Input → output</w:t>
            </w:r>
          </w:p>
        </w:tc>
        <w:tc>
          <w:tcPr>
            <w:tcW w:type="dxa" w:w="3312"/>
          </w:tcPr>
          <w:p>
            <w:r>
              <w:t>Critical rule</w:t>
            </w:r>
          </w:p>
        </w:tc>
      </w:tr>
      <w:tr>
        <w:tc>
          <w:tcPr>
            <w:tcW w:type="dxa" w:w="3312"/>
          </w:tcPr>
          <w:p>
            <w:r>
              <w:t>A1 Investor Discovery</w:t>
            </w:r>
          </w:p>
        </w:tc>
        <w:tc>
          <w:tcPr>
            <w:tcW w:type="dxa" w:w="3312"/>
          </w:tcPr>
          <w:p>
            <w:r>
              <w:t>Market and investor signals → prospect records</w:t>
            </w:r>
          </w:p>
        </w:tc>
        <w:tc>
          <w:tcPr>
            <w:tcW w:type="dxa" w:w="3312"/>
          </w:tcPr>
          <w:p>
            <w:r>
              <w:t>Find investors regardless of home location; document source and confidence.</w:t>
            </w:r>
          </w:p>
        </w:tc>
      </w:tr>
      <w:tr>
        <w:tc>
          <w:tcPr>
            <w:tcW w:type="dxa" w:w="3312"/>
          </w:tcPr>
          <w:p>
            <w:r>
              <w:t>A2 Contact Research</w:t>
            </w:r>
          </w:p>
        </w:tc>
        <w:tc>
          <w:tcPr>
            <w:tcW w:type="dxa" w:w="3312"/>
          </w:tcPr>
          <w:p>
            <w:r>
              <w:t>Prospects → available professional contact channels</w:t>
            </w:r>
          </w:p>
        </w:tc>
        <w:tc>
          <w:tcPr>
            <w:tcW w:type="dxa" w:w="3312"/>
          </w:tcPr>
          <w:p>
            <w:r>
              <w:t>Deduplicate; no separate deliverability-verification bot.</w:t>
            </w:r>
          </w:p>
        </w:tc>
      </w:tr>
      <w:tr>
        <w:tc>
          <w:tcPr>
            <w:tcW w:type="dxa" w:w="3312"/>
          </w:tcPr>
          <w:p>
            <w:r>
              <w:t>A3 Outreach</w:t>
            </w:r>
          </w:p>
        </w:tc>
        <w:tc>
          <w:tcPr>
            <w:tcW w:type="dxa" w:w="3312"/>
          </w:tcPr>
          <w:p>
            <w:r>
              <w:t>Approved template + contact → initial and 3 follow-up drafts</w:t>
            </w:r>
          </w:p>
        </w:tc>
        <w:tc>
          <w:tcPr>
            <w:tcW w:type="dxa" w:w="3312"/>
          </w:tcPr>
          <w:p>
            <w:r>
              <w:t>Use same Outlook conversation thread; halt on reply/opt-out.</w:t>
            </w:r>
          </w:p>
        </w:tc>
      </w:tr>
      <w:tr>
        <w:tc>
          <w:tcPr>
            <w:tcW w:type="dxa" w:w="3312"/>
          </w:tcPr>
          <w:p>
            <w:r>
              <w:t>A4 Reply &amp; Buy Box</w:t>
            </w:r>
          </w:p>
        </w:tc>
        <w:tc>
          <w:tcPr>
            <w:tcW w:type="dxa" w:w="3312"/>
          </w:tcPr>
          <w:p>
            <w:r>
              <w:t>Incoming replies → draft response, extracted criteria, status</w:t>
            </w:r>
          </w:p>
        </w:tc>
        <w:tc>
          <w:tcPr>
            <w:tcW w:type="dxa" w:w="3312"/>
          </w:tcPr>
          <w:p>
            <w:r>
              <w:t>Never invent criteria; track unknowns and investor corrections.</w:t>
            </w:r>
          </w:p>
        </w:tc>
      </w:tr>
      <w:tr>
        <w:tc>
          <w:tcPr>
            <w:tcW w:type="dxa" w:w="3312"/>
          </w:tcPr>
          <w:p>
            <w:r>
              <w:t>A5 QA &amp; Optimization</w:t>
            </w:r>
          </w:p>
        </w:tc>
        <w:tc>
          <w:tcPr>
            <w:tcW w:type="dxa" w:w="3312"/>
          </w:tcPr>
          <w:p>
            <w:r>
              <w:t>Every outgoing draft + history → approve/block/rewrite recommendation</w:t>
            </w:r>
          </w:p>
        </w:tc>
        <w:tc>
          <w:tcPr>
            <w:tcW w:type="dxa" w:w="3312"/>
          </w:tcPr>
          <w:p>
            <w:r>
              <w:t>Check thread context, accuracy, compliance, cadence, and performance.</w:t>
            </w:r>
          </w:p>
        </w:tc>
      </w:tr>
      <w:tr>
        <w:tc>
          <w:tcPr>
            <w:tcW w:type="dxa" w:w="3312"/>
          </w:tcPr>
          <w:p>
            <w:r>
              <w:t>A6 Parser Formatter</w:t>
            </w:r>
          </w:p>
        </w:tc>
        <w:tc>
          <w:tcPr>
            <w:tcW w:type="dxa" w:w="3312"/>
          </w:tcPr>
          <w:p>
            <w:r>
              <w:t>Confirmed buy box → labeled parser email / structured payload</w:t>
            </w:r>
          </w:p>
        </w:tc>
        <w:tc>
          <w:tcPr>
            <w:tcW w:type="dxa" w:w="3312"/>
          </w:tcPr>
          <w:p>
            <w:r>
              <w:t>Send to Zapier parser and upsert matching investor and buy-box IDs.</w:t>
            </w:r>
          </w:p>
        </w:tc>
      </w:tr>
      <w:tr>
        <w:tc>
          <w:tcPr>
            <w:tcW w:type="dxa" w:w="3312"/>
          </w:tcPr>
          <w:p>
            <w:r>
              <w:t>D1 Search Profile Engine</w:t>
            </w:r>
          </w:p>
        </w:tc>
        <w:tc>
          <w:tcPr>
            <w:tcW w:type="dxa" w:w="3312"/>
          </w:tcPr>
          <w:p>
            <w:r>
              <w:t>New/updated buy box → versioned property search</w:t>
            </w:r>
          </w:p>
        </w:tc>
        <w:tc>
          <w:tcPr>
            <w:tcW w:type="dxa" w:w="3312"/>
          </w:tcPr>
          <w:p>
            <w:r>
              <w:t>Trigger by buy-box changes, not blanket five-lead-source bots.</w:t>
            </w:r>
          </w:p>
        </w:tc>
      </w:tr>
      <w:tr>
        <w:tc>
          <w:tcPr>
            <w:tcW w:type="dxa" w:w="3312"/>
          </w:tcPr>
          <w:p>
            <w:r>
              <w:t>D2 Property Discovery &amp; Match</w:t>
            </w:r>
          </w:p>
        </w:tc>
        <w:tc>
          <w:tcPr>
            <w:tcW w:type="dxa" w:w="3312"/>
          </w:tcPr>
          <w:p>
            <w:r>
              <w:t>Search profile + lawful data → candidate matches</w:t>
            </w:r>
          </w:p>
        </w:tc>
        <w:tc>
          <w:tcPr>
            <w:tcW w:type="dxa" w:w="3312"/>
          </w:tcPr>
          <w:p>
            <w:r>
              <w:t>Flag source, freshness, valuation uncertainty, and next review action.</w:t>
            </w:r>
          </w:p>
        </w:tc>
      </w:tr>
    </w:tbl>
    <w:p>
      <w:pPr>
        <w:pStyle w:val="Heading1"/>
      </w:pPr>
      <w:r>
        <w:t>3. Build in this exact order</w:t>
      </w:r>
    </w:p>
    <w:p>
      <w:pPr>
        <w:pStyle w:val="Heading2"/>
      </w:pPr>
      <w:r>
        <w:t>Step 1 — Initialize the repository</w:t>
      </w:r>
    </w:p>
    <w:p>
      <w:pPr>
        <w:pStyle w:val="ListNumber"/>
      </w:pPr>
      <w:r>
        <w:t>Create private Git repository and README; add /api, /workers, /agents, /integrations, /db, /tests, /infra, /docs.</w:t>
      </w:r>
    </w:p>
    <w:p>
      <w:pPr>
        <w:pStyle w:val="ListNumber"/>
      </w:pPr>
      <w:r>
        <w:t>Set up Python environment, linting, type checking, unit tests, CI, dependency lockfile, and sample .env.example without secrets.</w:t>
      </w:r>
    </w:p>
    <w:p>
      <w:pPr>
        <w:pStyle w:val="ListNumber"/>
      </w:pPr>
      <w:r>
        <w:t>Add architecture decision log and a requirements matrix linking every feature to the master specification.</w:t>
      </w:r>
    </w:p>
    <w:p>
      <w:r>
        <w:t>Acceptance: fresh checkout installs, tests run, and no secrets are committed.</w:t>
      </w:r>
    </w:p>
    <w:p>
      <w:pPr>
        <w:pStyle w:val="Heading2"/>
      </w:pPr>
      <w:r>
        <w:t>Step 2 — Define data contracts and database</w:t>
      </w:r>
    </w:p>
    <w:p>
      <w:pPr>
        <w:pStyle w:val="ListNumber"/>
      </w:pPr>
      <w:r>
        <w:t>Create investors, contacts, buy_boxes, search_profiles, property_candidates, property_matches, messages, threads, campaigns, scheduled_sends, consent_suppression, qa_reviews, agent_runs, source_evidence, and audit_events tables.</w:t>
      </w:r>
    </w:p>
    <w:p>
      <w:pPr>
        <w:pStyle w:val="ListNumber"/>
      </w:pPr>
      <w:r>
        <w:t>Use UUID primary keys, source IDs, created/updated timestamps, unique email normalization, idempotency keys and buy-box version numbers.</w:t>
      </w:r>
    </w:p>
    <w:p>
      <w:pPr>
        <w:pStyle w:val="ListNumber"/>
      </w:pPr>
      <w:r>
        <w:t>Represent buy-box geography, asset types, price ranges, condition, strategy, financing and closing preferences as structured fields plus original raw text.</w:t>
      </w:r>
    </w:p>
    <w:p>
      <w:pPr>
        <w:pStyle w:val="ListNumber"/>
      </w:pPr>
      <w:r>
        <w:t>Implement migrations and test duplicate, update, correction, and conflicting-update scenarios.</w:t>
      </w:r>
    </w:p>
    <w:p>
      <w:r>
        <w:t>Acceptance: the same investor can have multiple buy boxes; updates never create accidental duplicates.</w:t>
      </w:r>
    </w:p>
    <w:p>
      <w:pPr>
        <w:pStyle w:val="Heading2"/>
      </w:pPr>
      <w:r>
        <w:t>Step 3 — Connect Microsoft Outlook securely</w:t>
      </w:r>
    </w:p>
    <w:p>
      <w:pPr>
        <w:pStyle w:val="ListNumber"/>
      </w:pPr>
      <w:r>
        <w:t>Register an app in Microsoft Entra ID with only required Microsoft Graph permissions; confirm whether the mailbox is personal or Microsoft 365 business.</w:t>
      </w:r>
    </w:p>
    <w:p>
      <w:pPr>
        <w:pStyle w:val="ListNumber"/>
      </w:pPr>
      <w:r>
        <w:t>Configure OAuth/consent, secure token storage and renewal; never embed credentials in agent prompts.</w:t>
      </w:r>
    </w:p>
    <w:p>
      <w:pPr>
        <w:pStyle w:val="ListNumber"/>
      </w:pPr>
      <w:r>
        <w:t>Subscribe to supported Graph message change notifications or use a polling fallback. Implement subscription renewal and missed-event reconciliation.</w:t>
      </w:r>
    </w:p>
    <w:p>
      <w:pPr>
        <w:pStyle w:val="ListNumber"/>
      </w:pPr>
      <w:r>
        <w:t>Validate webhook handshake and notifications; fetch actual message content and conversationId; detect inbound replies and delivery failures.</w:t>
      </w:r>
    </w:p>
    <w:p>
      <w:pPr>
        <w:pStyle w:val="ListNumber"/>
      </w:pPr>
      <w:r>
        <w:t>Implement draft creation and sending as separate operations; require operator approval in pilot.</w:t>
      </w:r>
    </w:p>
    <w:p>
      <w:r>
        <w:t>Acceptance: one inbound test message produces exactly one logged event, and a drafted reply retains the correct conversation context.</w:t>
      </w:r>
    </w:p>
    <w:p>
      <w:pPr>
        <w:pStyle w:val="Heading2"/>
      </w:pPr>
      <w:r>
        <w:t>Step 4 — Connect Google Sheets and Zapier</w:t>
      </w:r>
    </w:p>
    <w:p>
      <w:pPr>
        <w:pStyle w:val="ListNumber"/>
      </w:pPr>
      <w:r>
        <w:t>Create spreadsheet with tabs: Investors, Contacts, Buy Boxes, Search Profiles, Properties, Matches, Conversations, Suppressions, QA Log.</w:t>
      </w:r>
    </w:p>
    <w:p>
      <w:pPr>
        <w:pStyle w:val="ListNumber"/>
      </w:pPr>
      <w:r>
        <w:t>Set up service-account or authorized OAuth access to the sheet and define a stable investor_id and buy_box_id on every row.</w:t>
      </w:r>
    </w:p>
    <w:p>
      <w:pPr>
        <w:pStyle w:val="ListNumber"/>
      </w:pPr>
      <w:r>
        <w:t>Create Zapier Email Parser mailbox and parser template with stable labels and explicit field delimiters.</w:t>
      </w:r>
    </w:p>
    <w:p>
      <w:pPr>
        <w:pStyle w:val="ListNumber"/>
      </w:pPr>
      <w:r>
        <w:t>Build A6 to email the parser when A4 extracts a new or revised buy box; include investor_id, buy_box_id, version, source_message_id and all structured fields.</w:t>
      </w:r>
    </w:p>
    <w:p>
      <w:pPr>
        <w:pStyle w:val="ListNumber"/>
      </w:pPr>
      <w:r>
        <w:t>Configure Zap to upsert the correct row in Google Sheets; avoid append-only duplicates; if Zapier cannot upsert directly, use a lookup step and create/update branches.</w:t>
      </w:r>
    </w:p>
    <w:p>
      <w:pPr>
        <w:pStyle w:val="ListNumber"/>
      </w:pPr>
      <w:r>
        <w:t>Implement reconciliation from Sheets back to the database, with version conflict handling.</w:t>
      </w:r>
    </w:p>
    <w:p>
      <w:r>
        <w:t>Acceptance: two emails changing one buy box update the same row; replaying a parser message causes no duplicate.</w:t>
      </w:r>
    </w:p>
    <w:p>
      <w:pPr>
        <w:pStyle w:val="Heading2"/>
      </w:pPr>
      <w:r>
        <w:t>Step 5 — Build A1 and A2: discovery and contact research</w:t>
      </w:r>
    </w:p>
    <w:p>
      <w:pPr>
        <w:pStyle w:val="ListNumber"/>
      </w:pPr>
      <w:r>
        <w:t>Define a target-market input and configurable sources; use legitimate business/property transaction records and properly licensed datasets.</w:t>
      </w:r>
    </w:p>
    <w:p>
      <w:pPr>
        <w:pStyle w:val="ListNumber"/>
      </w:pPr>
      <w:r>
        <w:t>Capture investor name/entity, source link, market evidence, transaction dates where verified, investor type, and confidence/unknown fields.</w:t>
      </w:r>
    </w:p>
    <w:p>
      <w:pPr>
        <w:pStyle w:val="ListNumber"/>
      </w:pPr>
      <w:r>
        <w:t>Find publicly available professional contact details or licensed enrichment data; document provenance and use limitations.</w:t>
      </w:r>
    </w:p>
    <w:p>
      <w:pPr>
        <w:pStyle w:val="ListNumber"/>
      </w:pPr>
      <w:r>
        <w:t>Normalize names, LLCs and addresses; merge likely duplicates conservatively, keeping source evidence.</w:t>
      </w:r>
    </w:p>
    <w:p>
      <w:pPr>
        <w:pStyle w:val="ListNumber"/>
      </w:pPr>
      <w:r>
        <w:t>Write records to the database and mirrored sheet.</w:t>
      </w:r>
    </w:p>
    <w:p>
      <w:r>
        <w:t>Acceptance: test run outputs prospects with source citations, no fabricated contact data, and deterministic duplicate handling.</w:t>
      </w:r>
    </w:p>
    <w:p>
      <w:pPr>
        <w:pStyle w:val="Heading2"/>
      </w:pPr>
      <w:r>
        <w:t>Step 6 — Build A3: outreach sequences</w:t>
      </w:r>
    </w:p>
    <w:p>
      <w:pPr>
        <w:pStyle w:val="ListNumber"/>
      </w:pPr>
      <w:r>
        <w:t>Load approved initial Houston template from master spec; parameterize market and first name, but do not falsely claim inventory, contracts, or exclusivity.</w:t>
      </w:r>
    </w:p>
    <w:p>
      <w:pPr>
        <w:pStyle w:val="ListNumber"/>
      </w:pPr>
      <w:r>
        <w:t>Create one initial email and three follow-ups with configurable delays (default approximately 4 days), all within the same thread using Graph reply APIs / preserved conversation context.</w:t>
      </w:r>
    </w:p>
    <w:p>
      <w:pPr>
        <w:pStyle w:val="ListNumber"/>
      </w:pPr>
      <w:r>
        <w:t>Implement subject-line experimentation on initial emails only; test relevance and qualified-response rates, not deceptive urgency.</w:t>
      </w:r>
    </w:p>
    <w:p>
      <w:pPr>
        <w:pStyle w:val="ListNumber"/>
      </w:pPr>
      <w:r>
        <w:t>Stop pending follow-ups on any substantive reply, unsubscribe, suppression, or manual pause.</w:t>
      </w:r>
    </w:p>
    <w:p>
      <w:pPr>
        <w:pStyle w:val="ListNumber"/>
      </w:pPr>
      <w:r>
        <w:t>Apply throttles, business-hour send windows and delivery-error handling; pilot in draft-only mode.</w:t>
      </w:r>
    </w:p>
    <w:p>
      <w:r>
        <w:t>Acceptance: all four messages appear as one conversation, and a reply cancels every future send.</w:t>
      </w:r>
    </w:p>
    <w:p>
      <w:pPr>
        <w:pStyle w:val="Heading2"/>
      </w:pPr>
      <w:r>
        <w:t>Step 7 — Build A4 and A5: conversation and QA</w:t>
      </w:r>
    </w:p>
    <w:p>
      <w:pPr>
        <w:pStyle w:val="ListNumber"/>
      </w:pPr>
      <w:r>
        <w:t>Classify each inbound message: interested, buy box supplied, question, not now, not interested, opt-out, ambiguous, or unrelated.</w:t>
      </w:r>
    </w:p>
    <w:p>
      <w:pPr>
        <w:pStyle w:val="ListNumber"/>
      </w:pPr>
      <w:r>
        <w:t>For interested replies, extract explicit criteria and ask only for missing information that matters; preserve entire thread context.</w:t>
      </w:r>
    </w:p>
    <w:p>
      <w:pPr>
        <w:pStyle w:val="ListNumber"/>
      </w:pPr>
      <w:r>
        <w:t>For not-now replies, capture preferred reconnect date if offered; for opt-outs, suppress immediately.</w:t>
      </w:r>
    </w:p>
    <w:p>
      <w:pPr>
        <w:pStyle w:val="ListNumber"/>
      </w:pPr>
      <w:r>
        <w:t>Pass every outbound draft to QA with previous thread messages, facts known, latest buy box and marketing rules.</w:t>
      </w:r>
    </w:p>
    <w:p>
      <w:pPr>
        <w:pStyle w:val="ListNumber"/>
      </w:pPr>
      <w:r>
        <w:t>Block drafts with contradictory facts, invented deals, inappropriate promises, wrong recipient, repeated requests, prohibited claims, or opt-out violations.</w:t>
      </w:r>
    </w:p>
    <w:p>
      <w:pPr>
        <w:pStyle w:val="ListNumber"/>
      </w:pPr>
      <w:r>
        <w:t>Record review results and require manual escalation for ambiguous legal, price, contract, or commitment questions.</w:t>
      </w:r>
    </w:p>
    <w:p>
      <w:r>
        <w:t>Acceptance: tests include sarcasm, corrections, multiple buy boxes, quoted old email text, opt-out requests, and out-of-office replies.</w:t>
      </w:r>
    </w:p>
    <w:p>
      <w:pPr>
        <w:pStyle w:val="Heading2"/>
      </w:pPr>
      <w:r>
        <w:t>Step 8 — Build D1: buy-box-triggered property searches</w:t>
      </w:r>
    </w:p>
    <w:p>
      <w:pPr>
        <w:pStyle w:val="ListNumber"/>
      </w:pPr>
      <w:r>
        <w:t>Listen for buy_box.created and buy_box.updated events from the authoritative database and/or Sheets reconciliation.</w:t>
      </w:r>
    </w:p>
    <w:p>
      <w:pPr>
        <w:pStyle w:val="ListNumber"/>
      </w:pPr>
      <w:r>
        <w:t>Normalize city, ZIP, property class, min/max budget, condition and investor constraints into versioned search_profiles.</w:t>
      </w:r>
    </w:p>
    <w:p>
      <w:pPr>
        <w:pStyle w:val="ListNumber"/>
      </w:pPr>
      <w:r>
        <w:t>Queue a property search when a profile is created or meaningfully changed; coalesce duplicate events.</w:t>
      </w:r>
    </w:p>
    <w:p>
      <w:pPr>
        <w:pStyle w:val="ListNumber"/>
      </w:pPr>
      <w:r>
        <w:t>Do not assume property search access is available: select and contract with a data provider or documented public-record workflow per market.</w:t>
      </w:r>
    </w:p>
    <w:p>
      <w:pPr>
        <w:pStyle w:val="ListNumber"/>
      </w:pPr>
      <w:r>
        <w:t>Log exact source, retrieval time, match logic, missing fields, and source restrictions.</w:t>
      </w:r>
    </w:p>
    <w:p>
      <w:r>
        <w:t>Acceptance: entering a new buy box creates one active search profile and queues exactly one initial search.</w:t>
      </w:r>
    </w:p>
    <w:p>
      <w:pPr>
        <w:pStyle w:val="Heading2"/>
      </w:pPr>
      <w:r>
        <w:t>Step 9 — Build D2: property matching and deal review</w:t>
      </w:r>
    </w:p>
    <w:p>
      <w:pPr>
        <w:pStyle w:val="ListNumber"/>
      </w:pPr>
      <w:r>
        <w:t>Query approved property sources within each profile; deduplicate listings/parcels by stable IDs and addresses.</w:t>
      </w:r>
    </w:p>
    <w:p>
      <w:pPr>
        <w:pStyle w:val="ListNumber"/>
      </w:pPr>
      <w:r>
        <w:t>Rank matches by buy-box fit and confidence, with separate underwriting estimates for ARV, repairs, fees, assignment spread and market liquidity.</w:t>
      </w:r>
    </w:p>
    <w:p>
      <w:pPr>
        <w:pStyle w:val="ListNumber"/>
      </w:pPr>
      <w:r>
        <w:t>Flag title, liens, HOA issues, financing constraints, and data gaps for manual due diligence; do not imply a seller has agreed to sell.</w:t>
      </w:r>
    </w:p>
    <w:p>
      <w:pPr>
        <w:pStyle w:val="ListNumber"/>
      </w:pPr>
      <w:r>
        <w:t>Send candidate matches to a review dashboard or sheet. Only approved deals can be described to buyers as available opportunities.</w:t>
      </w:r>
    </w:p>
    <w:p>
      <w:pPr>
        <w:pStyle w:val="ListNumber"/>
      </w:pPr>
      <w:r>
        <w:t>Track response, contract status, actual closings and realized assignment economics for later optimization.</w:t>
      </w:r>
    </w:p>
    <w:p>
      <w:r>
        <w:t>Acceptance: every suggested property shows evidence, reason for match, uncertainty and a human-review status.</w:t>
      </w:r>
    </w:p>
    <w:p>
      <w:pPr>
        <w:pStyle w:val="Heading2"/>
      </w:pPr>
      <w:r>
        <w:t>Step 10 — Deploy the 24/7 runtime</w:t>
      </w:r>
    </w:p>
    <w:p>
      <w:pPr>
        <w:pStyle w:val="ListNumber"/>
      </w:pPr>
      <w:r>
        <w:t>Provision cloud app/container service, managed Postgres, queue, object/log storage, secrets manager, and HTTPS endpoint.</w:t>
      </w:r>
    </w:p>
    <w:p>
      <w:pPr>
        <w:pStyle w:val="ListNumber"/>
      </w:pPr>
      <w:r>
        <w:t>Deploy API/webhook worker, background workers and scheduler separately; configure health checks, restart policies and dead-letter queues.</w:t>
      </w:r>
    </w:p>
    <w:p>
      <w:pPr>
        <w:pStyle w:val="ListNumber"/>
      </w:pPr>
      <w:r>
        <w:t>Schedule recurring discovery and search jobs with cron/cloud scheduler; use Outlook event triggers for immediate inbound processing.</w:t>
      </w:r>
    </w:p>
    <w:p>
      <w:pPr>
        <w:pStyle w:val="ListNumber"/>
      </w:pPr>
      <w:r>
        <w:t>Use least-privilege IAM, encryption, backups, data retention, token rotation and cost budgets.</w:t>
      </w:r>
    </w:p>
    <w:p>
      <w:pPr>
        <w:pStyle w:val="ListNumber"/>
      </w:pPr>
      <w:r>
        <w:t>Configure alerts for webhook expiration, failed syncs, parser errors, stuck queues, bounced emails, and agent QA failures.</w:t>
      </w:r>
    </w:p>
    <w:p>
      <w:pPr>
        <w:pStyle w:val="ListNumber"/>
      </w:pPr>
      <w:r>
        <w:t>Test redeploy/restart and ensure pending sends are neither lost nor duplicated.</w:t>
      </w:r>
    </w:p>
    <w:p>
      <w:r>
        <w:t>Acceptance: workflows run after laptop shutdown, recover from a worker restart, and expose health/alert status.</w:t>
      </w:r>
    </w:p>
    <w:p>
      <w:pPr>
        <w:pStyle w:val="Heading2"/>
      </w:pPr>
      <w:r>
        <w:t>Step 11 — Pilot and scale</w:t>
      </w:r>
    </w:p>
    <w:p>
      <w:pPr>
        <w:pStyle w:val="ListNumber"/>
      </w:pPr>
      <w:r>
        <w:t>Run 10–20 synthetic investor profiles and controlled test mailboxes before real outreach.</w:t>
      </w:r>
    </w:p>
    <w:p>
      <w:pPr>
        <w:pStyle w:val="ListNumber"/>
      </w:pPr>
      <w:r>
        <w:t>Manually approve first live sends and monitor delivery, reply, buy-box capture, parser accuracy, search-match accuracy, opt-outs and costs.</w:t>
      </w:r>
    </w:p>
    <w:p>
      <w:pPr>
        <w:pStyle w:val="ListNumber"/>
      </w:pPr>
      <w:r>
        <w:t>Expand outreach gradually only after reviewing legal requirements and operational quality.</w:t>
      </w:r>
    </w:p>
    <w:p>
      <w:pPr>
        <w:pStyle w:val="ListNumber"/>
      </w:pPr>
      <w:r>
        <w:t>Maintain daily KPI dashboard: discovered contacts, messages sent, responses, qualified buy boxes, matching properties, reviewed deals, contracts, assignment fees, and cost per qualified buyer.</w:t>
      </w:r>
    </w:p>
    <w:p>
      <w:pPr>
        <w:pStyle w:val="ListNumber"/>
      </w:pPr>
      <w:r>
        <w:t>Optimize on verified qualified responses and completed deals, not email open rates alone (which can be unreliable).</w:t>
      </w:r>
    </w:p>
    <w:p>
      <w:pPr>
        <w:pStyle w:val="Heading1"/>
      </w:pPr>
      <w:r>
        <w:t>4. Exact automation triggers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Trigger</w:t>
            </w:r>
          </w:p>
        </w:tc>
        <w:tc>
          <w:tcPr>
            <w:tcW w:type="dxa" w:w="3312"/>
          </w:tcPr>
          <w:p>
            <w:r>
              <w:t>Action</w:t>
            </w:r>
          </w:p>
        </w:tc>
        <w:tc>
          <w:tcPr>
            <w:tcW w:type="dxa" w:w="3312"/>
          </w:tcPr>
          <w:p>
            <w:r>
              <w:t>Guardrail</w:t>
            </w:r>
          </w:p>
        </w:tc>
      </w:tr>
      <w:tr>
        <w:tc>
          <w:tcPr>
            <w:tcW w:type="dxa" w:w="3312"/>
          </w:tcPr>
          <w:p>
            <w:r>
              <w:t>06:00 local schedule</w:t>
            </w:r>
          </w:p>
        </w:tc>
        <w:tc>
          <w:tcPr>
            <w:tcW w:type="dxa" w:w="3312"/>
          </w:tcPr>
          <w:p>
            <w:r>
              <w:t>Refresh investor discovery / source jobs</w:t>
            </w:r>
          </w:p>
        </w:tc>
        <w:tc>
          <w:tcPr>
            <w:tcW w:type="dxa" w:w="3312"/>
          </w:tcPr>
          <w:p>
            <w:r>
              <w:t>Configured timezone; prevent overlapping runs.</w:t>
            </w:r>
          </w:p>
        </w:tc>
      </w:tr>
      <w:tr>
        <w:tc>
          <w:tcPr>
            <w:tcW w:type="dxa" w:w="3312"/>
          </w:tcPr>
          <w:p>
            <w:r>
              <w:t>07:00 local schedule</w:t>
            </w:r>
          </w:p>
        </w:tc>
        <w:tc>
          <w:tcPr>
            <w:tcW w:type="dxa" w:w="3312"/>
          </w:tcPr>
          <w:p>
            <w:r>
              <w:t>Review due outreach and QA drafts</w:t>
            </w:r>
          </w:p>
        </w:tc>
        <w:tc>
          <w:tcPr>
            <w:tcW w:type="dxa" w:w="3312"/>
          </w:tcPr>
          <w:p>
            <w:r>
              <w:t>Honor send window, suppression and approval mode.</w:t>
            </w:r>
          </w:p>
        </w:tc>
      </w:tr>
      <w:tr>
        <w:tc>
          <w:tcPr>
            <w:tcW w:type="dxa" w:w="3312"/>
          </w:tcPr>
          <w:p>
            <w:r>
              <w:t>Outlook message received</w:t>
            </w:r>
          </w:p>
        </w:tc>
        <w:tc>
          <w:tcPr>
            <w:tcW w:type="dxa" w:w="3312"/>
          </w:tcPr>
          <w:p>
            <w:r>
              <w:t>Run A4 → A5 → reply/draft</w:t>
            </w:r>
          </w:p>
        </w:tc>
        <w:tc>
          <w:tcPr>
            <w:tcW w:type="dxa" w:w="3312"/>
          </w:tcPr>
          <w:p>
            <w:r>
              <w:t>Deduplicate by message ID; stop sequence on reply.</w:t>
            </w:r>
          </w:p>
        </w:tc>
      </w:tr>
      <w:tr>
        <w:tc>
          <w:tcPr>
            <w:tcW w:type="dxa" w:w="3312"/>
          </w:tcPr>
          <w:p>
            <w:r>
              <w:t>Buy box extracted</w:t>
            </w:r>
          </w:p>
        </w:tc>
        <w:tc>
          <w:tcPr>
            <w:tcW w:type="dxa" w:w="3312"/>
          </w:tcPr>
          <w:p>
            <w:r>
              <w:t>Run A6 → parser → Sheets upsert</w:t>
            </w:r>
          </w:p>
        </w:tc>
        <w:tc>
          <w:tcPr>
            <w:tcW w:type="dxa" w:w="3312"/>
          </w:tcPr>
          <w:p>
            <w:r>
              <w:t>Persist source and version; retry failures.</w:t>
            </w:r>
          </w:p>
        </w:tc>
      </w:tr>
      <w:tr>
        <w:tc>
          <w:tcPr>
            <w:tcW w:type="dxa" w:w="3312"/>
          </w:tcPr>
          <w:p>
            <w:r>
              <w:t>New/updated buy box row</w:t>
            </w:r>
          </w:p>
        </w:tc>
        <w:tc>
          <w:tcPr>
            <w:tcW w:type="dxa" w:w="3312"/>
          </w:tcPr>
          <w:p>
            <w:r>
              <w:t>Run D1 → property search → D2</w:t>
            </w:r>
          </w:p>
        </w:tc>
        <w:tc>
          <w:tcPr>
            <w:tcW w:type="dxa" w:w="3312"/>
          </w:tcPr>
          <w:p>
            <w:r>
              <w:t>Only meaningful changes retrigger; provider rate limits.</w:t>
            </w:r>
          </w:p>
        </w:tc>
      </w:tr>
      <w:tr>
        <w:tc>
          <w:tcPr>
            <w:tcW w:type="dxa" w:w="3312"/>
          </w:tcPr>
          <w:p>
            <w:r>
              <w:t>Opt-out received</w:t>
            </w:r>
          </w:p>
        </w:tc>
        <w:tc>
          <w:tcPr>
            <w:tcW w:type="dxa" w:w="3312"/>
          </w:tcPr>
          <w:p>
            <w:r>
              <w:t>Immediate suppression</w:t>
            </w:r>
          </w:p>
        </w:tc>
        <w:tc>
          <w:tcPr>
            <w:tcW w:type="dxa" w:w="3312"/>
          </w:tcPr>
          <w:p>
            <w:r>
              <w:t>Cancel queued sends across all campaigns.</w:t>
            </w:r>
          </w:p>
        </w:tc>
      </w:tr>
      <w:tr>
        <w:tc>
          <w:tcPr>
            <w:tcW w:type="dxa" w:w="3312"/>
          </w:tcPr>
          <w:p>
            <w:r>
              <w:t>Daily reconciliation</w:t>
            </w:r>
          </w:p>
        </w:tc>
        <w:tc>
          <w:tcPr>
            <w:tcW w:type="dxa" w:w="3312"/>
          </w:tcPr>
          <w:p>
            <w:r>
              <w:t>Compare Outlook, parser, Sheets, database</w:t>
            </w:r>
          </w:p>
        </w:tc>
        <w:tc>
          <w:tcPr>
            <w:tcW w:type="dxa" w:w="3312"/>
          </w:tcPr>
          <w:p>
            <w:r>
              <w:t>Alert on mismatches; do not silently overwrite.</w:t>
            </w:r>
          </w:p>
        </w:tc>
      </w:tr>
    </w:tbl>
    <w:p>
      <w:r>
        <w:t>The 06:00 and 07:00 times are illustrative examples based on the discussed scheduling concept, not user-approved production send times.</w:t>
      </w:r>
    </w:p>
    <w:p>
      <w:pPr>
        <w:pStyle w:val="Heading1"/>
      </w:pPr>
      <w:r>
        <w:t>5. Operational security and compliance checkpoints</w:t>
      </w:r>
    </w:p>
    <w:p>
      <w:pPr>
        <w:pStyle w:val="ListBullet"/>
      </w:pPr>
      <w:r>
        <w:t>Email: comply with CAN-SPAM and provider anti-spam rules; include truthful headers/subjects, sender identification, postal address and effective opt-out where required.</w:t>
      </w:r>
    </w:p>
    <w:p>
      <w:pPr>
        <w:pStyle w:val="ListBullet"/>
      </w:pPr>
      <w:r>
        <w:t>Text/calls: do not enable by default. Assess TCPA, federal/state DNC, consent, carrier A2P registration and state-specific rules before automated SMS or calls.</w:t>
      </w:r>
    </w:p>
    <w:p>
      <w:pPr>
        <w:pStyle w:val="ListBullet"/>
      </w:pPr>
      <w:r>
        <w:t>Wholesaling: obtain state-specific review of licensing, advertising equitable interests, required disclosures, assignments, title/escrow practices and earnest-money risk before entering a new market.</w:t>
      </w:r>
    </w:p>
    <w:p>
      <w:pPr>
        <w:pStyle w:val="ListBullet"/>
      </w:pPr>
      <w:r>
        <w:t>Privacy: minimize personal data, restrict access, document sources, honor removal requests, and avoid scraping prohibited or restricted sources.</w:t>
      </w:r>
    </w:p>
    <w:p>
      <w:pPr>
        <w:pStyle w:val="ListBullet"/>
      </w:pPr>
      <w:r>
        <w:t>AI autonomy: no autonomous execution of purchase contracts, earnest-money transfers, binding negotiations, or investor misrepresentations.</w:t>
      </w:r>
    </w:p>
    <w:p>
      <w:pPr>
        <w:pStyle w:val="Heading1"/>
      </w:pPr>
      <w:r>
        <w:t>6. Prompt to give Claude Code</w:t>
      </w:r>
    </w:p>
    <w:p>
      <w:r>
        <w:t>Copy the following into Claude Code with BOTH Word documents available in the project folder:</w:t>
      </w:r>
    </w:p>
    <w:p>
      <w:r>
        <w:t>You are the lead engineer for a production-oriented real estate wholesaling automation system. Read Wholesale_Automation_Master_Spec_v1.docx and Claude_Code_Wholesaling_Build_Guide_v1.docx completely. Extract requirements and create REQUIREMENTS.md with statuses CONFIRMED, PROPOSED, REJECTED and OPEN. Do not silently replace user decisions. Implement the build guide in order, starting with repository structure, database schema, integration interfaces, mocks, and tests. Use a multi-agent development workflow if available, with separate architecture, integrations, agent logic, QA/testing, and deployment responsibilities; integrate and review all contributions. Do not assume credentials or paid services are configured. Where access is required, create .env.example, setup documentation and a clear human-action checkpoint. Use draft-only communications until explicitly authorized. Keep Google Sheets and the Zapier parser in the workflow. Ensure Outlook thread replies, reply-triggered cancellation, buy-box versioning, search-profile triggering, idempotency, logging and compliance gates. After each milestone, report implemented files, passing tests, blocked items and exact next steps. Do not claim 24/7 operation until the deployed runtime is verified. Start by implementing Step 1 and Step 2; do not send live messages or purchase services.</w:t>
      </w:r>
    </w:p>
    <w:p>
      <w:pPr>
        <w:pStyle w:val="Heading1"/>
      </w:pPr>
      <w:r>
        <w:t>7. Definition of done</w:t>
      </w:r>
    </w:p>
    <w:p>
      <w:pPr>
        <w:pStyle w:val="ListBullet"/>
      </w:pPr>
      <w:r>
        <w:t>Source code, configuration templates, deployment infrastructure, tests, operating runbook and operator dashboard exist.</w:t>
      </w:r>
    </w:p>
    <w:p>
      <w:pPr>
        <w:pStyle w:val="ListBullet"/>
      </w:pPr>
      <w:r>
        <w:t>All six investor functions and both deal-search functions pass end-to-end tests with synthetic data.</w:t>
      </w:r>
    </w:p>
    <w:p>
      <w:pPr>
        <w:pStyle w:val="ListBullet"/>
      </w:pPr>
      <w:r>
        <w:t>Outlook triggers, same-thread follow-ups, response cancellation, QA approval, parser upserts and buy-box-triggered searches work under live authorized integrations.</w:t>
      </w:r>
    </w:p>
    <w:p>
      <w:pPr>
        <w:pStyle w:val="ListBullet"/>
      </w:pPr>
      <w:r>
        <w:t>A deployed worker runs unattended and survives restarts; costs and errors are visible.</w:t>
      </w:r>
    </w:p>
    <w:p>
      <w:pPr>
        <w:pStyle w:val="ListBullet"/>
      </w:pPr>
      <w:r>
        <w:t>User has approved sending permissions, outreach claims, jurisdictions and go-live checklist.</w:t>
      </w:r>
    </w:p>
    <w:p>
      <w:pPr>
        <w:pStyle w:val="Heading1"/>
      </w:pPr>
      <w:r>
        <w:t>8. Decisions requiring user input later</w:t>
      </w:r>
    </w:p>
    <w:p>
      <w:r>
        <w:t>Cloud provider; model provider/API budget; Outlook account type and mailbox; target Google account/Sheet; Zapier account; first property-data source; initial markets; approved sender identity, company/address, send windows, outreach volumes; whether SMS is ever enabled; human review and contract workflow.</w:t>
      </w:r>
    </w:p>
    <w:p>
      <w:r>
        <w:t>Prepared as an engineering plan. Validate current API capabilities, prices and jurisdiction-specific legal requirements at implementation time.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8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8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8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