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Wholesale Real Estate Automation</w:t>
      </w:r>
    </w:p>
    <w:p>
      <w:r>
        <w:t>MASTER PROJECT SPECIFICATION  |  Version 1.0  |  October 25, 2026</w:t>
      </w:r>
    </w:p>
    <w:p>
      <w:r>
        <w:t>Purpose: Preserve decisions made in conversation as a durable source of truth. This is a design specification, not a claim that bots, accounts, automations, searches, or integrations have been deployed.</w:t>
      </w:r>
    </w:p>
    <w:p>
      <w:pPr>
        <w:pStyle w:val="Heading1"/>
      </w:pPr>
      <w:r>
        <w:t>1. Mission and operating principles</w:t>
      </w:r>
    </w:p>
    <w:p>
      <w:pPr>
        <w:pStyle w:val="ListBullet"/>
      </w:pPr>
      <w:r>
        <w:t>Build a lean, highly automated real-estate wholesaling operation, initially discussed for Houston but no longer geographically restricted.</w:t>
      </w:r>
    </w:p>
    <w:p>
      <w:pPr>
        <w:pStyle w:val="ListBullet"/>
      </w:pPr>
      <w:r>
        <w:t>Investor demand drives acquisition: collect actual buyer criteria first; search for properties that fit those buy boxes rather than collecting arbitrary distressed leads.</w:t>
      </w:r>
    </w:p>
    <w:p>
      <w:pPr>
        <w:pStyle w:val="ListBullet"/>
      </w:pPr>
      <w:r>
        <w:t>Use Google Sheets as the initial shared database, Zapier for workflow orchestration and parsing, and AI agents for research, conversations, quality control and matching.</w:t>
      </w:r>
    </w:p>
    <w:p>
      <w:pPr>
        <w:pStyle w:val="ListBullet"/>
      </w:pPr>
      <w:r>
        <w:t>Prefer minimal overhead, clear ownership of each function, practical implementations and no unnecessary duplicate validation steps.</w:t>
      </w:r>
    </w:p>
    <w:p>
      <w:pPr>
        <w:pStyle w:val="ListBullet"/>
      </w:pPr>
      <w:r>
        <w:t>Keep the architecture flexible: ChatGPT Dots may be considered, but its availability, integrations, and unattended execution capabilities must be confirmed before selection.</w:t>
      </w:r>
    </w:p>
    <w:p>
      <w:pPr>
        <w:pStyle w:val="Heading1"/>
      </w:pPr>
      <w:r>
        <w:t>2. Confirmed investor-side workflow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Bot</w:t>
            </w:r>
          </w:p>
        </w:tc>
        <w:tc>
          <w:tcPr>
            <w:tcW w:type="dxa" w:w="4896"/>
          </w:tcPr>
          <w:p>
            <w:r>
              <w:t>Responsibility / rule</w:t>
            </w:r>
          </w:p>
        </w:tc>
      </w:tr>
      <w:tr>
        <w:tc>
          <w:tcPr>
            <w:tcW w:type="dxa" w:w="4896"/>
          </w:tcPr>
          <w:p>
            <w:r>
              <w:t>1. Investor Discovery</w:t>
            </w:r>
          </w:p>
        </w:tc>
        <w:tc>
          <w:tcPr>
            <w:tcW w:type="dxa" w:w="4896"/>
          </w:tcPr>
          <w:p>
            <w:r>
              <w:t>Find investors anywhere who are buying, or willing to buy, properties in target markets; append prospects to a central list. Avoid burdensome qualification.</w:t>
            </w:r>
          </w:p>
        </w:tc>
      </w:tr>
      <w:tr>
        <w:tc>
          <w:tcPr>
            <w:tcW w:type="dxa" w:w="4896"/>
          </w:tcPr>
          <w:p>
            <w:r>
              <w:t>2. Contact Research</w:t>
            </w:r>
          </w:p>
        </w:tc>
        <w:tc>
          <w:tcPr>
            <w:tcW w:type="dxa" w:w="4896"/>
          </w:tcPr>
          <w:p>
            <w:r>
              <w:t>Find prospect email addresses and phone numbers; remove obvious duplicates and junk. No separate email-verification bot.</w:t>
            </w:r>
          </w:p>
        </w:tc>
      </w:tr>
      <w:tr>
        <w:tc>
          <w:tcPr>
            <w:tcW w:type="dxa" w:w="4896"/>
          </w:tcPr>
          <w:p>
            <w:r>
              <w:t>3. Outreach</w:t>
            </w:r>
          </w:p>
        </w:tc>
        <w:tc>
          <w:tcPr>
            <w:tcW w:type="dxa" w:w="4896"/>
          </w:tcPr>
          <w:p>
            <w:r>
              <w:t>Send personalized initial email and three follow-ups approximately four days apart; follow-ups remain in the original thread; stop on reply.</w:t>
            </w:r>
          </w:p>
        </w:tc>
      </w:tr>
      <w:tr>
        <w:tc>
          <w:tcPr>
            <w:tcW w:type="dxa" w:w="4896"/>
          </w:tcPr>
          <w:p>
            <w:r>
              <w:t>4. Conversation</w:t>
            </w:r>
          </w:p>
        </w:tc>
        <w:tc>
          <w:tcPr>
            <w:tcW w:type="dxa" w:w="4896"/>
          </w:tcPr>
          <w:p>
            <w:r>
              <w:t>Handle investor replies, maintain conversation context, answer questions, capture buy boxes, manage not-now responses and opt-outs; escalate as needed.</w:t>
            </w:r>
          </w:p>
        </w:tc>
      </w:tr>
      <w:tr>
        <w:tc>
          <w:tcPr>
            <w:tcW w:type="dxa" w:w="4896"/>
          </w:tcPr>
          <w:p>
            <w:r>
              <w:t>5. QA &amp; Performance</w:t>
            </w:r>
          </w:p>
        </w:tc>
        <w:tc>
          <w:tcPr>
            <w:tcW w:type="dxa" w:w="4896"/>
          </w:tcPr>
          <w:p>
            <w:r>
              <w:t>Review every outgoing Bot 3/4 email or text before send for tone, accuracy, context and compliance; track qualified buy boxes, response and opt-out rates; improve messaging.</w:t>
            </w:r>
          </w:p>
        </w:tc>
      </w:tr>
      <w:tr>
        <w:tc>
          <w:tcPr>
            <w:tcW w:type="dxa" w:w="4896"/>
          </w:tcPr>
          <w:p>
            <w:r>
              <w:t>6. Buy-box Formatting</w:t>
            </w:r>
          </w:p>
        </w:tc>
        <w:tc>
          <w:tcPr>
            <w:tcW w:type="dxa" w:w="4896"/>
          </w:tcPr>
          <w:p>
            <w:r>
              <w:t>Convert criteria identified by Bot 4 into structured fields; email formatted output to a dedicated Zapier Email Parser address; Zapier upserts into Sheets without duplicate records.</w:t>
            </w:r>
          </w:p>
        </w:tc>
      </w:tr>
    </w:tbl>
    <w:p>
      <w:pPr>
        <w:pStyle w:val="Heading1"/>
      </w:pPr>
      <w:r>
        <w:t>3. Approved investor outreach</w:t>
      </w:r>
    </w:p>
    <w:p>
      <w:r>
        <w:t>Initial outreach body (retain wording unless user explicitly changes it):</w:t>
      </w:r>
    </w:p>
    <w:p>
      <w:r>
        <w:t>Hi [First Name],</w:t>
      </w:r>
    </w:p>
    <w:p/>
    <w:p>
      <w:r>
        <w:t>We're always working on new wholesale real estate opportunities throughout the Houston area and are looking to connect with investors interested in off-market deals.</w:t>
      </w:r>
    </w:p>
    <w:p/>
    <w:p>
      <w:r>
        <w:t>Are you currently purchasing properties in Houston? If so, would you mind sharing your current buy box so we can send opportunities that match your investment criteria?</w:t>
      </w:r>
    </w:p>
    <w:p/>
    <w:p>
      <w:r>
        <w:t>Best,</w:t>
      </w:r>
    </w:p>
    <w:p>
      <w:r>
        <w:t>[Your Name]</w:t>
      </w:r>
    </w:p>
    <w:p>
      <w:r>
        <w:t>Important: The above copy was approved for Houston-area outreach. Before using in other markets, replace Houston with the actual target market and avoid implying an existing inventory or contracts that do not exist.</w:t>
      </w:r>
    </w:p>
    <w:p>
      <w:pPr>
        <w:pStyle w:val="ListBullet"/>
      </w:pPr>
      <w:r>
        <w:t>Optimize subject lines for relevance and qualified responses; test them without repeatedly presenting lists of subject options.</w:t>
      </w:r>
    </w:p>
    <w:p>
      <w:pPr>
        <w:pStyle w:val="ListBullet"/>
      </w:pPr>
      <w:r>
        <w:t>Send three follow-ups roughly four days apart, within the same email thread, and cancel the sequence when a reply is received.</w:t>
      </w:r>
    </w:p>
    <w:p>
      <w:pPr>
        <w:pStyle w:val="ListBullet"/>
      </w:pPr>
      <w:r>
        <w:t>Final follow-up tone: “Did we miss the mark, or is now simply not a good time? Let us know when would be better to reconnect.” This is guidance, not approved verbatim copy.</w:t>
      </w:r>
    </w:p>
    <w:p>
      <w:pPr>
        <w:pStyle w:val="ListBullet"/>
      </w:pPr>
      <w:r>
        <w:t>Honor opt-outs and applicable commercial-email, telephone and text-messaging rules.</w:t>
      </w:r>
    </w:p>
    <w:p>
      <w:pPr>
        <w:pStyle w:val="Heading1"/>
      </w:pPr>
      <w:r>
        <w:t>4. Buy-box data and storage</w:t>
      </w:r>
    </w:p>
    <w:p>
      <w:r>
        <w:t>Investor response bot captures: property type, preferred ZIP codes / neighborhoods / markets, budget or price range, condition tolerance, financing type, closing timeline, and any other explicitly stated criteria.</w:t>
      </w:r>
    </w:p>
    <w:p>
      <w:r>
        <w:t>Suggested Sheets tabs (implementation proposal, not previously approved): Investors, Contacts, Buy Boxes, Search Profiles, Properties, Matches, Conversations, Outreach Events, Suppressions, and QA Log.</w:t>
      </w:r>
    </w:p>
    <w:p>
      <w:r>
        <w:t>Recommended identifiers: stable investor ID; separate buy-box ID for each distinct set of criteria; source/message reference; timestamps; last-updated timestamp; active/inactive status. Use deterministic upserts to prevent duplicate profiles.</w:t>
      </w:r>
    </w:p>
    <w:p>
      <w:pPr>
        <w:pStyle w:val="Heading1"/>
      </w:pPr>
      <w:r>
        <w:t>5. Newly confirmed deal-side requirement: buy-box-triggered search</w:t>
      </w:r>
    </w:p>
    <w:p>
      <w:r>
        <w:t>TRIGGER: Whenever a new buy box is added to Google Sheets, the system converts it into a usable property-search profile. The profile can then be searched in the markets and property types specified by that investor.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Stage</w:t>
            </w:r>
          </w:p>
        </w:tc>
        <w:tc>
          <w:tcPr>
            <w:tcW w:type="dxa" w:w="4896"/>
          </w:tcPr>
          <w:p>
            <w:r>
              <w:t>Expected behavior</w:t>
            </w:r>
          </w:p>
        </w:tc>
      </w:tr>
      <w:tr>
        <w:tc>
          <w:tcPr>
            <w:tcW w:type="dxa" w:w="4896"/>
          </w:tcPr>
          <w:p>
            <w:r>
              <w:t>Detect</w:t>
            </w:r>
          </w:p>
        </w:tc>
        <w:tc>
          <w:tcPr>
            <w:tcW w:type="dxa" w:w="4896"/>
          </w:tcPr>
          <w:p>
            <w:r>
              <w:t>Zapier or equivalent detects a new/updated buy-box row.</w:t>
            </w:r>
          </w:p>
        </w:tc>
      </w:tr>
      <w:tr>
        <w:tc>
          <w:tcPr>
            <w:tcW w:type="dxa" w:w="4896"/>
          </w:tcPr>
          <w:p>
            <w:r>
              <w:t>Normalize</w:t>
            </w:r>
          </w:p>
        </w:tc>
        <w:tc>
          <w:tcPr>
            <w:tcW w:type="dxa" w:w="4896"/>
          </w:tcPr>
          <w:p>
            <w:r>
              <w:t>Convert free text to structured search fields, retaining original wording and unknowns.</w:t>
            </w:r>
          </w:p>
        </w:tc>
      </w:tr>
      <w:tr>
        <w:tc>
          <w:tcPr>
            <w:tcW w:type="dxa" w:w="4896"/>
          </w:tcPr>
          <w:p>
            <w:r>
              <w:t>Activate</w:t>
            </w:r>
          </w:p>
        </w:tc>
        <w:tc>
          <w:tcPr>
            <w:tcW w:type="dxa" w:w="4896"/>
          </w:tcPr>
          <w:p>
            <w:r>
              <w:t>Create or update a searchable profile linked to the buy-box ID.</w:t>
            </w:r>
          </w:p>
        </w:tc>
      </w:tr>
      <w:tr>
        <w:tc>
          <w:tcPr>
            <w:tcW w:type="dxa" w:w="4896"/>
          </w:tcPr>
          <w:p>
            <w:r>
              <w:t>Search</w:t>
            </w:r>
          </w:p>
        </w:tc>
        <w:tc>
          <w:tcPr>
            <w:tcW w:type="dxa" w:w="4896"/>
          </w:tcPr>
          <w:p>
            <w:r>
              <w:t>Use appropriate lawful property-data sources to identify candidate properties meeting profile constraints.</w:t>
            </w:r>
          </w:p>
        </w:tc>
      </w:tr>
      <w:tr>
        <w:tc>
          <w:tcPr>
            <w:tcW w:type="dxa" w:w="4896"/>
          </w:tcPr>
          <w:p>
            <w:r>
              <w:t>Match</w:t>
            </w:r>
          </w:p>
        </w:tc>
        <w:tc>
          <w:tcPr>
            <w:tcW w:type="dxa" w:w="4896"/>
          </w:tcPr>
          <w:p>
            <w:r>
              <w:t>Link candidates back to the investor profile and preserve why each property matched.</w:t>
            </w:r>
          </w:p>
        </w:tc>
      </w:tr>
      <w:tr>
        <w:tc>
          <w:tcPr>
            <w:tcW w:type="dxa" w:w="4896"/>
          </w:tcPr>
          <w:p>
            <w:r>
              <w:t>Review</w:t>
            </w:r>
          </w:p>
        </w:tc>
        <w:tc>
          <w:tcPr>
            <w:tcW w:type="dxa" w:w="4896"/>
          </w:tcPr>
          <w:p>
            <w:r>
              <w:t>Require value, title/ownership, deal economics and seller intent to be checked before presenting any property as an actionable deal.</w:t>
            </w:r>
          </w:p>
        </w:tc>
      </w:tr>
    </w:tbl>
    <w:p>
      <w:r>
        <w:t>Avoid duplicate search jobs for the same buy-box revision. Changes to a buy box should update its search profile, not create an unrelated new one.</w:t>
      </w:r>
    </w:p>
    <w:p>
      <w:pPr>
        <w:pStyle w:val="Heading1"/>
      </w:pPr>
      <w:r>
        <w:t>6. Geographic strategy — revised</w:t>
      </w:r>
    </w:p>
    <w:p>
      <w:r>
        <w:t>The project is NOT Houston-only. The user requested a quick comparative search for states/cities with strong and relatively straightforward wholesaling opportunities; searches should target the markets that win that comparison.</w:t>
      </w:r>
    </w:p>
    <w:p>
      <w:r>
        <w:t>Earlier candidate markets mentioned: Indianapolis, Atlanta, Birmingham, Jacksonville, Houston and Cleveland. These are preliminary candidates only; no verified market ranking or final selection has been approved.</w:t>
      </w:r>
    </w:p>
    <w:p>
      <w:r>
        <w:t>Market scoring proposal: legal/licensing friction; buyer demand; availability of discounted inventory; spread after realistic repairs and transaction costs; usable public/commercial data; competition; operational ease for remote acquisition.</w:t>
      </w:r>
    </w:p>
    <w:p>
      <w:r>
        <w:t>Do not treat “low purchase price” or “high foreclosure volume” alone as proof that a market is profitable.</w:t>
      </w:r>
    </w:p>
    <w:p>
      <w:pPr>
        <w:pStyle w:val="Heading1"/>
      </w:pPr>
      <w:r>
        <w:t>7. Explicitly superseded / not approved</w:t>
      </w:r>
    </w:p>
    <w:p>
      <w:pPr>
        <w:pStyle w:val="ListBullet"/>
      </w:pPr>
      <w:r>
        <w:t>An acquisition architecture built around five independent lead-source bots (pre-foreclosure, tax delinquency, absentee, probate, stale listings) was suggested and rejected as the primary strategy.</w:t>
      </w:r>
    </w:p>
    <w:p>
      <w:pPr>
        <w:pStyle w:val="ListBullet"/>
      </w:pPr>
      <w:r>
        <w:t>Do not automatically build those five bots. Data sources may later be used under a buy-box-driven search engine if useful and approved.</w:t>
      </w:r>
    </w:p>
    <w:p>
      <w:pPr>
        <w:pStyle w:val="ListBullet"/>
      </w:pPr>
      <w:r>
        <w:t>Do not assume Houston is the sole market or that condominiums are the sole property type.</w:t>
      </w:r>
    </w:p>
    <w:p>
      <w:pPr>
        <w:pStyle w:val="ListBullet"/>
      </w:pPr>
      <w:r>
        <w:t>Do not add a separate email-verification bot or an unnecessarily complex investor vetting layer.</w:t>
      </w:r>
    </w:p>
    <w:p>
      <w:pPr>
        <w:pStyle w:val="ListBullet"/>
      </w:pPr>
      <w:r>
        <w:t>Do not assume ChatGPT Dots, Zapier, or a Google Sheets integration has already been connected or authorized.</w:t>
      </w:r>
    </w:p>
    <w:p>
      <w:pPr>
        <w:pStyle w:val="Heading1"/>
      </w:pPr>
      <w:r>
        <w:t>8. Practical controls and unresolved decisions</w:t>
      </w:r>
    </w:p>
    <w:p>
      <w:pPr>
        <w:pStyle w:val="ListBullet"/>
      </w:pPr>
      <w:r>
        <w:t>Confirm the exact execution platform and permissions for always-on agents; distinguish scheduled automations from interactive chat.</w:t>
      </w:r>
    </w:p>
    <w:p>
      <w:pPr>
        <w:pStyle w:val="ListBullet"/>
      </w:pPr>
      <w:r>
        <w:t>Choose property-data providers and determine access, costs, search limits and terms of use.</w:t>
      </w:r>
    </w:p>
    <w:p>
      <w:pPr>
        <w:pStyle w:val="ListBullet"/>
      </w:pPr>
      <w:r>
        <w:t>Validate each market’s real-estate licensing, equitable-interest disclosure, advertising, assignment, and transaction requirements with qualified local counsel.</w:t>
      </w:r>
    </w:p>
    <w:p>
      <w:pPr>
        <w:pStyle w:val="ListBullet"/>
      </w:pPr>
      <w:r>
        <w:t>For outbound marketing, implement opt-out/suppression handling, identity/address disclosures as applicable, and TCPA/DNC safeguards for calls and texts.</w:t>
      </w:r>
    </w:p>
    <w:p>
      <w:pPr>
        <w:pStyle w:val="ListBullet"/>
      </w:pPr>
      <w:r>
        <w:t>Define deal underwriting thresholds, acceptable margins, escalation to a human, and who can negotiate or sign contracts.</w:t>
      </w:r>
    </w:p>
    <w:p>
      <w:pPr>
        <w:pStyle w:val="ListBullet"/>
      </w:pPr>
      <w:r>
        <w:t>Select the first markets based on verified current data; no final ranking is recorded.</w:t>
      </w:r>
    </w:p>
    <w:p>
      <w:pPr>
        <w:pStyle w:val="ListBullet"/>
      </w:pPr>
      <w:r>
        <w:t>Decide how frequently searches rerun and how property results are delivered to the operator.</w:t>
      </w:r>
    </w:p>
    <w:p>
      <w:pPr>
        <w:pStyle w:val="Heading1"/>
      </w:pPr>
      <w:r>
        <w:t>9. Implementation sequence — proposed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Phase</w:t>
            </w:r>
          </w:p>
        </w:tc>
        <w:tc>
          <w:tcPr>
            <w:tcW w:type="dxa" w:w="4896"/>
          </w:tcPr>
          <w:p>
            <w:r>
              <w:t>Deliverable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Finalize Sheets data model and investor/buy-box upsert rules.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Implement six investor-side functions and QA gates; test with controlled sample records.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Implement buy-box-to-search-profile trigger and versioning.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Research and select first target markets and property-data sources.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Implement candidate discovery, matching, deal review and alerts.</w:t>
            </w:r>
          </w:p>
        </w:tc>
      </w:tr>
      <w:tr>
        <w:tc>
          <w:tcPr>
            <w:tcW w:type="dxa" w:w="4896"/>
          </w:tcPr>
          <w:p>
            <w:r>
              <w:t>6</w:t>
            </w:r>
          </w:p>
        </w:tc>
        <w:tc>
          <w:tcPr>
            <w:tcW w:type="dxa" w:w="4896"/>
          </w:tcPr>
          <w:p>
            <w:r>
              <w:t>Pilot with a limited number of investors and buy boxes; measure qualified responses and actionable matches before scaling.</w:t>
            </w:r>
          </w:p>
        </w:tc>
      </w:tr>
    </w:tbl>
    <w:p>
      <w:pPr>
        <w:pStyle w:val="Heading1"/>
      </w:pPr>
      <w:r>
        <w:t>10. Change-control rules</w:t>
      </w:r>
    </w:p>
    <w:p>
      <w:pPr>
        <w:pStyle w:val="ListBullet"/>
      </w:pPr>
      <w:r>
        <w:t>Treat this document as the current design baseline, not a substitute for real connected automation.</w:t>
      </w:r>
    </w:p>
    <w:p>
      <w:pPr>
        <w:pStyle w:val="ListBullet"/>
      </w:pPr>
      <w:r>
        <w:t>Label future items CONFIRMED, PROPOSED, REJECTED or OPEN; do not silently turn proposals into requirements.</w:t>
      </w:r>
    </w:p>
    <w:p>
      <w:pPr>
        <w:pStyle w:val="ListBullet"/>
      </w:pPr>
      <w:r>
        <w:t>When the user changes a requirement, update the relevant section and change log rather than re-explaining the whole system.</w:t>
      </w:r>
    </w:p>
    <w:p>
      <w:pPr>
        <w:pStyle w:val="ListBullet"/>
      </w:pPr>
      <w:r>
        <w:t>Do not claim a research task is running in the background unless an actual scheduled task exists.</w:t>
      </w:r>
    </w:p>
    <w:p>
      <w:pPr>
        <w:pStyle w:val="ListBullet"/>
      </w:pPr>
      <w:r>
        <w:t>Use this document as the source of truth when provided in future chats; conversation memory alone is not a guaranteed project database.</w:t>
      </w:r>
    </w:p>
    <w:p>
      <w:pPr>
        <w:pStyle w:val="Heading1"/>
      </w:pPr>
      <w:r>
        <w:t>Change log</w:t>
      </w:r>
    </w:p>
    <w:p>
      <w:r>
        <w:t>v1.0 — 2026-10-25: Consolidated investor-side six-bot architecture, approved email, Zapier/Sheets flow, buy-box-triggered property searching, geographic expansion, rejected lead-source-first design, and unresolved implementation choices.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4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4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44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