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9C866">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4"/>
      </w:tblGrid>
      <w:tr w14:paraId="445E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5E1CB5FB">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rPr>
              <w:t>福建省分行普惠法人授信申报及审查审批意见表（2025新版）</w:t>
            </w:r>
          </w:p>
        </w:tc>
      </w:tr>
      <w:tr w14:paraId="5027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09B5CCAD">
            <w:pPr>
              <w:spacing w:before="62" w:beforeLines="20"/>
              <w:jc w:val="left"/>
              <w:rPr>
                <w:rFonts w:hint="eastAsia" w:ascii="宋体" w:hAnsi="宋体" w:cs="宋体"/>
                <w:snapToGrid w:val="0"/>
                <w:color w:val="000000"/>
                <w:kern w:val="0"/>
                <w:szCs w:val="21"/>
              </w:rPr>
            </w:pPr>
            <w:r>
              <w:rPr>
                <w:rFonts w:hint="eastAsia" w:ascii="宋体" w:hAnsi="宋体" w:cs="宋体"/>
                <w:b/>
                <w:kern w:val="0"/>
                <w:szCs w:val="21"/>
              </w:rPr>
              <w:t>客户名称：福建中锐网络股份有限公司</w:t>
            </w:r>
            <w:r>
              <w:rPr>
                <w:rFonts w:hint="eastAsia" w:ascii="宋体" w:hAnsi="宋体" w:cs="宋体"/>
                <w:snapToGrid w:val="0"/>
                <w:color w:val="000000"/>
                <w:kern w:val="0"/>
                <w:szCs w:val="21"/>
              </w:rPr>
              <w:t xml:space="preserve">       </w:t>
            </w:r>
          </w:p>
          <w:p w14:paraId="7E91508D">
            <w:pPr>
              <w:pStyle w:val="11"/>
              <w:rPr>
                <w:rFonts w:hint="eastAsia"/>
              </w:rPr>
            </w:pPr>
            <w:r>
              <w:rPr>
                <w:rFonts w:hint="eastAsia" w:ascii="宋体" w:hAnsi="宋体" w:cs="宋体"/>
                <w:b/>
                <w:sz w:val="21"/>
                <w:szCs w:val="21"/>
              </w:rPr>
              <w:t>申报单位：营业部</w:t>
            </w:r>
            <w:r>
              <w:rPr>
                <w:rFonts w:hint="eastAsia" w:ascii="宋体" w:hAnsi="宋体" w:cs="宋体"/>
                <w:b/>
                <w:sz w:val="21"/>
                <w:szCs w:val="21"/>
              </w:rPr>
              <w:tab/>
            </w:r>
            <w:r>
              <w:rPr>
                <w:rFonts w:hint="eastAsia" w:ascii="宋体" w:hAnsi="宋体" w:cs="宋体"/>
                <w:b/>
                <w:sz w:val="21"/>
                <w:szCs w:val="21"/>
              </w:rPr>
              <w:tab/>
            </w:r>
            <w:r>
              <w:rPr>
                <w:rFonts w:hint="eastAsia" w:ascii="宋体" w:hAnsi="宋体" w:cs="宋体"/>
                <w:b/>
                <w:sz w:val="21"/>
                <w:szCs w:val="21"/>
              </w:rPr>
              <w:tab/>
            </w:r>
            <w:r>
              <w:rPr>
                <w:rFonts w:hint="eastAsia" w:ascii="宋体" w:hAnsi="宋体" w:cs="宋体"/>
                <w:b/>
                <w:sz w:val="21"/>
                <w:szCs w:val="21"/>
              </w:rPr>
              <w:tab/>
            </w:r>
            <w:r>
              <w:rPr>
                <w:rFonts w:hint="eastAsia" w:ascii="宋体" w:hAnsi="宋体" w:cs="宋体"/>
                <w:b/>
                <w:sz w:val="21"/>
                <w:szCs w:val="21"/>
              </w:rPr>
              <w:tab/>
            </w:r>
            <w:r>
              <w:rPr>
                <w:rFonts w:hint="eastAsia" w:ascii="宋体" w:hAnsi="宋体" w:cs="宋体"/>
                <w:b/>
                <w:sz w:val="21"/>
                <w:szCs w:val="21"/>
              </w:rPr>
              <w:t>客户经理：唐梓妍                联系电话：13665086579</w:t>
            </w:r>
          </w:p>
          <w:p w14:paraId="768679CF">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授信方案：□新客户</w:t>
            </w:r>
          </w:p>
          <w:p w14:paraId="03930FC6">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☑存量客户（</w:t>
            </w:r>
            <w:r>
              <w:rPr>
                <w:rFonts w:hint="eastAsia" w:ascii="宋体" w:hAnsi="宋体" w:cs="宋体"/>
                <w:b/>
                <w:bCs/>
                <w:szCs w:val="21"/>
              </w:rPr>
              <w:t>原有额度批复日期</w:t>
            </w:r>
            <w:r>
              <w:rPr>
                <w:rFonts w:hint="eastAsia" w:ascii="宋体" w:hAnsi="宋体" w:cs="宋体"/>
                <w:b/>
                <w:bCs/>
                <w:snapToGrid w:val="0"/>
                <w:kern w:val="0"/>
                <w:szCs w:val="21"/>
              </w:rPr>
              <w:t>:</w:t>
            </w:r>
            <w:r>
              <w:rPr>
                <w:rFonts w:hint="eastAsia" w:ascii="宋体" w:hAnsi="宋体" w:cs="宋体"/>
                <w:b/>
                <w:bCs/>
                <w:snapToGrid w:val="0"/>
                <w:kern w:val="0"/>
                <w:szCs w:val="21"/>
                <w:u w:val="single"/>
              </w:rPr>
              <w:t>2024</w:t>
            </w:r>
            <w:r>
              <w:rPr>
                <w:rFonts w:hint="eastAsia" w:ascii="宋体" w:hAnsi="宋体" w:cs="宋体"/>
                <w:b/>
                <w:bCs/>
                <w:snapToGrid w:val="0"/>
                <w:kern w:val="0"/>
                <w:szCs w:val="21"/>
              </w:rPr>
              <w:t>年</w:t>
            </w:r>
            <w:r>
              <w:rPr>
                <w:rFonts w:hint="eastAsia" w:ascii="宋体" w:hAnsi="宋体" w:cs="宋体"/>
                <w:b/>
                <w:bCs/>
                <w:snapToGrid w:val="0"/>
                <w:kern w:val="0"/>
                <w:szCs w:val="21"/>
                <w:u w:val="single"/>
              </w:rPr>
              <w:t>4</w:t>
            </w:r>
            <w:r>
              <w:rPr>
                <w:rFonts w:hint="eastAsia" w:ascii="宋体" w:hAnsi="宋体" w:cs="宋体"/>
                <w:b/>
                <w:bCs/>
                <w:snapToGrid w:val="0"/>
                <w:kern w:val="0"/>
                <w:szCs w:val="21"/>
              </w:rPr>
              <w:t>月</w:t>
            </w:r>
            <w:r>
              <w:rPr>
                <w:rFonts w:hint="eastAsia" w:ascii="宋体" w:hAnsi="宋体" w:cs="宋体"/>
                <w:b/>
                <w:bCs/>
                <w:snapToGrid w:val="0"/>
                <w:kern w:val="0"/>
                <w:szCs w:val="21"/>
                <w:u w:val="single"/>
              </w:rPr>
              <w:t>25</w:t>
            </w:r>
            <w:r>
              <w:rPr>
                <w:rFonts w:hint="eastAsia" w:ascii="宋体" w:hAnsi="宋体" w:cs="宋体"/>
                <w:b/>
                <w:bCs/>
                <w:snapToGrid w:val="0"/>
                <w:kern w:val="0"/>
                <w:szCs w:val="21"/>
              </w:rPr>
              <w:t xml:space="preserve">日）□维持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 ☑减少  ☑授信方案调整</w:t>
            </w:r>
          </w:p>
          <w:p w14:paraId="006FA727">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rPr>
            </w:pPr>
            <w:r>
              <w:rPr>
                <w:rFonts w:hint="eastAsia" w:ascii="宋体" w:hAnsi="宋体" w:cs="宋体"/>
                <w:b/>
                <w:bCs/>
                <w:snapToGrid w:val="0"/>
                <w:color w:val="000000"/>
                <w:kern w:val="0"/>
                <w:szCs w:val="21"/>
              </w:rPr>
              <w:t>国标行业</w:t>
            </w:r>
            <w:r>
              <w:rPr>
                <w:rFonts w:hint="eastAsia" w:ascii="宋体" w:hAnsi="宋体" w:cs="宋体"/>
                <w:b/>
                <w:bCs/>
                <w:snapToGrid w:val="0"/>
                <w:kern w:val="0"/>
                <w:szCs w:val="21"/>
              </w:rPr>
              <w:t>（门类-大类-中类-小类）</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rPr>
              <w:t xml:space="preserve"> 信息传输、软件和信息技术服务业-软件和信息技术服务业-其他信息技术服务业-其他未列明信息技术服务业 </w:t>
            </w:r>
          </w:p>
          <w:p w14:paraId="0BF9B105">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规模划型：□微型 ☑小型 □中型，所属客群：☑支持类 □审慎类 □禁止类</w:t>
            </w:r>
          </w:p>
          <w:p w14:paraId="375B7347">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rPr>
            </w:pPr>
            <w:r>
              <w:rPr>
                <w:rFonts w:hint="eastAsia" w:ascii="宋体" w:hAnsi="宋体" w:cs="宋体"/>
                <w:b/>
                <w:bCs/>
                <w:snapToGrid w:val="0"/>
                <w:kern w:val="0"/>
                <w:szCs w:val="21"/>
              </w:rPr>
              <w:t>划型要素：上年度资产总额</w:t>
            </w:r>
            <w:r>
              <w:rPr>
                <w:rFonts w:hint="eastAsia" w:ascii="宋体" w:hAnsi="宋体" w:cs="宋体"/>
                <w:b/>
                <w:bCs/>
                <w:snapToGrid w:val="0"/>
                <w:color w:val="000000"/>
                <w:kern w:val="0"/>
                <w:szCs w:val="21"/>
                <w:u w:val="single"/>
              </w:rPr>
              <w:t xml:space="preserve">   16956   </w:t>
            </w:r>
            <w:r>
              <w:rPr>
                <w:rFonts w:hint="eastAsia" w:ascii="宋体" w:hAnsi="宋体" w:cs="宋体"/>
                <w:b/>
                <w:bCs/>
                <w:snapToGrid w:val="0"/>
                <w:kern w:val="0"/>
                <w:szCs w:val="21"/>
              </w:rPr>
              <w:t>万元；上年度销售额</w:t>
            </w:r>
            <w:r>
              <w:rPr>
                <w:rFonts w:hint="eastAsia" w:ascii="宋体" w:hAnsi="宋体" w:cs="宋体"/>
                <w:b/>
                <w:bCs/>
                <w:snapToGrid w:val="0"/>
                <w:color w:val="000000"/>
                <w:kern w:val="0"/>
                <w:szCs w:val="21"/>
                <w:u w:val="single"/>
              </w:rPr>
              <w:t xml:space="preserve">   10010  </w:t>
            </w:r>
            <w:r>
              <w:rPr>
                <w:rFonts w:hint="eastAsia" w:ascii="宋体" w:hAnsi="宋体" w:cs="宋体"/>
                <w:b/>
                <w:bCs/>
                <w:snapToGrid w:val="0"/>
                <w:kern w:val="0"/>
                <w:szCs w:val="21"/>
              </w:rPr>
              <w:t>万元；上年度末员工人数</w:t>
            </w:r>
            <w:r>
              <w:rPr>
                <w:rFonts w:hint="eastAsia" w:ascii="宋体" w:hAnsi="宋体" w:cs="宋体"/>
                <w:b/>
                <w:bCs/>
                <w:snapToGrid w:val="0"/>
                <w:color w:val="000000"/>
                <w:kern w:val="0"/>
                <w:szCs w:val="21"/>
                <w:u w:val="single"/>
              </w:rPr>
              <w:t xml:space="preserve">  69  </w:t>
            </w:r>
            <w:r>
              <w:rPr>
                <w:rFonts w:hint="eastAsia" w:ascii="宋体" w:hAnsi="宋体" w:cs="宋体"/>
                <w:b/>
                <w:bCs/>
                <w:snapToGrid w:val="0"/>
                <w:kern w:val="0"/>
                <w:szCs w:val="21"/>
              </w:rPr>
              <w:t>人</w:t>
            </w:r>
          </w:p>
          <w:p w14:paraId="2F5C2D71">
            <w:pPr>
              <w:widowControl/>
              <w:kinsoku w:val="0"/>
              <w:autoSpaceDE w:val="0"/>
              <w:autoSpaceDN w:val="0"/>
              <w:adjustRightInd w:val="0"/>
              <w:snapToGrid w:val="0"/>
              <w:spacing w:before="62" w:beforeLines="20"/>
              <w:jc w:val="left"/>
              <w:textAlignment w:val="baseline"/>
              <w:rPr>
                <w:rFonts w:hint="eastAsia" w:ascii="宋体" w:hAnsi="宋体" w:cs="宋体"/>
                <w:b/>
                <w:bCs/>
                <w:color w:val="FF0000"/>
                <w:szCs w:val="21"/>
              </w:rPr>
            </w:pPr>
            <w:r>
              <w:rPr>
                <w:rFonts w:hint="eastAsia" w:ascii="宋体" w:hAnsi="宋体" w:cs="宋体"/>
                <w:b/>
                <w:bCs/>
                <w:snapToGrid w:val="0"/>
                <w:kern w:val="0"/>
                <w:szCs w:val="21"/>
              </w:rPr>
              <w:t>环境、社会和治理风险分类</w:t>
            </w:r>
            <w:r>
              <w:rPr>
                <w:rFonts w:hint="eastAsia" w:ascii="宋体" w:hAnsi="宋体" w:cs="宋体"/>
                <w:b/>
                <w:bCs/>
                <w:szCs w:val="21"/>
              </w:rPr>
              <w:t>（ESG评价）</w:t>
            </w:r>
            <w:r>
              <w:rPr>
                <w:rFonts w:hint="eastAsia" w:ascii="宋体" w:hAnsi="宋体" w:cs="宋体"/>
                <w:b/>
                <w:bCs/>
                <w:snapToGrid w:val="0"/>
                <w:kern w:val="0"/>
                <w:szCs w:val="21"/>
              </w:rPr>
              <w:t xml:space="preserve">：□A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B ☑C</w:t>
            </w:r>
            <w:r>
              <w:rPr>
                <w:rFonts w:hint="eastAsia" w:ascii="宋体" w:hAnsi="宋体" w:cs="宋体"/>
                <w:b/>
                <w:bCs/>
                <w:color w:val="FF0000"/>
                <w:szCs w:val="21"/>
              </w:rPr>
              <w:t>（如涉及A/B类,须在其他负面信息栏反馈ESG风险评价）</w:t>
            </w:r>
          </w:p>
          <w:p w14:paraId="332F3C8F">
            <w:pPr>
              <w:widowControl/>
              <w:kinsoku w:val="0"/>
              <w:autoSpaceDE w:val="0"/>
              <w:autoSpaceDN w:val="0"/>
              <w:adjustRightInd w:val="0"/>
              <w:snapToGrid w:val="0"/>
              <w:spacing w:before="62" w:beforeLines="20"/>
              <w:jc w:val="left"/>
              <w:textAlignment w:val="baseline"/>
              <w:rPr>
                <w:rFonts w:hint="eastAsia" w:ascii="宋体" w:hAnsi="宋体" w:cs="宋体"/>
                <w:b/>
                <w:bCs/>
                <w:color w:val="FF0000"/>
                <w:szCs w:val="21"/>
              </w:rPr>
            </w:pPr>
            <w:r>
              <w:rPr>
                <w:rFonts w:hint="eastAsia" w:ascii="宋体" w:hAnsi="宋体" w:cs="宋体"/>
                <w:b/>
                <w:bCs/>
                <w:snapToGrid w:val="0"/>
                <w:kern w:val="0"/>
                <w:szCs w:val="21"/>
              </w:rPr>
              <w:t>反洗钱</w:t>
            </w:r>
            <w:r>
              <w:rPr>
                <w:rFonts w:hint="eastAsia" w:ascii="宋体" w:hAnsi="宋体" w:cs="宋体"/>
                <w:b/>
                <w:bCs/>
                <w:szCs w:val="21"/>
              </w:rPr>
              <w:t>风险等级：</w:t>
            </w:r>
            <w:r>
              <w:rPr>
                <w:rFonts w:hint="eastAsia" w:ascii="宋体" w:hAnsi="宋体" w:cs="宋体"/>
                <w:b/>
                <w:bCs/>
                <w:snapToGrid w:val="0"/>
                <w:kern w:val="0"/>
                <w:szCs w:val="21"/>
              </w:rPr>
              <w:t xml:space="preserve">☑低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一般 □</w:t>
            </w:r>
            <w:r>
              <w:rPr>
                <w:rFonts w:hint="eastAsia" w:ascii="宋体" w:hAnsi="宋体" w:cs="宋体"/>
                <w:b/>
                <w:bCs/>
                <w:color w:val="FF0000"/>
                <w:szCs w:val="21"/>
              </w:rPr>
              <w:t>较高（须在其他负面信息栏说明）；</w:t>
            </w:r>
            <w:r>
              <w:rPr>
                <w:rFonts w:hint="eastAsia" w:ascii="宋体" w:hAnsi="宋体" w:cs="宋体"/>
                <w:b/>
                <w:bCs/>
                <w:snapToGrid w:val="0"/>
                <w:color w:val="FF0000"/>
                <w:kern w:val="0"/>
                <w:szCs w:val="21"/>
              </w:rPr>
              <w:t>□</w:t>
            </w:r>
            <w:r>
              <w:rPr>
                <w:rFonts w:hint="eastAsia" w:ascii="宋体" w:hAnsi="宋体" w:cs="宋体"/>
                <w:b/>
                <w:bCs/>
                <w:color w:val="FF0000"/>
                <w:szCs w:val="21"/>
              </w:rPr>
              <w:t>高（不得准入）</w:t>
            </w:r>
          </w:p>
          <w:p w14:paraId="0D0BA4E1">
            <w:pPr>
              <w:pStyle w:val="7"/>
            </w:pPr>
            <w:r>
              <w:rPr>
                <w:rFonts w:hint="eastAsia" w:ascii="宋体" w:hAnsi="宋体" w:eastAsia="宋体" w:cs="宋体"/>
                <w:b/>
                <w:bCs/>
                <w:snapToGrid w:val="0"/>
                <w:kern w:val="0"/>
                <w:sz w:val="21"/>
                <w:szCs w:val="21"/>
              </w:rPr>
              <w:t>绿通标识：</w:t>
            </w:r>
            <w:r>
              <w:rPr>
                <w:rFonts w:hint="eastAsia" w:ascii="宋体" w:hAnsi="宋体" w:cs="宋体"/>
                <w:b/>
                <w:bCs/>
                <w:snapToGrid w:val="0"/>
                <w:color w:val="000000"/>
                <w:kern w:val="0"/>
                <w:szCs w:val="21"/>
                <w:u w:val="single"/>
              </w:rPr>
              <w:t xml:space="preserve">   绿通     </w:t>
            </w:r>
          </w:p>
        </w:tc>
      </w:tr>
      <w:tr w14:paraId="023C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4B8DCD0B">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rPr>
              <w:t>申报额度：</w:t>
            </w:r>
            <w:r>
              <w:rPr>
                <w:rFonts w:hint="eastAsia" w:ascii="宋体" w:hAnsi="宋体" w:cs="宋体"/>
                <w:snapToGrid w:val="0"/>
                <w:color w:val="000000"/>
                <w:kern w:val="0"/>
                <w:szCs w:val="21"/>
                <w:u w:val="single"/>
              </w:rPr>
              <w:t xml:space="preserve"> 950 </w:t>
            </w:r>
            <w:r>
              <w:rPr>
                <w:rFonts w:hint="eastAsia" w:ascii="宋体" w:hAnsi="宋体" w:cs="宋体"/>
                <w:snapToGrid w:val="0"/>
                <w:color w:val="000000"/>
                <w:kern w:val="0"/>
                <w:szCs w:val="21"/>
              </w:rPr>
              <w:t>万元；申报敞口</w:t>
            </w:r>
            <w:r>
              <w:rPr>
                <w:rFonts w:hint="eastAsia" w:ascii="宋体" w:hAnsi="宋体" w:cs="宋体"/>
                <w:snapToGrid w:val="0"/>
                <w:color w:val="000000"/>
                <w:kern w:val="0"/>
                <w:szCs w:val="21"/>
                <w:u w:val="single"/>
              </w:rPr>
              <w:t xml:space="preserve"> 950</w:t>
            </w:r>
            <w:r>
              <w:rPr>
                <w:rFonts w:hint="eastAsia" w:ascii="宋体" w:hAnsi="宋体" w:cs="宋体"/>
                <w:snapToGrid w:val="0"/>
                <w:color w:val="000000"/>
                <w:kern w:val="0"/>
                <w:szCs w:val="21"/>
              </w:rPr>
              <w:t>万元；【上一期授信敞口（若有）：</w:t>
            </w:r>
            <w:r>
              <w:rPr>
                <w:rFonts w:hint="eastAsia" w:ascii="宋体" w:hAnsi="宋体" w:cs="宋体"/>
                <w:snapToGrid w:val="0"/>
                <w:color w:val="000000"/>
                <w:kern w:val="0"/>
                <w:szCs w:val="21"/>
                <w:u w:val="single"/>
              </w:rPr>
              <w:t xml:space="preserve">  1000 </w:t>
            </w:r>
            <w:r>
              <w:rPr>
                <w:rFonts w:hint="eastAsia" w:ascii="宋体" w:hAnsi="宋体" w:cs="宋体"/>
                <w:snapToGrid w:val="0"/>
                <w:color w:val="000000"/>
                <w:kern w:val="0"/>
                <w:szCs w:val="21"/>
              </w:rPr>
              <w:t>万元】</w:t>
            </w:r>
          </w:p>
          <w:p w14:paraId="267AD39A">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rPr>
              <w:t>业务品种：</w:t>
            </w:r>
            <w:r>
              <w:rPr>
                <w:rFonts w:hint="eastAsia" w:ascii="宋体" w:hAnsi="宋体" w:cs="宋体"/>
                <w:snapToGrid w:val="0"/>
                <w:color w:val="000000"/>
                <w:kern w:val="0"/>
                <w:szCs w:val="21"/>
                <w:u w:val="single"/>
              </w:rPr>
              <w:t>一般短期流动资金贷款</w:t>
            </w:r>
            <w:r>
              <w:rPr>
                <w:rFonts w:hint="eastAsia" w:ascii="宋体" w:hAnsi="宋体" w:cs="宋体"/>
                <w:snapToGrid w:val="0"/>
                <w:color w:val="000000"/>
                <w:kern w:val="0"/>
                <w:szCs w:val="21"/>
              </w:rPr>
              <w:t>；业务期限：</w:t>
            </w:r>
            <w:r>
              <w:rPr>
                <w:rFonts w:hint="eastAsia" w:ascii="宋体" w:hAnsi="宋体" w:cs="宋体"/>
                <w:snapToGrid w:val="0"/>
                <w:color w:val="000000"/>
                <w:kern w:val="0"/>
                <w:szCs w:val="21"/>
                <w:u w:val="single"/>
              </w:rPr>
              <w:t xml:space="preserve"> 12个</w:t>
            </w:r>
            <w:r>
              <w:rPr>
                <w:rFonts w:hint="eastAsia" w:ascii="宋体" w:hAnsi="宋体" w:cs="宋体"/>
                <w:snapToGrid w:val="0"/>
                <w:color w:val="000000"/>
                <w:kern w:val="0"/>
                <w:szCs w:val="21"/>
              </w:rPr>
              <w:t>月；授信期限：</w:t>
            </w:r>
            <w:r>
              <w:rPr>
                <w:rFonts w:hint="eastAsia" w:ascii="宋体" w:hAnsi="宋体" w:cs="宋体"/>
                <w:snapToGrid w:val="0"/>
                <w:color w:val="000000"/>
                <w:kern w:val="0"/>
                <w:szCs w:val="21"/>
                <w:u w:val="single"/>
              </w:rPr>
              <w:t xml:space="preserve"> 1 </w:t>
            </w:r>
            <w:r>
              <w:rPr>
                <w:rFonts w:hint="eastAsia" w:ascii="宋体" w:hAnsi="宋体" w:cs="宋体"/>
                <w:snapToGrid w:val="0"/>
                <w:color w:val="000000"/>
                <w:kern w:val="0"/>
                <w:szCs w:val="21"/>
              </w:rPr>
              <w:t xml:space="preserve">年     </w:t>
            </w:r>
          </w:p>
          <w:p w14:paraId="26B994F4">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rPr>
              <w:t>担保方式：</w:t>
            </w:r>
            <w:r>
              <w:rPr>
                <w:rFonts w:hint="eastAsia" w:ascii="宋体" w:hAnsi="宋体" w:cs="宋体"/>
                <w:snapToGrid w:val="0"/>
                <w:color w:val="000000"/>
                <w:kern w:val="0"/>
                <w:szCs w:val="21"/>
                <w:u w:val="single"/>
              </w:rPr>
              <w:t>担保</w:t>
            </w:r>
            <w:r>
              <w:rPr>
                <w:rFonts w:hint="eastAsia" w:ascii="宋体" w:hAnsi="宋体" w:cs="宋体"/>
                <w:snapToGrid w:val="0"/>
                <w:color w:val="000000"/>
                <w:kern w:val="0"/>
                <w:szCs w:val="21"/>
              </w:rPr>
              <w:t>；【上一期授信担保方式：</w:t>
            </w:r>
            <w:r>
              <w:rPr>
                <w:rFonts w:hint="eastAsia" w:ascii="宋体" w:hAnsi="宋体" w:cs="宋体"/>
                <w:snapToGrid w:val="0"/>
                <w:color w:val="000000"/>
                <w:kern w:val="0"/>
                <w:szCs w:val="21"/>
                <w:u w:val="single"/>
              </w:rPr>
              <w:t xml:space="preserve">  信用 </w:t>
            </w:r>
            <w:r>
              <w:rPr>
                <w:rFonts w:hint="eastAsia" w:ascii="宋体" w:hAnsi="宋体" w:cs="宋体"/>
                <w:snapToGrid w:val="0"/>
                <w:color w:val="000000"/>
                <w:kern w:val="0"/>
                <w:szCs w:val="21"/>
              </w:rPr>
              <w:t>】</w:t>
            </w:r>
          </w:p>
          <w:p w14:paraId="305548CB">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rPr>
              <w:t>PD评级：</w:t>
            </w:r>
            <w:r>
              <w:rPr>
                <w:rFonts w:hint="eastAsia" w:ascii="宋体" w:hAnsi="宋体" w:cs="宋体"/>
                <w:snapToGrid w:val="0"/>
                <w:color w:val="000000"/>
                <w:kern w:val="0"/>
                <w:szCs w:val="21"/>
                <w:u w:val="single"/>
              </w:rPr>
              <w:t>10级</w:t>
            </w:r>
            <w:r>
              <w:rPr>
                <w:rFonts w:hint="eastAsia" w:ascii="宋体" w:hAnsi="宋体" w:cs="宋体"/>
                <w:snapToGrid w:val="0"/>
                <w:color w:val="000000"/>
                <w:kern w:val="0"/>
                <w:szCs w:val="21"/>
              </w:rPr>
              <w:t>【上一期授信评级：</w:t>
            </w:r>
            <w:r>
              <w:rPr>
                <w:rFonts w:hint="eastAsia" w:ascii="宋体" w:hAnsi="宋体" w:cs="宋体"/>
                <w:snapToGrid w:val="0"/>
                <w:color w:val="000000"/>
                <w:kern w:val="0"/>
                <w:szCs w:val="21"/>
                <w:u w:val="single"/>
              </w:rPr>
              <w:t xml:space="preserve"> 8 </w:t>
            </w:r>
            <w:r>
              <w:rPr>
                <w:rFonts w:hint="eastAsia" w:ascii="宋体" w:hAnsi="宋体" w:cs="宋体"/>
                <w:snapToGrid w:val="0"/>
                <w:color w:val="000000"/>
                <w:kern w:val="0"/>
                <w:szCs w:val="21"/>
              </w:rPr>
              <w:t xml:space="preserve">级】   </w:t>
            </w:r>
          </w:p>
        </w:tc>
      </w:tr>
      <w:tr w14:paraId="65DC21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D74FA7">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一、经营单位尽调情况</w:t>
            </w:r>
          </w:p>
          <w:p w14:paraId="4B400C28">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（一）借款人简介</w:t>
            </w:r>
          </w:p>
          <w:p w14:paraId="080BC85C">
            <w:pPr>
              <w:widowControl/>
              <w:kinsoku w:val="0"/>
              <w:autoSpaceDE w:val="0"/>
              <w:autoSpaceDN w:val="0"/>
              <w:adjustRightInd w:val="0"/>
              <w:snapToGrid w:val="0"/>
              <w:spacing w:before="93" w:beforeLines="30" w:after="93" w:afterLines="30"/>
              <w:ind w:firstLine="422" w:firstLineChars="200"/>
              <w:jc w:val="left"/>
              <w:textAlignment w:val="baseline"/>
              <w:rPr>
                <w:rFonts w:ascii="宋体" w:hAnsi="宋体" w:cs="宋体"/>
                <w:b/>
                <w:bCs/>
                <w:snapToGrid w:val="0"/>
                <w:color w:val="000000"/>
                <w:kern w:val="0"/>
                <w:szCs w:val="21"/>
              </w:rPr>
            </w:pPr>
            <w:r>
              <w:rPr>
                <w:rFonts w:hint="eastAsia" w:ascii="宋体" w:hAnsi="宋体" w:cs="宋体"/>
                <w:b/>
                <w:bCs/>
                <w:snapToGrid w:val="0"/>
                <w:color w:val="000000"/>
                <w:kern w:val="0"/>
                <w:szCs w:val="21"/>
              </w:rPr>
              <w:t>1.借款人概况：</w:t>
            </w:r>
          </w:p>
          <w:p w14:paraId="2EB478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u w:val="single"/>
              </w:rPr>
            </w:pPr>
            <w:r>
              <w:rPr>
                <w:rFonts w:hint="eastAsia" w:ascii="宋体" w:hAnsi="宋体" w:cs="宋体"/>
                <w:snapToGrid w:val="0"/>
                <w:color w:val="000000"/>
                <w:kern w:val="0"/>
                <w:szCs w:val="21"/>
              </w:rPr>
              <w:t>企业（下称“中锐网络”）成立于</w:t>
            </w:r>
            <w:r>
              <w:rPr>
                <w:rFonts w:hint="eastAsia" w:ascii="宋体" w:hAnsi="宋体" w:cs="宋体"/>
                <w:snapToGrid w:val="0"/>
                <w:color w:val="000000"/>
                <w:kern w:val="0"/>
                <w:szCs w:val="21"/>
                <w:u w:val="single"/>
              </w:rPr>
              <w:t>2012年1月</w:t>
            </w:r>
            <w:r>
              <w:rPr>
                <w:rFonts w:hint="eastAsia" w:ascii="宋体" w:hAnsi="宋体" w:cs="宋体"/>
                <w:snapToGrid w:val="0"/>
                <w:color w:val="000000"/>
                <w:kern w:val="0"/>
                <w:szCs w:val="21"/>
              </w:rPr>
              <w:t>，经营地址（坐落地点、场地面积、自有或租用、是否已对外抵押）：</w:t>
            </w:r>
            <w:r>
              <w:rPr>
                <w:rFonts w:hint="eastAsia" w:ascii="宋体" w:hAnsi="宋体" w:cs="宋体"/>
                <w:snapToGrid w:val="0"/>
                <w:color w:val="000000"/>
                <w:kern w:val="0"/>
                <w:szCs w:val="21"/>
                <w:u w:val="single"/>
              </w:rPr>
              <w:t xml:space="preserve"> 位于福州市闽侯县上街镇学园路2号福州大学国家大学科技园8号楼5层。经营地为租用办公楼，租用总面积2523平，年租金115万，早期已一次性缴清，现按月分摊，已收集租赁合同，租赁信息核对无误。</w:t>
            </w:r>
          </w:p>
          <w:p w14:paraId="2CDCDBF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zCs w:val="21"/>
              </w:rPr>
            </w:pPr>
            <w:r>
              <w:rPr>
                <w:rFonts w:hint="eastAsia" w:ascii="宋体" w:hAnsi="宋体" w:cs="宋体"/>
                <w:bCs/>
                <w:szCs w:val="21"/>
              </w:rPr>
              <w:t>已取得资质情况：</w:t>
            </w:r>
            <w:r>
              <w:rPr>
                <w:rFonts w:hint="eastAsia" w:ascii="宋体" w:hAnsi="宋体" w:cs="宋体"/>
                <w:b/>
                <w:bCs/>
                <w:snapToGrid w:val="0"/>
                <w:kern w:val="0"/>
                <w:szCs w:val="21"/>
              </w:rPr>
              <w:t>☑</w:t>
            </w:r>
            <w:r>
              <w:rPr>
                <w:rFonts w:hint="eastAsia" w:ascii="宋体" w:hAnsi="宋体" w:cs="宋体"/>
                <w:b/>
                <w:bCs/>
                <w:szCs w:val="21"/>
              </w:rPr>
              <w:t>不涉及；</w:t>
            </w:r>
          </w:p>
          <w:p w14:paraId="21288857">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cs="宋体"/>
                <w:b/>
                <w:bCs/>
                <w:szCs w:val="21"/>
              </w:rPr>
            </w:pPr>
            <w:r>
              <w:rPr>
                <w:rFonts w:hint="eastAsia" w:ascii="宋体" w:hAnsi="宋体" w:cs="宋体"/>
                <w:b/>
                <w:bCs/>
                <w:snapToGrid w:val="0"/>
                <w:kern w:val="0"/>
                <w:szCs w:val="21"/>
              </w:rPr>
              <w:t>□</w:t>
            </w:r>
            <w:r>
              <w:rPr>
                <w:rFonts w:hint="eastAsia" w:ascii="宋体" w:hAnsi="宋体" w:cs="宋体"/>
                <w:b/>
                <w:bCs/>
                <w:szCs w:val="21"/>
              </w:rPr>
              <w:t>排污许可证（</w:t>
            </w:r>
            <w:r>
              <w:rPr>
                <w:rFonts w:hint="eastAsia" w:ascii="宋体" w:hAnsi="宋体" w:cs="宋体"/>
                <w:bCs/>
                <w:szCs w:val="21"/>
              </w:rPr>
              <w:t>编号：XXX，有效期至</w:t>
            </w:r>
            <w:r>
              <w:rPr>
                <w:rFonts w:hint="eastAsia" w:ascii="宋体" w:hAnsi="宋体" w:cs="宋体"/>
                <w:bCs/>
                <w:szCs w:val="21"/>
                <w:u w:val="single"/>
              </w:rPr>
              <w:t xml:space="preserve">   </w:t>
            </w:r>
            <w:r>
              <w:rPr>
                <w:rFonts w:hint="eastAsia" w:ascii="宋体" w:hAnsi="宋体" w:cs="宋体"/>
                <w:bCs/>
                <w:szCs w:val="21"/>
              </w:rPr>
              <w:t>年</w:t>
            </w:r>
            <w:r>
              <w:rPr>
                <w:rFonts w:hint="eastAsia" w:ascii="宋体" w:hAnsi="宋体" w:cs="宋体"/>
                <w:bCs/>
                <w:szCs w:val="21"/>
                <w:u w:val="single"/>
              </w:rPr>
              <w:t xml:space="preserve">   </w:t>
            </w:r>
            <w:r>
              <w:rPr>
                <w:rFonts w:hint="eastAsia" w:ascii="宋体" w:hAnsi="宋体" w:cs="宋体"/>
                <w:bCs/>
                <w:szCs w:val="21"/>
              </w:rPr>
              <w:t>月</w:t>
            </w:r>
            <w:r>
              <w:rPr>
                <w:rFonts w:hint="eastAsia" w:ascii="宋体" w:hAnsi="宋体" w:cs="宋体"/>
                <w:bCs/>
                <w:szCs w:val="21"/>
                <w:u w:val="single"/>
              </w:rPr>
              <w:t xml:space="preserve">   </w:t>
            </w:r>
            <w:r>
              <w:rPr>
                <w:rFonts w:hint="eastAsia" w:ascii="宋体" w:hAnsi="宋体" w:cs="宋体"/>
                <w:bCs/>
                <w:szCs w:val="21"/>
              </w:rPr>
              <w:t>日</w:t>
            </w:r>
            <w:r>
              <w:rPr>
                <w:rFonts w:hint="eastAsia" w:ascii="宋体" w:hAnsi="宋体" w:cs="宋体"/>
                <w:b/>
                <w:bCs/>
                <w:szCs w:val="21"/>
              </w:rPr>
              <w:t>）；</w:t>
            </w:r>
            <w:r>
              <w:rPr>
                <w:rFonts w:hint="eastAsia" w:ascii="宋体" w:hAnsi="宋体" w:cs="宋体"/>
                <w:b/>
                <w:bCs/>
                <w:snapToGrid w:val="0"/>
                <w:kern w:val="0"/>
                <w:szCs w:val="21"/>
              </w:rPr>
              <w:t>□排污</w:t>
            </w:r>
            <w:r>
              <w:rPr>
                <w:rFonts w:hint="eastAsia" w:ascii="宋体" w:hAnsi="宋体" w:cs="宋体"/>
                <w:b/>
                <w:bCs/>
                <w:szCs w:val="21"/>
              </w:rPr>
              <w:t>登记回执；</w:t>
            </w:r>
          </w:p>
          <w:p w14:paraId="43D3FD8F">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cs="宋体"/>
                <w:b/>
                <w:bCs/>
                <w:szCs w:val="21"/>
              </w:rPr>
              <w:t>其他</w:t>
            </w:r>
            <w:r>
              <w:rPr>
                <w:rFonts w:hint="eastAsia" w:ascii="宋体" w:hAnsi="宋体" w:cs="宋体"/>
                <w:b/>
                <w:bCs/>
                <w:szCs w:val="21"/>
                <w:u w:val="single"/>
              </w:rPr>
              <w:t xml:space="preserve"> </w:t>
            </w:r>
            <w:r>
              <w:rPr>
                <w:rFonts w:hint="eastAsia" w:ascii="宋体" w:hAnsi="宋体" w:cs="宋体"/>
                <w:bCs/>
                <w:szCs w:val="21"/>
                <w:u w:val="single"/>
              </w:rPr>
              <w:t>食品生产许可证/食品生产许可证/建筑工程施工总承包一级等</w:t>
            </w:r>
            <w:r>
              <w:rPr>
                <w:rFonts w:hint="eastAsia" w:ascii="宋体" w:hAnsi="宋体" w:cs="宋体"/>
                <w:b/>
                <w:bCs/>
                <w:szCs w:val="21"/>
                <w:u w:val="single"/>
              </w:rPr>
              <w:t xml:space="preserve">      </w:t>
            </w:r>
            <w:r>
              <w:rPr>
                <w:rFonts w:hint="eastAsia" w:ascii="宋体" w:hAnsi="宋体" w:cs="宋体"/>
                <w:b/>
                <w:bCs/>
                <w:szCs w:val="21"/>
              </w:rPr>
              <w:t>；</w:t>
            </w:r>
          </w:p>
          <w:p w14:paraId="429C51B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rPr>
            </w:pPr>
            <w:r>
              <w:rPr>
                <w:rFonts w:hint="eastAsia" w:ascii="宋体" w:hAnsi="宋体" w:cs="宋体"/>
                <w:b/>
                <w:bCs/>
                <w:snapToGrid w:val="0"/>
                <w:color w:val="000000"/>
                <w:kern w:val="0"/>
                <w:szCs w:val="21"/>
              </w:rPr>
              <w:t>实际主营业务</w:t>
            </w:r>
            <w:r>
              <w:rPr>
                <w:rFonts w:hint="eastAsia" w:ascii="宋体" w:hAnsi="宋体" w:cs="宋体"/>
                <w:snapToGrid w:val="0"/>
                <w:color w:val="000000"/>
                <w:kern w:val="0"/>
                <w:szCs w:val="21"/>
              </w:rPr>
              <w:t>：</w:t>
            </w:r>
            <w:r>
              <w:rPr>
                <w:rFonts w:hint="eastAsia" w:ascii="宋体" w:hAnsi="宋体" w:cs="宋体"/>
                <w:snapToGrid w:val="0"/>
                <w:kern w:val="0"/>
                <w:szCs w:val="21"/>
                <w:u w:val="single"/>
              </w:rPr>
              <w:t>公司核心定位是民生行业数字融合应用方案提供商，主营业务聚焦两大板块，智慧水利和智慧教育，辅以IT综合服务与系统集成。</w:t>
            </w:r>
          </w:p>
          <w:p w14:paraId="05633F8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上年度末社保人数</w:t>
            </w:r>
            <w:r>
              <w:rPr>
                <w:rFonts w:hint="eastAsia" w:ascii="宋体" w:hAnsi="宋体" w:cs="宋体"/>
                <w:snapToGrid w:val="0"/>
                <w:color w:val="000000"/>
                <w:kern w:val="0"/>
                <w:szCs w:val="21"/>
                <w:u w:val="single"/>
              </w:rPr>
              <w:t xml:space="preserve"> 69 </w:t>
            </w:r>
            <w:r>
              <w:rPr>
                <w:rFonts w:hint="eastAsia" w:ascii="宋体" w:hAnsi="宋体" w:cs="宋体"/>
                <w:snapToGrid w:val="0"/>
                <w:color w:val="000000"/>
                <w:kern w:val="0"/>
                <w:szCs w:val="21"/>
              </w:rPr>
              <w:t>人；注册资本：</w:t>
            </w:r>
            <w:r>
              <w:rPr>
                <w:rFonts w:hint="eastAsia" w:ascii="宋体" w:hAnsi="宋体" w:cs="宋体"/>
                <w:snapToGrid w:val="0"/>
                <w:color w:val="000000"/>
                <w:kern w:val="0"/>
                <w:szCs w:val="21"/>
                <w:u w:val="single"/>
              </w:rPr>
              <w:t xml:space="preserve">   4100  </w:t>
            </w:r>
            <w:r>
              <w:rPr>
                <w:rFonts w:hint="eastAsia" w:ascii="宋体" w:hAnsi="宋体" w:cs="宋体"/>
                <w:snapToGrid w:val="0"/>
                <w:color w:val="000000"/>
                <w:kern w:val="0"/>
                <w:szCs w:val="21"/>
              </w:rPr>
              <w:t>万元、实收资本：</w:t>
            </w:r>
            <w:r>
              <w:rPr>
                <w:rFonts w:hint="eastAsia" w:ascii="宋体" w:hAnsi="宋体" w:cs="宋体"/>
                <w:snapToGrid w:val="0"/>
                <w:color w:val="000000"/>
                <w:kern w:val="0"/>
                <w:szCs w:val="21"/>
                <w:u w:val="single"/>
              </w:rPr>
              <w:t xml:space="preserve">  4100  </w:t>
            </w:r>
            <w:r>
              <w:rPr>
                <w:rFonts w:hint="eastAsia" w:ascii="宋体" w:hAnsi="宋体" w:cs="宋体"/>
                <w:snapToGrid w:val="0"/>
                <w:color w:val="000000"/>
                <w:kern w:val="0"/>
                <w:szCs w:val="21"/>
              </w:rPr>
              <w:t>万元；法定代表人：</w:t>
            </w:r>
            <w:r>
              <w:rPr>
                <w:rFonts w:hint="eastAsia" w:ascii="宋体" w:hAnsi="宋体" w:cs="宋体"/>
                <w:snapToGrid w:val="0"/>
                <w:color w:val="000000"/>
                <w:kern w:val="0"/>
                <w:szCs w:val="21"/>
                <w:u w:val="single"/>
              </w:rPr>
              <w:t xml:space="preserve">  黄祖海   </w:t>
            </w:r>
            <w:r>
              <w:rPr>
                <w:rFonts w:hint="eastAsia" w:ascii="宋体" w:hAnsi="宋体" w:cs="宋体"/>
                <w:snapToGrid w:val="0"/>
                <w:color w:val="000000"/>
                <w:kern w:val="0"/>
                <w:szCs w:val="21"/>
              </w:rPr>
              <w:t>。</w:t>
            </w:r>
          </w:p>
          <w:p w14:paraId="1F84B5AC">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rPr>
              <w:t xml:space="preserve">最新股权结构表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5256"/>
              <w:gridCol w:w="2001"/>
              <w:gridCol w:w="1161"/>
              <w:gridCol w:w="1266"/>
              <w:gridCol w:w="1056"/>
            </w:tblGrid>
            <w:tr w14:paraId="4D21105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26E4A98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07C49D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6C8C3CF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08371CF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3DD844F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1AB3584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6835067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福建恒运投资合伙企业（有限合伙）</w:t>
                  </w:r>
                </w:p>
              </w:tc>
              <w:tc>
                <w:tcPr>
                  <w:tcW w:w="0" w:type="auto"/>
                  <w:noWrap w:val="0"/>
                  <w:vAlign w:val="center"/>
                </w:tcPr>
                <w:p w14:paraId="4449AFB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1020</w:t>
                  </w:r>
                </w:p>
              </w:tc>
              <w:tc>
                <w:tcPr>
                  <w:tcW w:w="0" w:type="auto"/>
                  <w:noWrap w:val="0"/>
                  <w:vAlign w:val="center"/>
                </w:tcPr>
                <w:p w14:paraId="07572F3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24.8780%</w:t>
                  </w:r>
                </w:p>
              </w:tc>
              <w:tc>
                <w:tcPr>
                  <w:tcW w:w="0" w:type="auto"/>
                  <w:noWrap w:val="0"/>
                  <w:vAlign w:val="center"/>
                </w:tcPr>
                <w:p w14:paraId="271FA9C5">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1020</w:t>
                  </w:r>
                </w:p>
              </w:tc>
              <w:tc>
                <w:tcPr>
                  <w:tcW w:w="0" w:type="auto"/>
                  <w:noWrap w:val="0"/>
                  <w:vAlign w:val="center"/>
                </w:tcPr>
                <w:p w14:paraId="2B5D625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71B58F4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6FA05E45">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陈勇</w:t>
                  </w:r>
                </w:p>
              </w:tc>
              <w:tc>
                <w:tcPr>
                  <w:tcW w:w="0" w:type="auto"/>
                  <w:noWrap w:val="0"/>
                  <w:vAlign w:val="center"/>
                </w:tcPr>
                <w:p w14:paraId="330B202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700</w:t>
                  </w:r>
                </w:p>
              </w:tc>
              <w:tc>
                <w:tcPr>
                  <w:tcW w:w="0" w:type="auto"/>
                  <w:noWrap w:val="0"/>
                  <w:vAlign w:val="center"/>
                </w:tcPr>
                <w:p w14:paraId="130061E5">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17.0732%</w:t>
                  </w:r>
                </w:p>
              </w:tc>
              <w:tc>
                <w:tcPr>
                  <w:tcW w:w="0" w:type="auto"/>
                  <w:noWrap w:val="0"/>
                  <w:vAlign w:val="center"/>
                </w:tcPr>
                <w:p w14:paraId="726FAB3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700</w:t>
                  </w:r>
                </w:p>
              </w:tc>
              <w:tc>
                <w:tcPr>
                  <w:tcW w:w="0" w:type="auto"/>
                  <w:noWrap w:val="0"/>
                  <w:vAlign w:val="center"/>
                </w:tcPr>
                <w:p w14:paraId="234A8E6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603EB2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25D044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黄祖海</w:t>
                  </w:r>
                </w:p>
              </w:tc>
              <w:tc>
                <w:tcPr>
                  <w:tcW w:w="0" w:type="auto"/>
                  <w:noWrap w:val="0"/>
                  <w:vAlign w:val="center"/>
                </w:tcPr>
                <w:p w14:paraId="6B82A7B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650</w:t>
                  </w:r>
                </w:p>
              </w:tc>
              <w:tc>
                <w:tcPr>
                  <w:tcW w:w="0" w:type="auto"/>
                  <w:noWrap w:val="0"/>
                  <w:vAlign w:val="center"/>
                </w:tcPr>
                <w:p w14:paraId="7F75120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15.8537%</w:t>
                  </w:r>
                </w:p>
              </w:tc>
              <w:tc>
                <w:tcPr>
                  <w:tcW w:w="0" w:type="auto"/>
                  <w:noWrap w:val="0"/>
                  <w:vAlign w:val="center"/>
                </w:tcPr>
                <w:p w14:paraId="45379BC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650</w:t>
                  </w:r>
                </w:p>
              </w:tc>
              <w:tc>
                <w:tcPr>
                  <w:tcW w:w="0" w:type="auto"/>
                  <w:noWrap w:val="0"/>
                  <w:vAlign w:val="center"/>
                </w:tcPr>
                <w:p w14:paraId="71C70AB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5CB4BA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2CF95EF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福建兴三业投资有限合伙企业</w:t>
                  </w:r>
                </w:p>
              </w:tc>
              <w:tc>
                <w:tcPr>
                  <w:tcW w:w="0" w:type="auto"/>
                  <w:noWrap w:val="0"/>
                  <w:vAlign w:val="center"/>
                </w:tcPr>
                <w:p w14:paraId="69EF083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454</w:t>
                  </w:r>
                </w:p>
              </w:tc>
              <w:tc>
                <w:tcPr>
                  <w:tcW w:w="0" w:type="auto"/>
                  <w:noWrap w:val="0"/>
                  <w:vAlign w:val="center"/>
                </w:tcPr>
                <w:p w14:paraId="318DBFE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11.0732%</w:t>
                  </w:r>
                </w:p>
              </w:tc>
              <w:tc>
                <w:tcPr>
                  <w:tcW w:w="0" w:type="auto"/>
                  <w:noWrap w:val="0"/>
                  <w:vAlign w:val="center"/>
                </w:tcPr>
                <w:p w14:paraId="212A7E1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454</w:t>
                  </w:r>
                </w:p>
              </w:tc>
              <w:tc>
                <w:tcPr>
                  <w:tcW w:w="0" w:type="auto"/>
                  <w:noWrap w:val="0"/>
                  <w:vAlign w:val="center"/>
                </w:tcPr>
                <w:p w14:paraId="2334D5D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360733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CB3A09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福建经济技术开发区兴三丰投资合伙企业（有限合伙）</w:t>
                  </w:r>
                </w:p>
              </w:tc>
              <w:tc>
                <w:tcPr>
                  <w:tcW w:w="0" w:type="auto"/>
                  <w:noWrap w:val="0"/>
                  <w:vAlign w:val="center"/>
                </w:tcPr>
                <w:p w14:paraId="6F3BA1C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296</w:t>
                  </w:r>
                </w:p>
              </w:tc>
              <w:tc>
                <w:tcPr>
                  <w:tcW w:w="0" w:type="auto"/>
                  <w:noWrap w:val="0"/>
                  <w:vAlign w:val="center"/>
                </w:tcPr>
                <w:p w14:paraId="11CFAE9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7.2195%</w:t>
                  </w:r>
                </w:p>
              </w:tc>
              <w:tc>
                <w:tcPr>
                  <w:tcW w:w="0" w:type="auto"/>
                  <w:noWrap w:val="0"/>
                  <w:vAlign w:val="center"/>
                </w:tcPr>
                <w:p w14:paraId="3C516B4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296</w:t>
                  </w:r>
                </w:p>
              </w:tc>
              <w:tc>
                <w:tcPr>
                  <w:tcW w:w="0" w:type="auto"/>
                  <w:noWrap w:val="0"/>
                  <w:vAlign w:val="center"/>
                </w:tcPr>
                <w:p w14:paraId="23C99CC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21EBE0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4E5FC32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福州经济技术开发区兴三晟投资合伙企业（有限合伙）</w:t>
                  </w:r>
                </w:p>
              </w:tc>
              <w:tc>
                <w:tcPr>
                  <w:tcW w:w="0" w:type="auto"/>
                  <w:noWrap w:val="0"/>
                  <w:vAlign w:val="center"/>
                </w:tcPr>
                <w:p w14:paraId="21CD4A6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280</w:t>
                  </w:r>
                </w:p>
              </w:tc>
              <w:tc>
                <w:tcPr>
                  <w:tcW w:w="0" w:type="auto"/>
                  <w:noWrap w:val="0"/>
                  <w:vAlign w:val="center"/>
                </w:tcPr>
                <w:p w14:paraId="456053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6.8293%</w:t>
                  </w:r>
                </w:p>
              </w:tc>
              <w:tc>
                <w:tcPr>
                  <w:tcW w:w="0" w:type="auto"/>
                  <w:noWrap w:val="0"/>
                  <w:vAlign w:val="center"/>
                </w:tcPr>
                <w:p w14:paraId="5259F645">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280</w:t>
                  </w:r>
                </w:p>
              </w:tc>
              <w:tc>
                <w:tcPr>
                  <w:tcW w:w="0" w:type="auto"/>
                  <w:noWrap w:val="0"/>
                  <w:vAlign w:val="center"/>
                </w:tcPr>
                <w:p w14:paraId="0DD21D9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4ADDB6E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774B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陈峰</w:t>
                  </w:r>
                </w:p>
              </w:tc>
              <w:tc>
                <w:tcPr>
                  <w:tcW w:w="0" w:type="auto"/>
                  <w:noWrap w:val="0"/>
                  <w:vAlign w:val="center"/>
                </w:tcPr>
                <w:p w14:paraId="76FAC4F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200</w:t>
                  </w:r>
                </w:p>
              </w:tc>
              <w:tc>
                <w:tcPr>
                  <w:tcW w:w="0" w:type="auto"/>
                  <w:noWrap w:val="0"/>
                  <w:vAlign w:val="center"/>
                </w:tcPr>
                <w:p w14:paraId="675743F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4.8780%</w:t>
                  </w:r>
                </w:p>
              </w:tc>
              <w:tc>
                <w:tcPr>
                  <w:tcW w:w="0" w:type="auto"/>
                  <w:noWrap w:val="0"/>
                  <w:vAlign w:val="center"/>
                </w:tcPr>
                <w:p w14:paraId="2D89B1F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200</w:t>
                  </w:r>
                </w:p>
              </w:tc>
              <w:tc>
                <w:tcPr>
                  <w:tcW w:w="0" w:type="auto"/>
                  <w:noWrap w:val="0"/>
                  <w:vAlign w:val="center"/>
                </w:tcPr>
                <w:p w14:paraId="1522E43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6F58AA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933958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林炎光</w:t>
                  </w:r>
                </w:p>
              </w:tc>
              <w:tc>
                <w:tcPr>
                  <w:tcW w:w="0" w:type="auto"/>
                  <w:noWrap w:val="0"/>
                  <w:vAlign w:val="center"/>
                </w:tcPr>
                <w:p w14:paraId="326683B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200</w:t>
                  </w:r>
                </w:p>
              </w:tc>
              <w:tc>
                <w:tcPr>
                  <w:tcW w:w="0" w:type="auto"/>
                  <w:noWrap w:val="0"/>
                  <w:vAlign w:val="center"/>
                </w:tcPr>
                <w:p w14:paraId="64214BD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4.8780%</w:t>
                  </w:r>
                </w:p>
              </w:tc>
              <w:tc>
                <w:tcPr>
                  <w:tcW w:w="0" w:type="auto"/>
                  <w:noWrap w:val="0"/>
                  <w:vAlign w:val="center"/>
                </w:tcPr>
                <w:p w14:paraId="79BB882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200</w:t>
                  </w:r>
                </w:p>
              </w:tc>
              <w:tc>
                <w:tcPr>
                  <w:tcW w:w="0" w:type="auto"/>
                  <w:noWrap w:val="0"/>
                  <w:vAlign w:val="center"/>
                </w:tcPr>
                <w:p w14:paraId="5B348E59">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4F8E2CF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B48E1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林琦</w:t>
                  </w:r>
                </w:p>
              </w:tc>
              <w:tc>
                <w:tcPr>
                  <w:tcW w:w="0" w:type="auto"/>
                  <w:noWrap w:val="0"/>
                  <w:vAlign w:val="center"/>
                </w:tcPr>
                <w:p w14:paraId="335ADDD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150</w:t>
                  </w:r>
                </w:p>
              </w:tc>
              <w:tc>
                <w:tcPr>
                  <w:tcW w:w="0" w:type="auto"/>
                  <w:noWrap w:val="0"/>
                  <w:vAlign w:val="center"/>
                </w:tcPr>
                <w:p w14:paraId="1F0E2D9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3.6585%</w:t>
                  </w:r>
                </w:p>
              </w:tc>
              <w:tc>
                <w:tcPr>
                  <w:tcW w:w="0" w:type="auto"/>
                  <w:noWrap w:val="0"/>
                  <w:vAlign w:val="center"/>
                </w:tcPr>
                <w:p w14:paraId="6989CC4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150</w:t>
                  </w:r>
                </w:p>
              </w:tc>
              <w:tc>
                <w:tcPr>
                  <w:tcW w:w="0" w:type="auto"/>
                  <w:noWrap w:val="0"/>
                  <w:vAlign w:val="center"/>
                </w:tcPr>
                <w:p w14:paraId="4F758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1762F93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0579445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胡来达</w:t>
                  </w:r>
                </w:p>
              </w:tc>
              <w:tc>
                <w:tcPr>
                  <w:tcW w:w="0" w:type="auto"/>
                  <w:noWrap w:val="0"/>
                  <w:vAlign w:val="center"/>
                </w:tcPr>
                <w:p w14:paraId="71F3177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80</w:t>
                  </w:r>
                </w:p>
              </w:tc>
              <w:tc>
                <w:tcPr>
                  <w:tcW w:w="0" w:type="auto"/>
                  <w:noWrap w:val="0"/>
                  <w:vAlign w:val="center"/>
                </w:tcPr>
                <w:p w14:paraId="3820D6F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1.9512%</w:t>
                  </w:r>
                </w:p>
              </w:tc>
              <w:tc>
                <w:tcPr>
                  <w:tcW w:w="0" w:type="auto"/>
                  <w:noWrap w:val="0"/>
                  <w:vAlign w:val="center"/>
                </w:tcPr>
                <w:p w14:paraId="172D2CC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80</w:t>
                  </w:r>
                </w:p>
              </w:tc>
              <w:tc>
                <w:tcPr>
                  <w:tcW w:w="0" w:type="auto"/>
                  <w:noWrap w:val="0"/>
                  <w:vAlign w:val="center"/>
                </w:tcPr>
                <w:p w14:paraId="72A4A12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6DE60E3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AB9D36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林秉风</w:t>
                  </w:r>
                </w:p>
              </w:tc>
              <w:tc>
                <w:tcPr>
                  <w:tcW w:w="0" w:type="auto"/>
                  <w:noWrap w:val="0"/>
                  <w:vAlign w:val="center"/>
                </w:tcPr>
                <w:p w14:paraId="062BD83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55</w:t>
                  </w:r>
                </w:p>
              </w:tc>
              <w:tc>
                <w:tcPr>
                  <w:tcW w:w="0" w:type="auto"/>
                  <w:noWrap w:val="0"/>
                  <w:vAlign w:val="center"/>
                </w:tcPr>
                <w:p w14:paraId="147FEF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1.3415%</w:t>
                  </w:r>
                </w:p>
              </w:tc>
              <w:tc>
                <w:tcPr>
                  <w:tcW w:w="0" w:type="auto"/>
                  <w:noWrap w:val="0"/>
                  <w:vAlign w:val="center"/>
                </w:tcPr>
                <w:p w14:paraId="79356178">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55</w:t>
                  </w:r>
                </w:p>
              </w:tc>
              <w:tc>
                <w:tcPr>
                  <w:tcW w:w="0" w:type="auto"/>
                  <w:noWrap w:val="0"/>
                  <w:vAlign w:val="center"/>
                </w:tcPr>
                <w:p w14:paraId="04BA6E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0A10E55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02BE98D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傅海燕</w:t>
                  </w:r>
                </w:p>
              </w:tc>
              <w:tc>
                <w:tcPr>
                  <w:tcW w:w="0" w:type="auto"/>
                  <w:noWrap w:val="0"/>
                  <w:vAlign w:val="center"/>
                </w:tcPr>
                <w:p w14:paraId="579CB53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15</w:t>
                  </w:r>
                </w:p>
              </w:tc>
              <w:tc>
                <w:tcPr>
                  <w:tcW w:w="0" w:type="auto"/>
                  <w:noWrap w:val="0"/>
                  <w:vAlign w:val="center"/>
                </w:tcPr>
                <w:p w14:paraId="4B076F2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0.3659%</w:t>
                  </w:r>
                </w:p>
              </w:tc>
              <w:tc>
                <w:tcPr>
                  <w:tcW w:w="0" w:type="auto"/>
                  <w:noWrap w:val="0"/>
                  <w:vAlign w:val="center"/>
                </w:tcPr>
                <w:p w14:paraId="735E08F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15</w:t>
                  </w:r>
                </w:p>
              </w:tc>
              <w:tc>
                <w:tcPr>
                  <w:tcW w:w="0" w:type="auto"/>
                  <w:noWrap w:val="0"/>
                  <w:vAlign w:val="center"/>
                </w:tcPr>
                <w:p w14:paraId="3CF61E4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现金</w:t>
                  </w:r>
                </w:p>
              </w:tc>
            </w:tr>
            <w:tr w14:paraId="067F23E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0B0B0DD8">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003A049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4100</w:t>
                  </w:r>
                </w:p>
              </w:tc>
              <w:tc>
                <w:tcPr>
                  <w:tcW w:w="0" w:type="auto"/>
                  <w:noWrap w:val="0"/>
                  <w:vAlign w:val="center"/>
                </w:tcPr>
                <w:p w14:paraId="1C19D68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170B9D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4100</w:t>
                  </w:r>
                </w:p>
              </w:tc>
              <w:tc>
                <w:tcPr>
                  <w:tcW w:w="0" w:type="auto"/>
                  <w:noWrap w:val="0"/>
                  <w:vAlign w:val="center"/>
                </w:tcPr>
                <w:p w14:paraId="71F8C17D">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p>
              </w:tc>
            </w:tr>
          </w:tbl>
          <w:p w14:paraId="139E6519">
            <w:pPr>
              <w:widowControl/>
              <w:kinsoku w:val="0"/>
              <w:autoSpaceDE w:val="0"/>
              <w:autoSpaceDN w:val="0"/>
              <w:adjustRightInd w:val="0"/>
              <w:snapToGrid w:val="0"/>
              <w:spacing w:before="93" w:beforeLines="30" w:after="93" w:afterLines="30"/>
              <w:ind w:firstLine="420"/>
              <w:jc w:val="left"/>
              <w:textAlignment w:val="baseline"/>
              <w:rPr>
                <w:rFonts w:ascii="宋体" w:hAnsi="宋体" w:cs="宋体"/>
                <w:snapToGrid w:val="0"/>
                <w:kern w:val="0"/>
                <w:szCs w:val="21"/>
                <w:u w:val="single"/>
              </w:rPr>
            </w:pPr>
            <w:r>
              <w:rPr>
                <w:rFonts w:hint="eastAsia" w:ascii="宋体" w:hAnsi="宋体" w:cs="宋体"/>
                <w:snapToGrid w:val="0"/>
                <w:color w:val="000000"/>
                <w:kern w:val="0"/>
                <w:szCs w:val="21"/>
              </w:rPr>
              <w:t>股权穿透后实际控制人持股比</w:t>
            </w:r>
            <w:r>
              <w:rPr>
                <w:rFonts w:hint="eastAsia" w:ascii="宋体" w:hAnsi="宋体" w:cs="宋体"/>
                <w:snapToGrid w:val="0"/>
                <w:kern w:val="0"/>
                <w:szCs w:val="21"/>
              </w:rPr>
              <w:t>例：</w:t>
            </w:r>
            <w:r>
              <w:rPr>
                <w:rFonts w:hint="eastAsia" w:ascii="宋体" w:hAnsi="宋体" w:cs="宋体"/>
                <w:snapToGrid w:val="0"/>
                <w:kern w:val="0"/>
                <w:szCs w:val="21"/>
                <w:u w:val="single"/>
              </w:rPr>
              <w:t>实控人黄祖海，持股比例30.1627%。</w:t>
            </w:r>
          </w:p>
          <w:p w14:paraId="415815F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rPr>
              <w:t>过往两年企业股权变动情况及变动原因：</w:t>
            </w:r>
            <w:r>
              <w:rPr>
                <w:rFonts w:hint="eastAsia" w:ascii="宋体" w:hAnsi="宋体" w:cs="宋体"/>
                <w:bCs/>
                <w:snapToGrid w:val="0"/>
                <w:color w:val="000000"/>
                <w:kern w:val="0"/>
                <w:szCs w:val="21"/>
                <w:u w:val="single"/>
              </w:rPr>
              <w:t>无变动。</w:t>
            </w:r>
          </w:p>
          <w:p w14:paraId="019A568D">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FF0000"/>
                <w:kern w:val="0"/>
                <w:szCs w:val="21"/>
                <w:u w:val="single"/>
              </w:rPr>
            </w:pPr>
            <w:r>
              <w:rPr>
                <w:rFonts w:hint="eastAsia" w:ascii="宋体" w:hAnsi="宋体" w:cs="宋体"/>
                <w:b/>
                <w:snapToGrid w:val="0"/>
                <w:color w:val="000000"/>
                <w:kern w:val="0"/>
                <w:szCs w:val="21"/>
              </w:rPr>
              <w:t>2.</w:t>
            </w:r>
            <w:r>
              <w:rPr>
                <w:rFonts w:hint="eastAsia" w:ascii="宋体" w:hAnsi="宋体" w:cs="宋体"/>
                <w:b/>
                <w:bCs/>
                <w:snapToGrid w:val="0"/>
                <w:color w:val="000000"/>
                <w:kern w:val="0"/>
                <w:szCs w:val="21"/>
              </w:rPr>
              <w:t>实控人面访评价</w:t>
            </w:r>
            <w:r>
              <w:rPr>
                <w:rFonts w:hint="eastAsia" w:ascii="宋体" w:hAnsi="宋体" w:cs="宋体"/>
                <w:snapToGrid w:val="0"/>
                <w:color w:val="000000"/>
                <w:kern w:val="0"/>
                <w:szCs w:val="21"/>
              </w:rPr>
              <w:t>：2026年3月23日上午，管理经理郑鑫与主管客户经理唐梓妍两人实地走访借款企业，并面访其实际控制人黄祖海。其对企业的主营业务/财务状况、上下游合作关系、项目推进进度以及未来发展规划阐述详实，逻辑清晰，信息披露真实透明。</w:t>
            </w:r>
          </w:p>
          <w:p w14:paraId="32D24325">
            <w:pPr>
              <w:widowControl/>
              <w:kinsoku w:val="0"/>
              <w:autoSpaceDE w:val="0"/>
              <w:autoSpaceDN w:val="0"/>
              <w:adjustRightInd w:val="0"/>
              <w:snapToGrid w:val="0"/>
              <w:spacing w:before="93" w:beforeLines="30" w:after="93" w:afterLines="30"/>
              <w:ind w:firstLine="422" w:firstLineChars="200"/>
              <w:jc w:val="left"/>
              <w:textAlignment w:val="baseline"/>
              <w:rPr>
                <w:rFonts w:ascii="宋体" w:hAnsi="宋体" w:cs="宋体"/>
                <w:snapToGrid w:val="0"/>
                <w:kern w:val="0"/>
                <w:szCs w:val="21"/>
              </w:rPr>
            </w:pPr>
            <w:r>
              <w:rPr>
                <w:rFonts w:hint="eastAsia" w:ascii="宋体" w:hAnsi="宋体" w:cs="宋体"/>
                <w:b/>
                <w:snapToGrid w:val="0"/>
                <w:color w:val="000000"/>
                <w:kern w:val="0"/>
                <w:szCs w:val="21"/>
              </w:rPr>
              <w:t>3.</w:t>
            </w:r>
            <w:r>
              <w:rPr>
                <w:rFonts w:hint="eastAsia" w:ascii="宋体" w:hAnsi="宋体" w:cs="宋体"/>
                <w:b/>
                <w:bCs/>
                <w:snapToGrid w:val="0"/>
                <w:color w:val="000000"/>
                <w:kern w:val="0"/>
                <w:szCs w:val="21"/>
              </w:rPr>
              <w:t>实地走访情</w:t>
            </w:r>
            <w:r>
              <w:rPr>
                <w:rFonts w:hint="eastAsia" w:ascii="宋体" w:hAnsi="宋体" w:cs="宋体"/>
                <w:b/>
                <w:bCs/>
                <w:snapToGrid w:val="0"/>
                <w:kern w:val="0"/>
                <w:szCs w:val="21"/>
              </w:rPr>
              <w:t>况：</w:t>
            </w:r>
            <w:r>
              <w:rPr>
                <w:rFonts w:hint="eastAsia" w:ascii="宋体" w:hAnsi="宋体" w:cs="宋体"/>
                <w:snapToGrid w:val="0"/>
                <w:kern w:val="0"/>
                <w:szCs w:val="21"/>
                <w:u w:val="single"/>
              </w:rPr>
              <w:t>企业经营场所规范，运营秩序良好，人员正常到岗上班。</w:t>
            </w:r>
          </w:p>
          <w:p w14:paraId="784E192A">
            <w:pPr>
              <w:pStyle w:val="11"/>
              <w:ind w:firstLine="422" w:firstLineChars="200"/>
              <w:rPr>
                <w:rFonts w:hint="eastAsia" w:ascii="宋体" w:hAnsi="宋体" w:cs="宋体"/>
                <w:b/>
                <w:bCs/>
                <w:snapToGrid w:val="0"/>
                <w:sz w:val="21"/>
                <w:szCs w:val="21"/>
                <w:u w:val="single"/>
              </w:rPr>
            </w:pPr>
            <w:r>
              <w:rPr>
                <w:rFonts w:hint="eastAsia" w:ascii="宋体" w:hAnsi="宋体" w:cs="宋体"/>
                <w:b/>
                <w:bCs/>
                <w:snapToGrid w:val="0"/>
                <w:color w:val="000000"/>
                <w:sz w:val="21"/>
                <w:szCs w:val="21"/>
              </w:rPr>
              <w:t>4.与我行历史授信合作：</w:t>
            </w:r>
            <w:r>
              <w:rPr>
                <w:rFonts w:hint="eastAsia" w:ascii="宋体" w:hAnsi="宋体" w:cs="宋体"/>
                <w:b/>
                <w:bCs/>
                <w:snapToGrid w:val="0"/>
                <w:sz w:val="21"/>
                <w:szCs w:val="21"/>
                <w:u w:val="single"/>
              </w:rPr>
              <w:t>我行与借款人于2024年建立授信合作关系，给予其普惠E贷项下1000万授信敞口，担保方式为信用。</w:t>
            </w:r>
          </w:p>
          <w:p w14:paraId="08FA4FBE">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5.上一期授信情况：</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879"/>
            </w:tblGrid>
            <w:tr w14:paraId="23B0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0" w:type="auto"/>
                  <w:noWrap w:val="0"/>
                  <w:vAlign w:val="top"/>
                </w:tcPr>
                <w:p w14:paraId="679DA38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rPr>
                  </w:pPr>
                  <w:r>
                    <w:rPr>
                      <w:rFonts w:hint="eastAsia" w:ascii="宋体" w:hAnsi="宋体" w:cs="宋体"/>
                      <w:b/>
                      <w:bCs/>
                      <w:snapToGrid w:val="0"/>
                      <w:color w:val="000000"/>
                      <w:kern w:val="0"/>
                      <w:sz w:val="18"/>
                      <w:szCs w:val="18"/>
                    </w:rPr>
                    <w:t>贷款提用情况</w:t>
                  </w:r>
                </w:p>
              </w:tc>
              <w:tc>
                <w:tcPr>
                  <w:tcW w:w="0" w:type="auto"/>
                  <w:noWrap w:val="0"/>
                  <w:vAlign w:val="top"/>
                </w:tcPr>
                <w:p w14:paraId="4A5A4C90">
                  <w:pPr>
                    <w:widowControl/>
                    <w:kinsoku w:val="0"/>
                    <w:autoSpaceDE w:val="0"/>
                    <w:autoSpaceDN w:val="0"/>
                    <w:adjustRightInd w:val="0"/>
                    <w:snapToGrid w:val="0"/>
                    <w:spacing w:before="93" w:beforeLines="30"/>
                    <w:jc w:val="left"/>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截至</w:t>
                  </w:r>
                  <w:r>
                    <w:rPr>
                      <w:rFonts w:hint="eastAsia" w:ascii="宋体" w:hAnsi="宋体" w:cs="宋体"/>
                      <w:snapToGrid w:val="0"/>
                      <w:color w:val="000000"/>
                      <w:kern w:val="0"/>
                      <w:sz w:val="18"/>
                      <w:szCs w:val="18"/>
                      <w:u w:val="single"/>
                    </w:rPr>
                    <w:t>2026</w:t>
                  </w:r>
                  <w:r>
                    <w:rPr>
                      <w:rFonts w:hint="eastAsia" w:ascii="宋体" w:hAnsi="宋体" w:cs="宋体"/>
                      <w:snapToGrid w:val="0"/>
                      <w:color w:val="000000"/>
                      <w:kern w:val="0"/>
                      <w:sz w:val="18"/>
                      <w:szCs w:val="18"/>
                    </w:rPr>
                    <w:t>年</w:t>
                  </w:r>
                  <w:r>
                    <w:rPr>
                      <w:rFonts w:hint="eastAsia" w:ascii="宋体" w:hAnsi="宋体" w:cs="宋体"/>
                      <w:snapToGrid w:val="0"/>
                      <w:color w:val="000000"/>
                      <w:kern w:val="0"/>
                      <w:sz w:val="18"/>
                      <w:szCs w:val="18"/>
                      <w:u w:val="single"/>
                    </w:rPr>
                    <w:t>3</w:t>
                  </w:r>
                  <w:r>
                    <w:rPr>
                      <w:rFonts w:hint="eastAsia" w:ascii="宋体" w:hAnsi="宋体" w:cs="宋体"/>
                      <w:snapToGrid w:val="0"/>
                      <w:color w:val="000000"/>
                      <w:kern w:val="0"/>
                      <w:sz w:val="18"/>
                      <w:szCs w:val="18"/>
                    </w:rPr>
                    <w:t>月</w:t>
                  </w:r>
                  <w:r>
                    <w:rPr>
                      <w:rFonts w:hint="eastAsia" w:ascii="宋体" w:hAnsi="宋体" w:cs="宋体"/>
                      <w:snapToGrid w:val="0"/>
                      <w:color w:val="000000"/>
                      <w:kern w:val="0"/>
                      <w:sz w:val="18"/>
                      <w:szCs w:val="18"/>
                      <w:u w:val="single"/>
                    </w:rPr>
                    <w:t>30</w:t>
                  </w:r>
                  <w:r>
                    <w:rPr>
                      <w:rFonts w:hint="eastAsia" w:ascii="宋体" w:hAnsi="宋体" w:cs="宋体"/>
                      <w:snapToGrid w:val="0"/>
                      <w:color w:val="000000"/>
                      <w:kern w:val="0"/>
                      <w:sz w:val="18"/>
                      <w:szCs w:val="18"/>
                    </w:rPr>
                    <w:t>日，经531系统查询，借款人合计提贷</w:t>
                  </w:r>
                  <w:r>
                    <w:rPr>
                      <w:rFonts w:hint="eastAsia" w:ascii="宋体" w:hAnsi="宋体" w:cs="宋体"/>
                      <w:snapToGrid w:val="0"/>
                      <w:color w:val="000000"/>
                      <w:kern w:val="0"/>
                      <w:sz w:val="18"/>
                      <w:szCs w:val="18"/>
                      <w:u w:val="single"/>
                    </w:rPr>
                    <w:t>1000</w:t>
                  </w:r>
                  <w:r>
                    <w:rPr>
                      <w:rFonts w:hint="eastAsia" w:ascii="宋体" w:hAnsi="宋体" w:cs="宋体"/>
                      <w:snapToGrid w:val="0"/>
                      <w:color w:val="000000"/>
                      <w:kern w:val="0"/>
                      <w:sz w:val="18"/>
                      <w:szCs w:val="18"/>
                    </w:rPr>
                    <w:t>万元，到期日</w:t>
                  </w:r>
                  <w:r>
                    <w:rPr>
                      <w:rFonts w:hint="eastAsia" w:ascii="宋体" w:hAnsi="宋体" w:cs="宋体"/>
                      <w:snapToGrid w:val="0"/>
                      <w:color w:val="000000"/>
                      <w:kern w:val="0"/>
                      <w:sz w:val="18"/>
                      <w:szCs w:val="18"/>
                      <w:u w:val="single"/>
                    </w:rPr>
                    <w:t>2026</w:t>
                  </w:r>
                  <w:r>
                    <w:rPr>
                      <w:rFonts w:hint="eastAsia" w:ascii="宋体" w:hAnsi="宋体" w:cs="宋体"/>
                      <w:snapToGrid w:val="0"/>
                      <w:color w:val="000000"/>
                      <w:kern w:val="0"/>
                      <w:sz w:val="18"/>
                      <w:szCs w:val="18"/>
                    </w:rPr>
                    <w:t>年</w:t>
                  </w:r>
                  <w:r>
                    <w:rPr>
                      <w:rFonts w:hint="eastAsia" w:ascii="宋体" w:hAnsi="宋体" w:cs="宋体"/>
                      <w:snapToGrid w:val="0"/>
                      <w:color w:val="000000"/>
                      <w:kern w:val="0"/>
                      <w:sz w:val="18"/>
                      <w:szCs w:val="18"/>
                      <w:u w:val="single"/>
                    </w:rPr>
                    <w:t>4</w:t>
                  </w:r>
                  <w:r>
                    <w:rPr>
                      <w:rFonts w:hint="eastAsia" w:ascii="宋体" w:hAnsi="宋体" w:cs="宋体"/>
                      <w:snapToGrid w:val="0"/>
                      <w:color w:val="000000"/>
                      <w:kern w:val="0"/>
                      <w:sz w:val="18"/>
                      <w:szCs w:val="18"/>
                    </w:rPr>
                    <w:t>月</w:t>
                  </w:r>
                  <w:r>
                    <w:rPr>
                      <w:rFonts w:hint="eastAsia" w:ascii="宋体" w:hAnsi="宋体" w:cs="宋体"/>
                      <w:snapToGrid w:val="0"/>
                      <w:color w:val="000000"/>
                      <w:kern w:val="0"/>
                      <w:sz w:val="18"/>
                      <w:szCs w:val="18"/>
                      <w:u w:val="single"/>
                    </w:rPr>
                    <w:t>25</w:t>
                  </w:r>
                  <w:r>
                    <w:rPr>
                      <w:rFonts w:hint="eastAsia" w:ascii="宋体" w:hAnsi="宋体" w:cs="宋体"/>
                      <w:snapToGrid w:val="0"/>
                      <w:color w:val="000000"/>
                      <w:kern w:val="0"/>
                      <w:sz w:val="18"/>
                      <w:szCs w:val="18"/>
                    </w:rPr>
                    <w:t>日，贷款采取</w:t>
                  </w:r>
                  <w:r>
                    <w:rPr>
                      <w:rFonts w:hint="eastAsia" w:ascii="宋体" w:hAnsi="宋体" w:cs="宋体"/>
                      <w:snapToGrid w:val="0"/>
                      <w:color w:val="000000"/>
                      <w:kern w:val="0"/>
                      <w:sz w:val="18"/>
                      <w:szCs w:val="18"/>
                      <w:u w:val="single"/>
                    </w:rPr>
                    <w:t>自主</w:t>
                  </w:r>
                  <w:r>
                    <w:rPr>
                      <w:rFonts w:hint="eastAsia" w:ascii="宋体" w:hAnsi="宋体" w:cs="宋体"/>
                      <w:snapToGrid w:val="0"/>
                      <w:color w:val="000000"/>
                      <w:kern w:val="0"/>
                      <w:sz w:val="18"/>
                      <w:szCs w:val="18"/>
                    </w:rPr>
                    <w:t>支付方式发放，通过调取借款人账户流水，贷款资金主要用于支付货款（已提供发票）。</w:t>
                  </w:r>
                </w:p>
              </w:tc>
            </w:tr>
          </w:tbl>
          <w:p w14:paraId="18A54E03">
            <w:pPr>
              <w:widowControl/>
              <w:kinsoku w:val="0"/>
              <w:autoSpaceDE w:val="0"/>
              <w:autoSpaceDN w:val="0"/>
              <w:adjustRightInd w:val="0"/>
              <w:snapToGrid w:val="0"/>
              <w:spacing w:before="93" w:beforeLines="30"/>
              <w:ind w:firstLine="422" w:firstLineChars="200"/>
              <w:jc w:val="left"/>
              <w:textAlignment w:val="baseline"/>
              <w:rPr>
                <w:rFonts w:ascii="宋体" w:hAnsi="宋体" w:cs="宋体"/>
                <w:snapToGrid w:val="0"/>
                <w:kern w:val="0"/>
                <w:szCs w:val="21"/>
                <w:u w:val="single"/>
              </w:rPr>
            </w:pPr>
            <w:r>
              <w:rPr>
                <w:rFonts w:hint="eastAsia" w:ascii="宋体" w:hAnsi="宋体" w:cs="宋体"/>
                <w:b/>
                <w:bCs/>
                <w:snapToGrid w:val="0"/>
                <w:kern w:val="0"/>
                <w:szCs w:val="21"/>
              </w:rPr>
              <w:t>6.授信及风险信号提示及反馈（531系统模块）：</w:t>
            </w:r>
            <w:r>
              <w:rPr>
                <w:rFonts w:hint="eastAsia" w:ascii="宋体" w:hAnsi="宋体" w:cs="宋体"/>
                <w:snapToGrid w:val="0"/>
                <w:kern w:val="0"/>
                <w:szCs w:val="21"/>
                <w:u w:val="single"/>
              </w:rPr>
              <w:t>蓝色预警提示（1）疑似该查询客户贷款转至敏感标签客户；（2）监测企业存在未结案的民事类非合同案件；（3）专利存在撤回/到期/终止等无效状态；（4）监测企业月代发工资大幅减少；（5）企业涉及其他行政处罚；（6）申请企业已结清信贷明细中存在超过结清日期30天（含以上）的授信业务。经核实，均已结案。黄色预警（1）企业他行新发生逾期（欠息）、垫款；橙色预警（1）企业纳税状态非正常/评级为D等级/企业欠税/企业涉税违法违章。</w:t>
            </w:r>
          </w:p>
          <w:p w14:paraId="56F792EE">
            <w:pPr>
              <w:widowControl/>
              <w:kinsoku w:val="0"/>
              <w:autoSpaceDE w:val="0"/>
              <w:autoSpaceDN w:val="0"/>
              <w:adjustRightInd w:val="0"/>
              <w:snapToGrid w:val="0"/>
              <w:spacing w:before="93" w:beforeLines="30"/>
              <w:ind w:firstLine="420" w:firstLineChars="200"/>
              <w:jc w:val="left"/>
              <w:textAlignment w:val="baseline"/>
              <w:rPr>
                <w:rFonts w:hint="eastAsia" w:ascii="宋体" w:hAnsi="宋体" w:cs="宋体"/>
                <w:snapToGrid w:val="0"/>
                <w:kern w:val="0"/>
                <w:szCs w:val="21"/>
                <w:u w:val="single"/>
              </w:rPr>
            </w:pPr>
            <w:r>
              <w:rPr>
                <w:rFonts w:hint="eastAsia" w:ascii="宋体" w:hAnsi="宋体" w:cs="宋体"/>
                <w:snapToGrid w:val="0"/>
                <w:kern w:val="0"/>
                <w:szCs w:val="21"/>
                <w:u w:val="single"/>
              </w:rPr>
              <w:t>经核实，该企业贷后均提供合理发票；企业名下案件均已结案；企业部分专利存在到期；企业2025年8月部分员工工资转移至他行代发导致我行月代发金额减少；企业存在完全现金保函未及时闭卷。企业在广发银行发生临时性逾期，已归还资金；企业因应收账款延期回款，存在税务欠税，已同税务机关协商缴清日期。综合评判，未对借款人造成实质性风险。</w:t>
            </w:r>
          </w:p>
          <w:p w14:paraId="6A8B85A1">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u w:val="single"/>
              </w:rPr>
            </w:pPr>
            <w:r>
              <w:rPr>
                <w:rFonts w:hint="eastAsia" w:ascii="宋体" w:hAnsi="宋体" w:cs="宋体"/>
                <w:b/>
                <w:bCs/>
                <w:snapToGrid w:val="0"/>
                <w:color w:val="000000"/>
                <w:kern w:val="0"/>
                <w:szCs w:val="21"/>
              </w:rPr>
              <w:t>7.其他负面信息解释</w:t>
            </w:r>
            <w:r>
              <w:rPr>
                <w:rFonts w:hint="eastAsia" w:ascii="宋体" w:hAnsi="宋体" w:cs="宋体"/>
                <w:snapToGrid w:val="0"/>
                <w:color w:val="000000"/>
                <w:kern w:val="0"/>
                <w:szCs w:val="21"/>
              </w:rPr>
              <w:t>（包括但不限于ESG评价、诉讼、反洗钱“较高”风险等）：</w:t>
            </w:r>
            <w:r>
              <w:rPr>
                <w:rFonts w:hint="eastAsia" w:ascii="宋体" w:hAnsi="宋体" w:cs="宋体"/>
                <w:bCs/>
                <w:snapToGrid w:val="0"/>
                <w:color w:val="000000"/>
                <w:kern w:val="0"/>
                <w:szCs w:val="21"/>
                <w:u w:val="single"/>
              </w:rPr>
              <w:t xml:space="preserve">企业目前存在欠税行为，主要由于项目回款严重延迟导致现金流临时性紧张，非主观恶意拖欠。企业已同税务机关协商并同意分期缴纳税款，预计于2026年5月31日前缴清全部欠税金额以及滞纳金。 </w:t>
            </w:r>
          </w:p>
          <w:p w14:paraId="4556E01A">
            <w:pPr>
              <w:widowControl/>
              <w:kinsoku w:val="0"/>
              <w:autoSpaceDE w:val="0"/>
              <w:autoSpaceDN w:val="0"/>
              <w:adjustRightInd w:val="0"/>
              <w:snapToGrid w:val="0"/>
              <w:spacing w:before="62" w:beforeLines="20" w:after="93" w:afterLines="30"/>
              <w:ind w:firstLine="422" w:firstLineChars="200"/>
              <w:jc w:val="left"/>
              <w:textAlignment w:val="baseline"/>
              <w:rPr>
                <w:rFonts w:ascii="宋体" w:hAnsi="宋体" w:cs="宋体"/>
                <w:snapToGrid w:val="0"/>
                <w:color w:val="000000"/>
                <w:kern w:val="0"/>
                <w:szCs w:val="21"/>
              </w:rPr>
            </w:pPr>
            <w:r>
              <w:rPr>
                <w:rFonts w:hint="eastAsia" w:ascii="宋体" w:hAnsi="宋体" w:cs="宋体"/>
                <w:b/>
                <w:snapToGrid w:val="0"/>
                <w:color w:val="000000"/>
                <w:kern w:val="0"/>
                <w:szCs w:val="21"/>
              </w:rPr>
              <w:t>8.</w:t>
            </w:r>
            <w:r>
              <w:rPr>
                <w:rFonts w:hint="eastAsia" w:ascii="宋体" w:hAnsi="宋体" w:cs="宋体"/>
                <w:bCs/>
                <w:snapToGrid w:val="0"/>
                <w:color w:val="000000"/>
                <w:kern w:val="0"/>
                <w:szCs w:val="21"/>
              </w:rPr>
              <w:t>（</w:t>
            </w:r>
            <w:r>
              <w:rPr>
                <w:rFonts w:hint="eastAsia" w:ascii="宋体" w:hAnsi="宋体" w:cs="宋体"/>
                <w:b/>
                <w:bCs/>
                <w:snapToGrid w:val="0"/>
                <w:color w:val="000000"/>
                <w:kern w:val="0"/>
                <w:szCs w:val="21"/>
              </w:rPr>
              <w:t>若有）PD评级较上期下滑，分析原因：</w:t>
            </w:r>
            <w:r>
              <w:rPr>
                <w:rFonts w:hint="eastAsia" w:ascii="宋体" w:hAnsi="宋体" w:cs="宋体"/>
                <w:snapToGrid w:val="0"/>
                <w:color w:val="000000"/>
                <w:kern w:val="0"/>
                <w:szCs w:val="21"/>
              </w:rPr>
              <w:t>主要由于为广发银行发生临时性逾期，导致征信评分下降，从而直接影响 PD评级下降。</w:t>
            </w:r>
          </w:p>
          <w:p w14:paraId="2A4F3BA3">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p>
          <w:p w14:paraId="543ACA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kern w:val="0"/>
                <w:szCs w:val="21"/>
              </w:rPr>
            </w:pPr>
            <w:r>
              <w:rPr>
                <w:rFonts w:hint="eastAsia" w:ascii="宋体" w:hAnsi="宋体" w:cs="宋体"/>
                <w:snapToGrid w:val="0"/>
                <w:color w:val="000000"/>
                <w:kern w:val="0"/>
                <w:szCs w:val="21"/>
              </w:rPr>
              <w:t>法定代表人（即实际</w:t>
            </w:r>
            <w:r>
              <w:rPr>
                <w:rFonts w:hint="eastAsia" w:ascii="宋体" w:hAnsi="宋体" w:cs="宋体"/>
                <w:snapToGrid w:val="0"/>
                <w:kern w:val="0"/>
                <w:szCs w:val="21"/>
              </w:rPr>
              <w:t>控制人）：</w:t>
            </w:r>
            <w:r>
              <w:rPr>
                <w:rFonts w:hint="eastAsia" w:ascii="宋体" w:hAnsi="宋体" w:cs="宋体"/>
                <w:snapToGrid w:val="0"/>
                <w:kern w:val="0"/>
                <w:szCs w:val="21"/>
                <w:u w:val="single"/>
              </w:rPr>
              <w:t>黄祖海</w:t>
            </w:r>
            <w:r>
              <w:rPr>
                <w:rFonts w:hint="eastAsia" w:ascii="宋体" w:hAnsi="宋体" w:cs="宋体"/>
                <w:snapToGrid w:val="0"/>
                <w:kern w:val="0"/>
                <w:szCs w:val="21"/>
              </w:rPr>
              <w:t>，</w:t>
            </w:r>
            <w:r>
              <w:rPr>
                <w:rFonts w:hint="eastAsia" w:ascii="宋体" w:hAnsi="宋体" w:cs="宋体"/>
                <w:snapToGrid w:val="0"/>
                <w:kern w:val="0"/>
                <w:szCs w:val="21"/>
                <w:u w:val="single"/>
              </w:rPr>
              <w:t>中国</w:t>
            </w:r>
            <w:r>
              <w:rPr>
                <w:rFonts w:hint="eastAsia" w:ascii="宋体" w:hAnsi="宋体" w:cs="宋体"/>
                <w:snapToGrid w:val="0"/>
                <w:kern w:val="0"/>
                <w:szCs w:val="21"/>
              </w:rPr>
              <w:t>国籍，</w:t>
            </w:r>
            <w:r>
              <w:rPr>
                <w:rFonts w:hint="eastAsia" w:ascii="宋体" w:hAnsi="宋体" w:cs="宋体"/>
                <w:snapToGrid w:val="0"/>
                <w:kern w:val="0"/>
                <w:szCs w:val="21"/>
                <w:u w:val="single"/>
              </w:rPr>
              <w:t>离异</w:t>
            </w:r>
            <w:r>
              <w:rPr>
                <w:rFonts w:hint="eastAsia" w:ascii="宋体" w:hAnsi="宋体" w:cs="宋体"/>
                <w:snapToGrid w:val="0"/>
                <w:kern w:val="0"/>
                <w:szCs w:val="21"/>
              </w:rPr>
              <w:t>，</w:t>
            </w:r>
            <w:r>
              <w:rPr>
                <w:rFonts w:hint="eastAsia" w:ascii="宋体" w:hAnsi="宋体" w:cs="宋体"/>
                <w:snapToGrid w:val="0"/>
                <w:kern w:val="0"/>
                <w:szCs w:val="21"/>
                <w:u w:val="single"/>
              </w:rPr>
              <w:t>福建闽清</w:t>
            </w:r>
            <w:r>
              <w:rPr>
                <w:rFonts w:hint="eastAsia" w:ascii="宋体" w:hAnsi="宋体" w:cs="宋体"/>
                <w:snapToGrid w:val="0"/>
                <w:kern w:val="0"/>
                <w:szCs w:val="21"/>
              </w:rPr>
              <w:t>人，</w:t>
            </w:r>
            <w:r>
              <w:rPr>
                <w:rFonts w:hint="eastAsia" w:ascii="宋体" w:hAnsi="宋体" w:cs="宋体"/>
                <w:snapToGrid w:val="0"/>
                <w:kern w:val="0"/>
                <w:szCs w:val="21"/>
                <w:u w:val="single"/>
              </w:rPr>
              <w:t>1977年</w:t>
            </w:r>
            <w:r>
              <w:rPr>
                <w:rFonts w:hint="eastAsia" w:ascii="宋体" w:hAnsi="宋体" w:cs="宋体"/>
                <w:snapToGrid w:val="0"/>
                <w:kern w:val="0"/>
                <w:szCs w:val="21"/>
              </w:rPr>
              <w:t>生，</w:t>
            </w:r>
            <w:r>
              <w:rPr>
                <w:rFonts w:hint="eastAsia" w:ascii="宋体" w:hAnsi="宋体" w:cs="宋体"/>
                <w:snapToGrid w:val="0"/>
                <w:kern w:val="0"/>
                <w:szCs w:val="21"/>
                <w:u w:val="single"/>
              </w:rPr>
              <w:t>本科</w:t>
            </w:r>
            <w:r>
              <w:rPr>
                <w:rFonts w:hint="eastAsia" w:ascii="宋体" w:hAnsi="宋体" w:cs="宋体"/>
                <w:snapToGrid w:val="0"/>
                <w:kern w:val="0"/>
                <w:szCs w:val="21"/>
              </w:rPr>
              <w:t>学历，行业工作经历：</w:t>
            </w:r>
            <w:r>
              <w:rPr>
                <w:rFonts w:hint="eastAsia" w:ascii="宋体" w:hAnsi="宋体" w:cs="宋体"/>
                <w:snapToGrid w:val="0"/>
                <w:kern w:val="0"/>
                <w:szCs w:val="21"/>
                <w:u w:val="single"/>
              </w:rPr>
              <w:t>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p>
          <w:p w14:paraId="3C70B63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kern w:val="0"/>
                <w:szCs w:val="21"/>
              </w:rPr>
              <w:t>（三）实控人资产情况（房产、投资、金融资产等）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2342"/>
              <w:gridCol w:w="1105"/>
              <w:gridCol w:w="684"/>
              <w:gridCol w:w="1567"/>
              <w:gridCol w:w="948"/>
              <w:gridCol w:w="960"/>
              <w:gridCol w:w="960"/>
              <w:gridCol w:w="732"/>
              <w:gridCol w:w="781"/>
              <w:gridCol w:w="769"/>
            </w:tblGrid>
            <w:tr w14:paraId="645FE2D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D54B813">
                  <w:pPr>
                    <w:widowControl/>
                    <w:rPr>
                      <w:rFonts w:ascii="Calibri" w:hAnsi="Calibri" w:cs="Calibri"/>
                      <w:szCs w:val="21"/>
                    </w:rPr>
                  </w:pPr>
                  <w:r>
                    <w:rPr>
                      <w:rFonts w:hint="eastAsia" w:ascii="宋体" w:hAnsi="宋体" w:cs="宋体"/>
                      <w:b/>
                      <w:bCs/>
                      <w:color w:val="000000"/>
                      <w:kern w:val="0"/>
                      <w:szCs w:val="21"/>
                      <w:lang w:bidi="ar"/>
                    </w:rPr>
                    <w:t>1.实控人家庭资产情况</w:t>
                  </w:r>
                </w:p>
              </w:tc>
            </w:tr>
            <w:tr w14:paraId="41B752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B17F6BA">
                  <w:pPr>
                    <w:widowControl/>
                    <w:jc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资产名称</w:t>
                  </w:r>
                </w:p>
                <w:p w14:paraId="08C5EFEE">
                  <w:pPr>
                    <w:widowControl/>
                    <w:jc w:val="center"/>
                    <w:rPr>
                      <w:rFonts w:ascii="Calibri" w:hAnsi="Calibri" w:cs="Calibri"/>
                      <w:sz w:val="18"/>
                      <w:szCs w:val="18"/>
                    </w:rPr>
                  </w:pPr>
                  <w:r>
                    <w:rPr>
                      <w:rFonts w:hint="eastAsia" w:ascii="宋体" w:hAnsi="宋体" w:cs="宋体"/>
                      <w:color w:val="000000"/>
                      <w:kern w:val="0"/>
                      <w:sz w:val="18"/>
                      <w:szCs w:val="18"/>
                      <w:lang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DDEAB9">
                  <w:pPr>
                    <w:widowControl/>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1CD5FC">
                  <w:pPr>
                    <w:widowControl/>
                    <w:jc w:val="center"/>
                    <w:rPr>
                      <w:rFonts w:ascii="Calibri" w:hAnsi="Calibri" w:cs="Calibri"/>
                      <w:sz w:val="18"/>
                      <w:szCs w:val="18"/>
                    </w:rPr>
                  </w:pPr>
                  <w:r>
                    <w:rPr>
                      <w:rFonts w:hint="eastAsia" w:ascii="宋体" w:hAnsi="宋体" w:cs="宋体"/>
                      <w:color w:val="000000"/>
                      <w:kern w:val="0"/>
                      <w:sz w:val="18"/>
                      <w:szCs w:val="18"/>
                      <w:lang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9FA362F">
                  <w:pPr>
                    <w:widowControl/>
                    <w:jc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权属</w:t>
                  </w:r>
                </w:p>
                <w:p w14:paraId="0ECB6269">
                  <w:pPr>
                    <w:widowControl/>
                    <w:jc w:val="center"/>
                    <w:rPr>
                      <w:rFonts w:ascii="Calibri" w:hAnsi="Calibri" w:cs="Calibri"/>
                      <w:sz w:val="18"/>
                      <w:szCs w:val="18"/>
                    </w:rPr>
                  </w:pPr>
                  <w:r>
                    <w:rPr>
                      <w:rFonts w:hint="eastAsia" w:ascii="宋体" w:hAnsi="宋体" w:cs="宋体"/>
                      <w:color w:val="000000"/>
                      <w:kern w:val="0"/>
                      <w:sz w:val="18"/>
                      <w:szCs w:val="18"/>
                      <w:lang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226691D">
                  <w:pPr>
                    <w:widowControl/>
                    <w:jc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资产概况</w:t>
                  </w:r>
                </w:p>
                <w:p w14:paraId="773C2526">
                  <w:pPr>
                    <w:widowControl/>
                    <w:jc w:val="center"/>
                    <w:rPr>
                      <w:rFonts w:ascii="Calibri" w:hAnsi="Calibri" w:cs="Calibri"/>
                      <w:sz w:val="18"/>
                      <w:szCs w:val="18"/>
                    </w:rPr>
                  </w:pPr>
                  <w:r>
                    <w:rPr>
                      <w:rFonts w:hint="eastAsia" w:ascii="宋体" w:hAnsi="宋体" w:cs="宋体"/>
                      <w:color w:val="000000"/>
                      <w:kern w:val="0"/>
                      <w:sz w:val="18"/>
                      <w:szCs w:val="18"/>
                      <w:lang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6B9C2D">
                  <w:pPr>
                    <w:widowControl/>
                    <w:jc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账面或购置价</w:t>
                  </w:r>
                </w:p>
                <w:p w14:paraId="2F95F21D">
                  <w:pPr>
                    <w:widowControl/>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02735B31">
                  <w:pPr>
                    <w:widowControl/>
                    <w:jc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市场或评估价</w:t>
                  </w:r>
                </w:p>
                <w:p w14:paraId="2C01625C">
                  <w:pPr>
                    <w:widowControl/>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6BDA353">
                  <w:pPr>
                    <w:widowControl/>
                    <w:jc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ADD695E">
                  <w:pPr>
                    <w:widowControl/>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EE61CD4">
                  <w:pPr>
                    <w:widowControl/>
                    <w:jc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融资金额</w:t>
                  </w:r>
                </w:p>
                <w:p w14:paraId="7DA38C55">
                  <w:pPr>
                    <w:widowControl/>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（万元）</w:t>
                  </w:r>
                </w:p>
              </w:tc>
            </w:tr>
            <w:tr w14:paraId="2C1F4CD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D6C8E5B">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DF42CC3">
                  <w:pPr>
                    <w:widowControl/>
                    <w:jc w:val="left"/>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880A18">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B778931">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榕房权证</w:t>
                  </w:r>
                  <w:r>
                    <w:rPr>
                      <w:rFonts w:ascii="宋体" w:hAnsi="宋体" w:cs="宋体"/>
                      <w:color w:val="000000"/>
                      <w:kern w:val="0"/>
                      <w:sz w:val="18"/>
                      <w:szCs w:val="18"/>
                      <w:lang w:bidi="ar"/>
                    </w:rPr>
                    <w:t>R</w:t>
                  </w:r>
                  <w:r>
                    <w:rPr>
                      <w:rFonts w:hint="eastAsia" w:ascii="宋体" w:hAnsi="宋体" w:cs="宋体"/>
                      <w:color w:val="000000"/>
                      <w:kern w:val="0"/>
                      <w:sz w:val="18"/>
                      <w:szCs w:val="18"/>
                      <w:lang w:bidi="ar"/>
                    </w:rPr>
                    <w:t>字</w:t>
                  </w:r>
                  <w:r>
                    <w:rPr>
                      <w:rFonts w:ascii="宋体" w:hAnsi="宋体" w:cs="宋体"/>
                      <w:color w:val="000000"/>
                      <w:kern w:val="0"/>
                      <w:sz w:val="18"/>
                      <w:szCs w:val="18"/>
                      <w:lang w:bidi="ar"/>
                    </w:rPr>
                    <w:t>083800</w:t>
                  </w:r>
                  <w:r>
                    <w:rPr>
                      <w:rFonts w:hint="eastAsia" w:ascii="宋体" w:hAnsi="宋体" w:cs="宋体"/>
                      <w:color w:val="000000"/>
                      <w:kern w:val="0"/>
                      <w:sz w:val="18"/>
                      <w:szCs w:val="18"/>
                      <w:lang w:bidi="ar"/>
                    </w:rPr>
                    <w:t>0号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57955C">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22C45D7">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0C871BA2">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B5B0786">
                  <w:pPr>
                    <w:widowControl/>
                    <w:jc w:val="left"/>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E27BB39">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1CB14E6">
                  <w:pPr>
                    <w:widowControl/>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 </w:t>
                  </w:r>
                </w:p>
              </w:tc>
            </w:tr>
            <w:tr w14:paraId="1F0D71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C6E9BDB">
                  <w:pPr>
                    <w:widowControl/>
                    <w:rPr>
                      <w:rFonts w:ascii="Calibri" w:hAnsi="Calibri" w:cs="Calibri"/>
                      <w:szCs w:val="21"/>
                    </w:rPr>
                  </w:pPr>
                  <w:r>
                    <w:rPr>
                      <w:rFonts w:hint="eastAsia" w:ascii="宋体" w:hAnsi="宋体" w:cs="宋体"/>
                      <w:b/>
                      <w:bCs/>
                      <w:color w:val="000000"/>
                      <w:kern w:val="0"/>
                      <w:szCs w:val="21"/>
                      <w:lang w:bidi="ar"/>
                    </w:rPr>
                    <w:t>其他：无</w:t>
                  </w:r>
                </w:p>
              </w:tc>
            </w:tr>
          </w:tbl>
          <w:p w14:paraId="0F38E1CE">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（四）关联企业情况</w:t>
            </w:r>
          </w:p>
          <w:p w14:paraId="2102CA2F">
            <w:pPr>
              <w:widowControl/>
              <w:kinsoku w:val="0"/>
              <w:autoSpaceDE w:val="0"/>
              <w:autoSpaceDN w:val="0"/>
              <w:adjustRightInd w:val="0"/>
              <w:snapToGrid w:val="0"/>
              <w:spacing w:before="93" w:beforeLines="30" w:after="93" w:afterLines="30"/>
              <w:ind w:firstLine="420"/>
              <w:jc w:val="left"/>
              <w:textAlignment w:val="baseline"/>
              <w:rPr>
                <w:rFonts w:ascii="宋体" w:hAnsi="宋体" w:cs="宋体"/>
                <w:snapToGrid w:val="0"/>
                <w:color w:val="000000"/>
                <w:kern w:val="0"/>
                <w:szCs w:val="21"/>
              </w:rPr>
            </w:pPr>
            <w:r>
              <w:rPr>
                <w:rFonts w:hint="eastAsia" w:ascii="宋体" w:hAnsi="宋体" w:cs="宋体"/>
                <w:b/>
                <w:bCs/>
                <w:snapToGrid w:val="0"/>
                <w:color w:val="000000"/>
                <w:kern w:val="0"/>
                <w:szCs w:val="21"/>
              </w:rPr>
              <w:t xml:space="preserve">1.关联企业经营情况                                                                </w:t>
            </w:r>
            <w:r>
              <w:rPr>
                <w:rFonts w:hint="eastAsia" w:ascii="宋体" w:hAnsi="宋体" w:cs="宋体"/>
                <w:snapToGrid w:val="0"/>
                <w:color w:val="000000"/>
                <w:kern w:val="0"/>
                <w:szCs w:val="21"/>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
              <w:gridCol w:w="1118"/>
              <w:gridCol w:w="817"/>
              <w:gridCol w:w="804"/>
              <w:gridCol w:w="758"/>
              <w:gridCol w:w="941"/>
              <w:gridCol w:w="1092"/>
              <w:gridCol w:w="1054"/>
              <w:gridCol w:w="1644"/>
              <w:gridCol w:w="1632"/>
            </w:tblGrid>
            <w:tr w14:paraId="2221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7CDB74D0">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企业名称</w:t>
                  </w:r>
                </w:p>
              </w:tc>
              <w:tc>
                <w:tcPr>
                  <w:tcW w:w="1118" w:type="dxa"/>
                  <w:noWrap w:val="0"/>
                  <w:vAlign w:val="center"/>
                </w:tcPr>
                <w:p w14:paraId="10D4B81A">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成立时间</w:t>
                  </w:r>
                </w:p>
              </w:tc>
              <w:tc>
                <w:tcPr>
                  <w:tcW w:w="817" w:type="dxa"/>
                  <w:noWrap w:val="0"/>
                  <w:vAlign w:val="center"/>
                </w:tcPr>
                <w:p w14:paraId="6C412DBF">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股权结构</w:t>
                  </w:r>
                </w:p>
              </w:tc>
              <w:tc>
                <w:tcPr>
                  <w:tcW w:w="804" w:type="dxa"/>
                  <w:noWrap w:val="0"/>
                  <w:vAlign w:val="center"/>
                </w:tcPr>
                <w:p w14:paraId="2D784481">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主营业务及产品</w:t>
                  </w:r>
                </w:p>
              </w:tc>
              <w:tc>
                <w:tcPr>
                  <w:tcW w:w="758" w:type="dxa"/>
                  <w:noWrap w:val="0"/>
                  <w:vAlign w:val="center"/>
                </w:tcPr>
                <w:p w14:paraId="1DA0BD14">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注册资本/实收资本</w:t>
                  </w:r>
                </w:p>
              </w:tc>
              <w:tc>
                <w:tcPr>
                  <w:tcW w:w="941" w:type="dxa"/>
                  <w:noWrap w:val="0"/>
                  <w:vAlign w:val="center"/>
                </w:tcPr>
                <w:p w14:paraId="456B6DE7">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上年主营</w:t>
                  </w:r>
                </w:p>
                <w:p w14:paraId="6E78C486">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业务收入</w:t>
                  </w:r>
                </w:p>
              </w:tc>
              <w:tc>
                <w:tcPr>
                  <w:tcW w:w="1092" w:type="dxa"/>
                  <w:noWrap w:val="0"/>
                  <w:vAlign w:val="center"/>
                </w:tcPr>
                <w:p w14:paraId="4F2CF512">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上年</w:t>
                  </w:r>
                </w:p>
                <w:p w14:paraId="6C5E5222">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净利润</w:t>
                  </w:r>
                </w:p>
              </w:tc>
              <w:tc>
                <w:tcPr>
                  <w:tcW w:w="1054" w:type="dxa"/>
                  <w:noWrap w:val="0"/>
                  <w:vAlign w:val="center"/>
                </w:tcPr>
                <w:p w14:paraId="61D2A306">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最新</w:t>
                  </w:r>
                </w:p>
                <w:p w14:paraId="7C5475EE">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融资金额</w:t>
                  </w:r>
                </w:p>
              </w:tc>
              <w:tc>
                <w:tcPr>
                  <w:tcW w:w="1644" w:type="dxa"/>
                  <w:noWrap w:val="0"/>
                  <w:vAlign w:val="center"/>
                </w:tcPr>
                <w:p w14:paraId="0B1B0819">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与借款企业关联交易、资金往来情况（若有）</w:t>
                  </w:r>
                </w:p>
              </w:tc>
              <w:tc>
                <w:tcPr>
                  <w:tcW w:w="1632" w:type="dxa"/>
                  <w:noWrap w:val="0"/>
                  <w:vAlign w:val="center"/>
                </w:tcPr>
                <w:p w14:paraId="2B171749">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涉诉情况</w:t>
                  </w:r>
                </w:p>
              </w:tc>
            </w:tr>
            <w:tr w14:paraId="3655E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74" w:type="dxa"/>
                  <w:noWrap w:val="0"/>
                  <w:vAlign w:val="center"/>
                </w:tcPr>
                <w:p w14:paraId="775DAEB6">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福建中锐汉鼎信息技术有限公司</w:t>
                  </w:r>
                </w:p>
              </w:tc>
              <w:tc>
                <w:tcPr>
                  <w:tcW w:w="1118" w:type="dxa"/>
                  <w:noWrap w:val="0"/>
                  <w:vAlign w:val="center"/>
                </w:tcPr>
                <w:p w14:paraId="1A739E29">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2018-1-11</w:t>
                  </w:r>
                </w:p>
              </w:tc>
              <w:tc>
                <w:tcPr>
                  <w:tcW w:w="817" w:type="dxa"/>
                  <w:noWrap w:val="0"/>
                  <w:vAlign w:val="center"/>
                </w:tcPr>
                <w:p w14:paraId="026F0A4F">
                  <w:pPr>
                    <w:adjustRightInd w:val="0"/>
                    <w:snapToGrid w:val="0"/>
                    <w:rPr>
                      <w:rFonts w:ascii="宋体" w:hAnsi="宋体" w:cs="宋体"/>
                      <w:snapToGrid w:val="0"/>
                      <w:kern w:val="0"/>
                      <w:sz w:val="18"/>
                      <w:szCs w:val="18"/>
                    </w:rPr>
                  </w:pPr>
                  <w:r>
                    <w:rPr>
                      <w:rFonts w:hint="eastAsia" w:ascii="宋体" w:hAnsi="宋体" w:cs="宋体"/>
                      <w:snapToGrid w:val="0"/>
                      <w:kern w:val="0"/>
                      <w:sz w:val="18"/>
                      <w:szCs w:val="18"/>
                    </w:rPr>
                    <w:t>中锐网络100%控股</w:t>
                  </w:r>
                </w:p>
              </w:tc>
              <w:tc>
                <w:tcPr>
                  <w:tcW w:w="804" w:type="dxa"/>
                  <w:noWrap w:val="0"/>
                  <w:vAlign w:val="center"/>
                </w:tcPr>
                <w:p w14:paraId="6D2BC874">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智慧水利</w:t>
                  </w:r>
                </w:p>
              </w:tc>
              <w:tc>
                <w:tcPr>
                  <w:tcW w:w="758" w:type="dxa"/>
                  <w:noWrap w:val="0"/>
                  <w:vAlign w:val="center"/>
                </w:tcPr>
                <w:p w14:paraId="5DDF0BF9">
                  <w:pPr>
                    <w:adjustRightInd w:val="0"/>
                    <w:snapToGrid w:val="0"/>
                    <w:jc w:val="center"/>
                    <w:rPr>
                      <w:rFonts w:ascii="宋体" w:hAnsi="宋体" w:cs="宋体"/>
                      <w:snapToGrid w:val="0"/>
                      <w:kern w:val="0"/>
                      <w:sz w:val="18"/>
                      <w:szCs w:val="18"/>
                    </w:rPr>
                  </w:pPr>
                  <w:r>
                    <w:rPr>
                      <w:rFonts w:ascii="宋体" w:hAnsi="宋体" w:cs="宋体"/>
                      <w:snapToGrid w:val="0"/>
                      <w:kern w:val="0"/>
                      <w:sz w:val="18"/>
                      <w:szCs w:val="18"/>
                    </w:rPr>
                    <w:t>1000</w:t>
                  </w:r>
                </w:p>
              </w:tc>
              <w:tc>
                <w:tcPr>
                  <w:tcW w:w="941" w:type="dxa"/>
                  <w:noWrap w:val="0"/>
                  <w:vAlign w:val="center"/>
                </w:tcPr>
                <w:p w14:paraId="7E1F3FF1">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1223</w:t>
                  </w:r>
                </w:p>
              </w:tc>
              <w:tc>
                <w:tcPr>
                  <w:tcW w:w="1092" w:type="dxa"/>
                  <w:noWrap w:val="0"/>
                  <w:vAlign w:val="center"/>
                </w:tcPr>
                <w:p w14:paraId="7D7A5BB3">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-682</w:t>
                  </w:r>
                </w:p>
              </w:tc>
              <w:tc>
                <w:tcPr>
                  <w:tcW w:w="1054" w:type="dxa"/>
                  <w:noWrap w:val="0"/>
                  <w:vAlign w:val="center"/>
                </w:tcPr>
                <w:p w14:paraId="2CA6C41A">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0</w:t>
                  </w:r>
                </w:p>
              </w:tc>
              <w:tc>
                <w:tcPr>
                  <w:tcW w:w="1644" w:type="dxa"/>
                  <w:noWrap w:val="0"/>
                  <w:vAlign w:val="center"/>
                </w:tcPr>
                <w:p w14:paraId="3C0181AD">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其他应收款409万</w:t>
                  </w:r>
                </w:p>
              </w:tc>
              <w:tc>
                <w:tcPr>
                  <w:tcW w:w="1632" w:type="dxa"/>
                  <w:noWrap w:val="0"/>
                  <w:vAlign w:val="center"/>
                </w:tcPr>
                <w:p w14:paraId="6CF20500">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无</w:t>
                  </w:r>
                </w:p>
              </w:tc>
            </w:tr>
            <w:tr w14:paraId="3A30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54350F33">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福建中锐教育科技有限公司</w:t>
                  </w:r>
                </w:p>
              </w:tc>
              <w:tc>
                <w:tcPr>
                  <w:tcW w:w="1118" w:type="dxa"/>
                  <w:noWrap w:val="0"/>
                  <w:vAlign w:val="center"/>
                </w:tcPr>
                <w:p w14:paraId="6E690C9B">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2022-6-28</w:t>
                  </w:r>
                </w:p>
              </w:tc>
              <w:tc>
                <w:tcPr>
                  <w:tcW w:w="817" w:type="dxa"/>
                  <w:noWrap w:val="0"/>
                  <w:vAlign w:val="center"/>
                </w:tcPr>
                <w:p w14:paraId="7CF51569">
                  <w:pPr>
                    <w:adjustRightInd w:val="0"/>
                    <w:snapToGrid w:val="0"/>
                    <w:rPr>
                      <w:rFonts w:ascii="宋体" w:hAnsi="宋体" w:cs="宋体"/>
                      <w:snapToGrid w:val="0"/>
                      <w:kern w:val="0"/>
                      <w:sz w:val="18"/>
                      <w:szCs w:val="18"/>
                    </w:rPr>
                  </w:pPr>
                  <w:r>
                    <w:rPr>
                      <w:rFonts w:hint="eastAsia" w:ascii="宋体" w:hAnsi="宋体" w:cs="宋体"/>
                      <w:snapToGrid w:val="0"/>
                      <w:kern w:val="0"/>
                      <w:sz w:val="18"/>
                      <w:szCs w:val="18"/>
                    </w:rPr>
                    <w:t>中锐网络100%控股</w:t>
                  </w:r>
                </w:p>
              </w:tc>
              <w:tc>
                <w:tcPr>
                  <w:tcW w:w="804" w:type="dxa"/>
                  <w:noWrap w:val="0"/>
                  <w:vAlign w:val="center"/>
                </w:tcPr>
                <w:p w14:paraId="75784DDE">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智慧教育</w:t>
                  </w:r>
                </w:p>
              </w:tc>
              <w:tc>
                <w:tcPr>
                  <w:tcW w:w="758" w:type="dxa"/>
                  <w:noWrap w:val="0"/>
                  <w:vAlign w:val="center"/>
                </w:tcPr>
                <w:p w14:paraId="6BCB21FD">
                  <w:pPr>
                    <w:adjustRightInd w:val="0"/>
                    <w:snapToGrid w:val="0"/>
                    <w:jc w:val="center"/>
                    <w:rPr>
                      <w:rFonts w:ascii="宋体" w:hAnsi="宋体" w:cs="宋体"/>
                      <w:snapToGrid w:val="0"/>
                      <w:kern w:val="0"/>
                      <w:sz w:val="18"/>
                      <w:szCs w:val="18"/>
                    </w:rPr>
                  </w:pPr>
                  <w:r>
                    <w:rPr>
                      <w:rFonts w:ascii="宋体" w:hAnsi="宋体" w:cs="宋体"/>
                      <w:snapToGrid w:val="0"/>
                      <w:kern w:val="0"/>
                      <w:sz w:val="18"/>
                      <w:szCs w:val="18"/>
                    </w:rPr>
                    <w:t>1000</w:t>
                  </w:r>
                </w:p>
              </w:tc>
              <w:tc>
                <w:tcPr>
                  <w:tcW w:w="941" w:type="dxa"/>
                  <w:noWrap w:val="0"/>
                  <w:vAlign w:val="center"/>
                </w:tcPr>
                <w:p w14:paraId="63DCF86E">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21</w:t>
                  </w:r>
                </w:p>
              </w:tc>
              <w:tc>
                <w:tcPr>
                  <w:tcW w:w="1092" w:type="dxa"/>
                  <w:noWrap w:val="0"/>
                  <w:vAlign w:val="center"/>
                </w:tcPr>
                <w:p w14:paraId="6388AD2A">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-1275</w:t>
                  </w:r>
                </w:p>
              </w:tc>
              <w:tc>
                <w:tcPr>
                  <w:tcW w:w="1054" w:type="dxa"/>
                  <w:noWrap w:val="0"/>
                  <w:vAlign w:val="center"/>
                </w:tcPr>
                <w:p w14:paraId="5262E292">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0</w:t>
                  </w:r>
                </w:p>
              </w:tc>
              <w:tc>
                <w:tcPr>
                  <w:tcW w:w="1644" w:type="dxa"/>
                  <w:noWrap w:val="0"/>
                  <w:vAlign w:val="center"/>
                </w:tcPr>
                <w:p w14:paraId="3714D431">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其他应收款1047万</w:t>
                  </w:r>
                </w:p>
              </w:tc>
              <w:tc>
                <w:tcPr>
                  <w:tcW w:w="1632" w:type="dxa"/>
                  <w:noWrap w:val="0"/>
                  <w:vAlign w:val="center"/>
                </w:tcPr>
                <w:p w14:paraId="1851346D">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无</w:t>
                  </w:r>
                </w:p>
              </w:tc>
            </w:tr>
            <w:tr w14:paraId="6B8B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64363E00">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北京中锐青云科技有限公司</w:t>
                  </w:r>
                </w:p>
              </w:tc>
              <w:tc>
                <w:tcPr>
                  <w:tcW w:w="1118" w:type="dxa"/>
                  <w:noWrap w:val="0"/>
                  <w:vAlign w:val="center"/>
                </w:tcPr>
                <w:p w14:paraId="2A733FFF">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2020-9-23</w:t>
                  </w:r>
                </w:p>
              </w:tc>
              <w:tc>
                <w:tcPr>
                  <w:tcW w:w="817" w:type="dxa"/>
                  <w:noWrap w:val="0"/>
                  <w:vAlign w:val="center"/>
                </w:tcPr>
                <w:p w14:paraId="7912A102">
                  <w:pPr>
                    <w:adjustRightInd w:val="0"/>
                    <w:snapToGrid w:val="0"/>
                    <w:rPr>
                      <w:rFonts w:ascii="宋体" w:hAnsi="宋体" w:cs="宋体"/>
                      <w:snapToGrid w:val="0"/>
                      <w:kern w:val="0"/>
                      <w:sz w:val="18"/>
                      <w:szCs w:val="18"/>
                    </w:rPr>
                  </w:pPr>
                  <w:r>
                    <w:rPr>
                      <w:rFonts w:hint="eastAsia" w:ascii="宋体" w:hAnsi="宋体" w:cs="宋体"/>
                      <w:snapToGrid w:val="0"/>
                      <w:kern w:val="0"/>
                      <w:sz w:val="18"/>
                      <w:szCs w:val="18"/>
                    </w:rPr>
                    <w:t>中锐网络100%控股</w:t>
                  </w:r>
                </w:p>
              </w:tc>
              <w:tc>
                <w:tcPr>
                  <w:tcW w:w="804" w:type="dxa"/>
                  <w:noWrap w:val="0"/>
                  <w:vAlign w:val="center"/>
                </w:tcPr>
                <w:p w14:paraId="612DCA35">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产教融合创新服务</w:t>
                  </w:r>
                </w:p>
              </w:tc>
              <w:tc>
                <w:tcPr>
                  <w:tcW w:w="758" w:type="dxa"/>
                  <w:noWrap w:val="0"/>
                  <w:vAlign w:val="center"/>
                </w:tcPr>
                <w:p w14:paraId="508550A7">
                  <w:pPr>
                    <w:adjustRightInd w:val="0"/>
                    <w:snapToGrid w:val="0"/>
                    <w:jc w:val="center"/>
                    <w:rPr>
                      <w:rFonts w:ascii="宋体" w:hAnsi="宋体" w:cs="宋体"/>
                      <w:snapToGrid w:val="0"/>
                      <w:kern w:val="0"/>
                      <w:sz w:val="18"/>
                      <w:szCs w:val="18"/>
                    </w:rPr>
                  </w:pPr>
                  <w:r>
                    <w:rPr>
                      <w:rFonts w:ascii="宋体" w:hAnsi="宋体" w:cs="宋体"/>
                      <w:snapToGrid w:val="0"/>
                      <w:kern w:val="0"/>
                      <w:sz w:val="18"/>
                      <w:szCs w:val="18"/>
                    </w:rPr>
                    <w:t>1000</w:t>
                  </w:r>
                </w:p>
              </w:tc>
              <w:tc>
                <w:tcPr>
                  <w:tcW w:w="941" w:type="dxa"/>
                  <w:noWrap w:val="0"/>
                  <w:vAlign w:val="center"/>
                </w:tcPr>
                <w:p w14:paraId="26037F5B">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204</w:t>
                  </w:r>
                </w:p>
              </w:tc>
              <w:tc>
                <w:tcPr>
                  <w:tcW w:w="1092" w:type="dxa"/>
                  <w:noWrap w:val="0"/>
                  <w:vAlign w:val="center"/>
                </w:tcPr>
                <w:p w14:paraId="6964E631">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16</w:t>
                  </w:r>
                </w:p>
              </w:tc>
              <w:tc>
                <w:tcPr>
                  <w:tcW w:w="1054" w:type="dxa"/>
                  <w:noWrap w:val="0"/>
                  <w:vAlign w:val="center"/>
                </w:tcPr>
                <w:p w14:paraId="181FBCCC">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213.4</w:t>
                  </w:r>
                </w:p>
              </w:tc>
              <w:tc>
                <w:tcPr>
                  <w:tcW w:w="1644" w:type="dxa"/>
                  <w:noWrap w:val="0"/>
                  <w:vAlign w:val="center"/>
                </w:tcPr>
                <w:p w14:paraId="1C1B4F8F">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其他应收款257万</w:t>
                  </w:r>
                </w:p>
              </w:tc>
              <w:tc>
                <w:tcPr>
                  <w:tcW w:w="1632" w:type="dxa"/>
                  <w:noWrap w:val="0"/>
                  <w:vAlign w:val="center"/>
                </w:tcPr>
                <w:p w14:paraId="0BF193A5">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无</w:t>
                  </w:r>
                </w:p>
              </w:tc>
            </w:tr>
            <w:tr w14:paraId="11E4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1BF50590">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厦门中锐软件科技有限公司</w:t>
                  </w:r>
                </w:p>
              </w:tc>
              <w:tc>
                <w:tcPr>
                  <w:tcW w:w="1118" w:type="dxa"/>
                  <w:noWrap w:val="0"/>
                  <w:vAlign w:val="center"/>
                </w:tcPr>
                <w:p w14:paraId="5BEEEFD3">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2016-12-19</w:t>
                  </w:r>
                </w:p>
              </w:tc>
              <w:tc>
                <w:tcPr>
                  <w:tcW w:w="817" w:type="dxa"/>
                  <w:noWrap w:val="0"/>
                  <w:vAlign w:val="center"/>
                </w:tcPr>
                <w:p w14:paraId="4D81EC39">
                  <w:pPr>
                    <w:adjustRightInd w:val="0"/>
                    <w:snapToGrid w:val="0"/>
                    <w:rPr>
                      <w:rFonts w:ascii="宋体" w:hAnsi="宋体" w:cs="宋体"/>
                      <w:snapToGrid w:val="0"/>
                      <w:kern w:val="0"/>
                      <w:sz w:val="18"/>
                      <w:szCs w:val="18"/>
                    </w:rPr>
                  </w:pPr>
                  <w:r>
                    <w:rPr>
                      <w:rFonts w:hint="eastAsia" w:ascii="宋体" w:hAnsi="宋体" w:cs="宋体"/>
                      <w:snapToGrid w:val="0"/>
                      <w:kern w:val="0"/>
                      <w:sz w:val="18"/>
                      <w:szCs w:val="18"/>
                    </w:rPr>
                    <w:t>中锐网络100%控股</w:t>
                  </w:r>
                </w:p>
              </w:tc>
              <w:tc>
                <w:tcPr>
                  <w:tcW w:w="804" w:type="dxa"/>
                  <w:noWrap w:val="0"/>
                  <w:vAlign w:val="center"/>
                </w:tcPr>
                <w:p w14:paraId="70AB1D42">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软硬件销售</w:t>
                  </w:r>
                </w:p>
              </w:tc>
              <w:tc>
                <w:tcPr>
                  <w:tcW w:w="758" w:type="dxa"/>
                  <w:noWrap w:val="0"/>
                  <w:vAlign w:val="center"/>
                </w:tcPr>
                <w:p w14:paraId="66945A0A">
                  <w:pPr>
                    <w:adjustRightInd w:val="0"/>
                    <w:snapToGrid w:val="0"/>
                    <w:jc w:val="center"/>
                    <w:rPr>
                      <w:rFonts w:ascii="宋体" w:hAnsi="宋体" w:cs="宋体"/>
                      <w:snapToGrid w:val="0"/>
                      <w:kern w:val="0"/>
                      <w:sz w:val="18"/>
                      <w:szCs w:val="18"/>
                    </w:rPr>
                  </w:pPr>
                  <w:r>
                    <w:rPr>
                      <w:rFonts w:ascii="宋体" w:hAnsi="宋体" w:cs="宋体"/>
                      <w:snapToGrid w:val="0"/>
                      <w:kern w:val="0"/>
                      <w:sz w:val="18"/>
                      <w:szCs w:val="18"/>
                    </w:rPr>
                    <w:t>1200</w:t>
                  </w:r>
                </w:p>
              </w:tc>
              <w:tc>
                <w:tcPr>
                  <w:tcW w:w="941" w:type="dxa"/>
                  <w:noWrap w:val="0"/>
                  <w:vAlign w:val="center"/>
                </w:tcPr>
                <w:p w14:paraId="51CF9C0F">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7</w:t>
                  </w:r>
                </w:p>
              </w:tc>
              <w:tc>
                <w:tcPr>
                  <w:tcW w:w="1092" w:type="dxa"/>
                  <w:noWrap w:val="0"/>
                  <w:vAlign w:val="center"/>
                </w:tcPr>
                <w:p w14:paraId="72B11483">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-13</w:t>
                  </w:r>
                </w:p>
              </w:tc>
              <w:tc>
                <w:tcPr>
                  <w:tcW w:w="1054" w:type="dxa"/>
                  <w:noWrap w:val="0"/>
                  <w:vAlign w:val="center"/>
                </w:tcPr>
                <w:p w14:paraId="7FD6F955">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0</w:t>
                  </w:r>
                </w:p>
              </w:tc>
              <w:tc>
                <w:tcPr>
                  <w:tcW w:w="1644" w:type="dxa"/>
                  <w:noWrap w:val="0"/>
                  <w:vAlign w:val="center"/>
                </w:tcPr>
                <w:p w14:paraId="03F4B626">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应收账款33.6万</w:t>
                  </w:r>
                </w:p>
              </w:tc>
              <w:tc>
                <w:tcPr>
                  <w:tcW w:w="1632" w:type="dxa"/>
                  <w:noWrap w:val="0"/>
                  <w:vAlign w:val="center"/>
                </w:tcPr>
                <w:p w14:paraId="738AC3A4">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无</w:t>
                  </w:r>
                </w:p>
              </w:tc>
            </w:tr>
            <w:tr w14:paraId="74805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59713909">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中锐海沃水利技术</w:t>
                  </w:r>
                  <w:r>
                    <w:rPr>
                      <w:rFonts w:ascii="宋体" w:hAnsi="宋体" w:cs="宋体"/>
                      <w:snapToGrid w:val="0"/>
                      <w:kern w:val="0"/>
                      <w:sz w:val="18"/>
                      <w:szCs w:val="18"/>
                    </w:rPr>
                    <w:t>(</w:t>
                  </w:r>
                  <w:r>
                    <w:rPr>
                      <w:snapToGrid w:val="0"/>
                      <w:kern w:val="0"/>
                      <w:sz w:val="18"/>
                      <w:szCs w:val="18"/>
                    </w:rPr>
                    <w:t>福建</w:t>
                  </w:r>
                  <w:r>
                    <w:rPr>
                      <w:rFonts w:ascii="宋体" w:hAnsi="宋体" w:cs="宋体"/>
                      <w:snapToGrid w:val="0"/>
                      <w:kern w:val="0"/>
                      <w:sz w:val="18"/>
                      <w:szCs w:val="18"/>
                    </w:rPr>
                    <w:t>)</w:t>
                  </w:r>
                  <w:r>
                    <w:rPr>
                      <w:snapToGrid w:val="0"/>
                      <w:kern w:val="0"/>
                      <w:sz w:val="18"/>
                      <w:szCs w:val="18"/>
                    </w:rPr>
                    <w:t>有限公司</w:t>
                  </w:r>
                </w:p>
              </w:tc>
              <w:tc>
                <w:tcPr>
                  <w:tcW w:w="1118" w:type="dxa"/>
                  <w:noWrap w:val="0"/>
                  <w:vAlign w:val="center"/>
                </w:tcPr>
                <w:p w14:paraId="6874F7A9">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2018-1-10</w:t>
                  </w:r>
                </w:p>
              </w:tc>
              <w:tc>
                <w:tcPr>
                  <w:tcW w:w="817" w:type="dxa"/>
                  <w:noWrap w:val="0"/>
                  <w:vAlign w:val="center"/>
                </w:tcPr>
                <w:p w14:paraId="3CC2B6D7">
                  <w:pPr>
                    <w:adjustRightInd w:val="0"/>
                    <w:snapToGrid w:val="0"/>
                    <w:rPr>
                      <w:rFonts w:ascii="宋体" w:hAnsi="宋体" w:cs="宋体"/>
                      <w:snapToGrid w:val="0"/>
                      <w:kern w:val="0"/>
                      <w:sz w:val="18"/>
                      <w:szCs w:val="18"/>
                    </w:rPr>
                  </w:pPr>
                  <w:r>
                    <w:rPr>
                      <w:rFonts w:hint="eastAsia" w:ascii="宋体" w:hAnsi="宋体" w:cs="宋体"/>
                      <w:snapToGrid w:val="0"/>
                      <w:kern w:val="0"/>
                      <w:sz w:val="18"/>
                      <w:szCs w:val="18"/>
                    </w:rPr>
                    <w:t>中锐网络84%控股</w:t>
                  </w:r>
                </w:p>
              </w:tc>
              <w:tc>
                <w:tcPr>
                  <w:tcW w:w="804" w:type="dxa"/>
                  <w:noWrap w:val="0"/>
                  <w:vAlign w:val="center"/>
                </w:tcPr>
                <w:p w14:paraId="039EA85E">
                  <w:pPr>
                    <w:adjustRightInd w:val="0"/>
                    <w:snapToGrid w:val="0"/>
                    <w:jc w:val="center"/>
                    <w:rPr>
                      <w:rFonts w:ascii="宋体" w:hAnsi="宋体" w:cs="宋体"/>
                      <w:snapToGrid w:val="0"/>
                      <w:kern w:val="0"/>
                      <w:sz w:val="18"/>
                      <w:szCs w:val="18"/>
                    </w:rPr>
                  </w:pPr>
                  <w:r>
                    <w:rPr>
                      <w:rFonts w:hint="eastAsia" w:ascii="宋体" w:hAnsi="宋体" w:cs="宋体"/>
                      <w:snapToGrid w:val="0"/>
                      <w:kern w:val="0"/>
                      <w:sz w:val="18"/>
                      <w:szCs w:val="18"/>
                    </w:rPr>
                    <w:t>智慧水利</w:t>
                  </w:r>
                </w:p>
              </w:tc>
              <w:tc>
                <w:tcPr>
                  <w:tcW w:w="758" w:type="dxa"/>
                  <w:noWrap w:val="0"/>
                  <w:vAlign w:val="center"/>
                </w:tcPr>
                <w:p w14:paraId="6AFD899F">
                  <w:pPr>
                    <w:adjustRightInd w:val="0"/>
                    <w:snapToGrid w:val="0"/>
                    <w:jc w:val="center"/>
                    <w:rPr>
                      <w:rFonts w:ascii="宋体" w:hAnsi="宋体" w:cs="宋体"/>
                      <w:snapToGrid w:val="0"/>
                      <w:kern w:val="0"/>
                      <w:sz w:val="18"/>
                      <w:szCs w:val="18"/>
                    </w:rPr>
                  </w:pPr>
                  <w:r>
                    <w:rPr>
                      <w:rFonts w:ascii="宋体" w:hAnsi="宋体" w:cs="宋体"/>
                      <w:snapToGrid w:val="0"/>
                      <w:kern w:val="0"/>
                      <w:sz w:val="18"/>
                      <w:szCs w:val="18"/>
                    </w:rPr>
                    <w:t>1000</w:t>
                  </w:r>
                </w:p>
              </w:tc>
              <w:tc>
                <w:tcPr>
                  <w:tcW w:w="941" w:type="dxa"/>
                  <w:noWrap w:val="0"/>
                  <w:vAlign w:val="center"/>
                </w:tcPr>
                <w:p w14:paraId="69986FD0">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0</w:t>
                  </w:r>
                </w:p>
              </w:tc>
              <w:tc>
                <w:tcPr>
                  <w:tcW w:w="1092" w:type="dxa"/>
                  <w:noWrap w:val="0"/>
                  <w:vAlign w:val="center"/>
                </w:tcPr>
                <w:p w14:paraId="70413599">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0.05</w:t>
                  </w:r>
                </w:p>
              </w:tc>
              <w:tc>
                <w:tcPr>
                  <w:tcW w:w="1054" w:type="dxa"/>
                  <w:noWrap w:val="0"/>
                  <w:vAlign w:val="center"/>
                </w:tcPr>
                <w:p w14:paraId="7F7D4EEA">
                  <w:pPr>
                    <w:adjustRightInd w:val="0"/>
                    <w:snapToGrid w:val="0"/>
                    <w:jc w:val="right"/>
                    <w:rPr>
                      <w:rFonts w:ascii="宋体" w:hAnsi="宋体" w:cs="宋体"/>
                      <w:snapToGrid w:val="0"/>
                      <w:kern w:val="0"/>
                      <w:sz w:val="18"/>
                      <w:szCs w:val="18"/>
                    </w:rPr>
                  </w:pPr>
                  <w:r>
                    <w:rPr>
                      <w:rFonts w:hint="eastAsia" w:ascii="宋体" w:hAnsi="宋体" w:cs="宋体"/>
                      <w:snapToGrid w:val="0"/>
                      <w:kern w:val="0"/>
                      <w:sz w:val="18"/>
                      <w:szCs w:val="18"/>
                    </w:rPr>
                    <w:t>0</w:t>
                  </w:r>
                </w:p>
              </w:tc>
              <w:tc>
                <w:tcPr>
                  <w:tcW w:w="1644" w:type="dxa"/>
                  <w:noWrap w:val="0"/>
                  <w:vAlign w:val="center"/>
                </w:tcPr>
                <w:p w14:paraId="196F962B">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其他应收款330万</w:t>
                  </w:r>
                </w:p>
              </w:tc>
              <w:tc>
                <w:tcPr>
                  <w:tcW w:w="1632" w:type="dxa"/>
                  <w:noWrap w:val="0"/>
                  <w:vAlign w:val="center"/>
                </w:tcPr>
                <w:p w14:paraId="65B5FAF1">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无</w:t>
                  </w:r>
                </w:p>
              </w:tc>
            </w:tr>
            <w:tr w14:paraId="69EA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36F50CEB">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中锐高新（福州）技术有限公司</w:t>
                  </w:r>
                </w:p>
              </w:tc>
              <w:tc>
                <w:tcPr>
                  <w:tcW w:w="1118" w:type="dxa"/>
                  <w:noWrap w:val="0"/>
                  <w:vAlign w:val="center"/>
                </w:tcPr>
                <w:p w14:paraId="2A32A612">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2022-01-10</w:t>
                  </w:r>
                </w:p>
              </w:tc>
              <w:tc>
                <w:tcPr>
                  <w:tcW w:w="817" w:type="dxa"/>
                  <w:noWrap w:val="0"/>
                  <w:vAlign w:val="center"/>
                </w:tcPr>
                <w:p w14:paraId="7B1F6D5D">
                  <w:pPr>
                    <w:adjustRightInd w:val="0"/>
                    <w:snapToGrid w:val="0"/>
                    <w:rPr>
                      <w:rFonts w:hint="eastAsia" w:ascii="宋体" w:hAnsi="宋体" w:cs="宋体"/>
                      <w:snapToGrid w:val="0"/>
                      <w:kern w:val="0"/>
                      <w:sz w:val="18"/>
                      <w:szCs w:val="18"/>
                    </w:rPr>
                  </w:pPr>
                  <w:r>
                    <w:rPr>
                      <w:rFonts w:hint="eastAsia" w:ascii="宋体" w:hAnsi="宋体" w:cs="宋体"/>
                      <w:snapToGrid w:val="0"/>
                      <w:kern w:val="0"/>
                      <w:sz w:val="18"/>
                      <w:szCs w:val="18"/>
                    </w:rPr>
                    <w:t>中锐网络25.5%控股</w:t>
                  </w:r>
                </w:p>
              </w:tc>
              <w:tc>
                <w:tcPr>
                  <w:tcW w:w="804" w:type="dxa"/>
                  <w:noWrap w:val="0"/>
                  <w:vAlign w:val="center"/>
                </w:tcPr>
                <w:p w14:paraId="5A49BE4F">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技术服务</w:t>
                  </w:r>
                </w:p>
              </w:tc>
              <w:tc>
                <w:tcPr>
                  <w:tcW w:w="758" w:type="dxa"/>
                  <w:noWrap w:val="0"/>
                  <w:vAlign w:val="center"/>
                </w:tcPr>
                <w:p w14:paraId="703D7A4E">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124.95</w:t>
                  </w:r>
                </w:p>
              </w:tc>
              <w:tc>
                <w:tcPr>
                  <w:tcW w:w="941" w:type="dxa"/>
                  <w:noWrap w:val="0"/>
                  <w:vAlign w:val="center"/>
                </w:tcPr>
                <w:p w14:paraId="48D372C5">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092" w:type="dxa"/>
                  <w:noWrap w:val="0"/>
                  <w:vAlign w:val="center"/>
                </w:tcPr>
                <w:p w14:paraId="5BFD47B2">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054" w:type="dxa"/>
                  <w:noWrap w:val="0"/>
                  <w:vAlign w:val="center"/>
                </w:tcPr>
                <w:p w14:paraId="6A58F580">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644" w:type="dxa"/>
                  <w:noWrap w:val="0"/>
                  <w:vAlign w:val="center"/>
                </w:tcPr>
                <w:p w14:paraId="2597411B">
                  <w:pPr>
                    <w:adjustRightInd w:val="0"/>
                    <w:snapToGrid w:val="0"/>
                    <w:jc w:val="center"/>
                    <w:rPr>
                      <w:rFonts w:hint="eastAsia" w:ascii="宋体" w:hAnsi="宋体" w:cs="宋体"/>
                      <w:snapToGrid w:val="0"/>
                      <w:kern w:val="0"/>
                      <w:sz w:val="18"/>
                      <w:szCs w:val="18"/>
                      <w:highlight w:val="cyan"/>
                    </w:rPr>
                  </w:pPr>
                  <w:r>
                    <w:rPr>
                      <w:rFonts w:hint="eastAsia" w:ascii="宋体" w:hAnsi="宋体" w:cs="宋体"/>
                      <w:snapToGrid w:val="0"/>
                      <w:kern w:val="0"/>
                      <w:sz w:val="18"/>
                      <w:szCs w:val="18"/>
                    </w:rPr>
                    <w:t>其他应收款120万</w:t>
                  </w:r>
                </w:p>
              </w:tc>
              <w:tc>
                <w:tcPr>
                  <w:tcW w:w="1632" w:type="dxa"/>
                  <w:noWrap w:val="0"/>
                  <w:vAlign w:val="center"/>
                </w:tcPr>
                <w:p w14:paraId="415888EA">
                  <w:pPr>
                    <w:adjustRightInd w:val="0"/>
                    <w:snapToGrid w:val="0"/>
                    <w:jc w:val="center"/>
                    <w:rPr>
                      <w:rFonts w:hint="eastAsia" w:ascii="宋体" w:hAnsi="宋体" w:cs="宋体"/>
                      <w:snapToGrid w:val="0"/>
                      <w:kern w:val="0"/>
                      <w:sz w:val="18"/>
                      <w:szCs w:val="18"/>
                      <w:highlight w:val="cyan"/>
                    </w:rPr>
                  </w:pPr>
                  <w:r>
                    <w:rPr>
                      <w:rFonts w:hint="eastAsia" w:ascii="宋体" w:hAnsi="宋体" w:cs="宋体"/>
                      <w:snapToGrid w:val="0"/>
                      <w:kern w:val="0"/>
                      <w:sz w:val="18"/>
                      <w:szCs w:val="18"/>
                    </w:rPr>
                    <w:t>无</w:t>
                  </w:r>
                </w:p>
              </w:tc>
            </w:tr>
            <w:tr w14:paraId="7C91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3CAC8B38">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南京中井水环境科技研究院有限公司</w:t>
                  </w:r>
                </w:p>
              </w:tc>
              <w:tc>
                <w:tcPr>
                  <w:tcW w:w="1118" w:type="dxa"/>
                  <w:noWrap w:val="0"/>
                  <w:vAlign w:val="center"/>
                </w:tcPr>
                <w:p w14:paraId="42357CE4">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2019-10-23</w:t>
                  </w:r>
                </w:p>
              </w:tc>
              <w:tc>
                <w:tcPr>
                  <w:tcW w:w="817" w:type="dxa"/>
                  <w:noWrap w:val="0"/>
                  <w:vAlign w:val="center"/>
                </w:tcPr>
                <w:p w14:paraId="6F88D7B3">
                  <w:pPr>
                    <w:adjustRightInd w:val="0"/>
                    <w:snapToGrid w:val="0"/>
                    <w:rPr>
                      <w:rFonts w:hint="eastAsia" w:ascii="宋体" w:hAnsi="宋体" w:cs="宋体"/>
                      <w:snapToGrid w:val="0"/>
                      <w:kern w:val="0"/>
                      <w:sz w:val="18"/>
                      <w:szCs w:val="18"/>
                    </w:rPr>
                  </w:pPr>
                  <w:r>
                    <w:rPr>
                      <w:rFonts w:hint="eastAsia" w:ascii="宋体" w:hAnsi="宋体" w:cs="宋体"/>
                      <w:snapToGrid w:val="0"/>
                      <w:kern w:val="0"/>
                      <w:sz w:val="18"/>
                      <w:szCs w:val="18"/>
                    </w:rPr>
                    <w:t>中锐网络10%控股</w:t>
                  </w:r>
                </w:p>
              </w:tc>
              <w:tc>
                <w:tcPr>
                  <w:tcW w:w="804" w:type="dxa"/>
                  <w:noWrap w:val="0"/>
                  <w:vAlign w:val="center"/>
                </w:tcPr>
                <w:p w14:paraId="14A0E01B">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技术研发</w:t>
                  </w:r>
                </w:p>
              </w:tc>
              <w:tc>
                <w:tcPr>
                  <w:tcW w:w="758" w:type="dxa"/>
                  <w:noWrap w:val="0"/>
                  <w:vAlign w:val="center"/>
                </w:tcPr>
                <w:p w14:paraId="3611F7F0">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30</w:t>
                  </w:r>
                </w:p>
              </w:tc>
              <w:tc>
                <w:tcPr>
                  <w:tcW w:w="941" w:type="dxa"/>
                  <w:noWrap w:val="0"/>
                  <w:vAlign w:val="center"/>
                </w:tcPr>
                <w:p w14:paraId="613B598D">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092" w:type="dxa"/>
                  <w:noWrap w:val="0"/>
                  <w:vAlign w:val="center"/>
                </w:tcPr>
                <w:p w14:paraId="168D5125">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054" w:type="dxa"/>
                  <w:noWrap w:val="0"/>
                  <w:vAlign w:val="center"/>
                </w:tcPr>
                <w:p w14:paraId="5D0920B0">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644" w:type="dxa"/>
                  <w:noWrap w:val="0"/>
                  <w:vAlign w:val="center"/>
                </w:tcPr>
                <w:p w14:paraId="5236B6CC">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无</w:t>
                  </w:r>
                </w:p>
              </w:tc>
              <w:tc>
                <w:tcPr>
                  <w:tcW w:w="1632" w:type="dxa"/>
                  <w:noWrap w:val="0"/>
                  <w:vAlign w:val="center"/>
                </w:tcPr>
                <w:p w14:paraId="15B0998C">
                  <w:pPr>
                    <w:adjustRightInd w:val="0"/>
                    <w:snapToGrid w:val="0"/>
                    <w:jc w:val="center"/>
                    <w:rPr>
                      <w:rFonts w:hint="eastAsia" w:ascii="宋体" w:hAnsi="宋体" w:cs="宋体"/>
                      <w:snapToGrid w:val="0"/>
                      <w:kern w:val="0"/>
                      <w:sz w:val="18"/>
                      <w:szCs w:val="18"/>
                      <w:highlight w:val="cyan"/>
                    </w:rPr>
                  </w:pPr>
                  <w:r>
                    <w:rPr>
                      <w:rFonts w:hint="eastAsia" w:ascii="宋体" w:hAnsi="宋体" w:cs="宋体"/>
                      <w:snapToGrid w:val="0"/>
                      <w:kern w:val="0"/>
                      <w:sz w:val="18"/>
                      <w:szCs w:val="18"/>
                    </w:rPr>
                    <w:t>无</w:t>
                  </w:r>
                </w:p>
              </w:tc>
            </w:tr>
            <w:tr w14:paraId="5857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 w:type="dxa"/>
                  <w:noWrap w:val="0"/>
                  <w:vAlign w:val="center"/>
                </w:tcPr>
                <w:p w14:paraId="14C0853D">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福州沃顿教育投资有限公司</w:t>
                  </w:r>
                </w:p>
              </w:tc>
              <w:tc>
                <w:tcPr>
                  <w:tcW w:w="1118" w:type="dxa"/>
                  <w:noWrap w:val="0"/>
                  <w:vAlign w:val="center"/>
                </w:tcPr>
                <w:p w14:paraId="5486EFB4">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2019-05-1</w:t>
                  </w:r>
                </w:p>
              </w:tc>
              <w:tc>
                <w:tcPr>
                  <w:tcW w:w="817" w:type="dxa"/>
                  <w:noWrap w:val="0"/>
                  <w:vAlign w:val="center"/>
                </w:tcPr>
                <w:p w14:paraId="600A0FEB">
                  <w:pPr>
                    <w:adjustRightInd w:val="0"/>
                    <w:snapToGrid w:val="0"/>
                    <w:rPr>
                      <w:rFonts w:hint="eastAsia" w:ascii="宋体" w:hAnsi="宋体" w:cs="宋体"/>
                      <w:snapToGrid w:val="0"/>
                      <w:kern w:val="0"/>
                      <w:sz w:val="18"/>
                      <w:szCs w:val="18"/>
                    </w:rPr>
                  </w:pPr>
                  <w:r>
                    <w:rPr>
                      <w:rFonts w:hint="eastAsia" w:ascii="宋体" w:hAnsi="宋体" w:cs="宋体"/>
                      <w:snapToGrid w:val="0"/>
                      <w:kern w:val="0"/>
                      <w:sz w:val="18"/>
                      <w:szCs w:val="18"/>
                    </w:rPr>
                    <w:t>中锐网络8%控股</w:t>
                  </w:r>
                </w:p>
              </w:tc>
              <w:tc>
                <w:tcPr>
                  <w:tcW w:w="804" w:type="dxa"/>
                  <w:noWrap w:val="0"/>
                  <w:vAlign w:val="center"/>
                </w:tcPr>
                <w:p w14:paraId="41675607">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投资咨询</w:t>
                  </w:r>
                </w:p>
              </w:tc>
              <w:tc>
                <w:tcPr>
                  <w:tcW w:w="758" w:type="dxa"/>
                  <w:noWrap w:val="0"/>
                  <w:vAlign w:val="center"/>
                </w:tcPr>
                <w:p w14:paraId="2E67A08A">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32</w:t>
                  </w:r>
                </w:p>
              </w:tc>
              <w:tc>
                <w:tcPr>
                  <w:tcW w:w="941" w:type="dxa"/>
                  <w:noWrap w:val="0"/>
                  <w:vAlign w:val="center"/>
                </w:tcPr>
                <w:p w14:paraId="6D8ACCE2">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092" w:type="dxa"/>
                  <w:noWrap w:val="0"/>
                  <w:vAlign w:val="center"/>
                </w:tcPr>
                <w:p w14:paraId="01CF0796">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054" w:type="dxa"/>
                  <w:noWrap w:val="0"/>
                  <w:vAlign w:val="center"/>
                </w:tcPr>
                <w:p w14:paraId="602DA569">
                  <w:pPr>
                    <w:adjustRightInd w:val="0"/>
                    <w:snapToGrid w:val="0"/>
                    <w:jc w:val="right"/>
                    <w:rPr>
                      <w:rFonts w:hint="eastAsia" w:ascii="宋体" w:hAnsi="宋体" w:cs="宋体"/>
                      <w:snapToGrid w:val="0"/>
                      <w:kern w:val="0"/>
                      <w:sz w:val="18"/>
                      <w:szCs w:val="18"/>
                    </w:rPr>
                  </w:pPr>
                  <w:r>
                    <w:rPr>
                      <w:rFonts w:hint="eastAsia" w:ascii="宋体" w:hAnsi="宋体" w:cs="宋体"/>
                      <w:snapToGrid w:val="0"/>
                      <w:kern w:val="0"/>
                      <w:sz w:val="18"/>
                      <w:szCs w:val="18"/>
                    </w:rPr>
                    <w:t>-</w:t>
                  </w:r>
                </w:p>
              </w:tc>
              <w:tc>
                <w:tcPr>
                  <w:tcW w:w="1644" w:type="dxa"/>
                  <w:noWrap w:val="0"/>
                  <w:vAlign w:val="center"/>
                </w:tcPr>
                <w:p w14:paraId="02411630">
                  <w:pPr>
                    <w:adjustRightInd w:val="0"/>
                    <w:snapToGrid w:val="0"/>
                    <w:jc w:val="center"/>
                    <w:rPr>
                      <w:rFonts w:hint="eastAsia" w:ascii="宋体" w:hAnsi="宋体" w:cs="宋体"/>
                      <w:snapToGrid w:val="0"/>
                      <w:kern w:val="0"/>
                      <w:sz w:val="18"/>
                      <w:szCs w:val="18"/>
                    </w:rPr>
                  </w:pPr>
                  <w:r>
                    <w:rPr>
                      <w:rFonts w:hint="eastAsia" w:ascii="宋体" w:hAnsi="宋体" w:cs="宋体"/>
                      <w:snapToGrid w:val="0"/>
                      <w:kern w:val="0"/>
                      <w:sz w:val="18"/>
                      <w:szCs w:val="18"/>
                    </w:rPr>
                    <w:t>无</w:t>
                  </w:r>
                </w:p>
              </w:tc>
              <w:tc>
                <w:tcPr>
                  <w:tcW w:w="1632" w:type="dxa"/>
                  <w:noWrap w:val="0"/>
                  <w:vAlign w:val="center"/>
                </w:tcPr>
                <w:p w14:paraId="485DB03A">
                  <w:pPr>
                    <w:adjustRightInd w:val="0"/>
                    <w:snapToGrid w:val="0"/>
                    <w:jc w:val="center"/>
                    <w:rPr>
                      <w:rFonts w:hint="eastAsia" w:ascii="宋体" w:hAnsi="宋体" w:cs="宋体"/>
                      <w:snapToGrid w:val="0"/>
                      <w:kern w:val="0"/>
                      <w:sz w:val="18"/>
                      <w:szCs w:val="18"/>
                      <w:highlight w:val="cyan"/>
                    </w:rPr>
                  </w:pPr>
                  <w:r>
                    <w:rPr>
                      <w:rFonts w:hint="eastAsia" w:ascii="宋体" w:hAnsi="宋体" w:cs="宋体"/>
                      <w:snapToGrid w:val="0"/>
                      <w:kern w:val="0"/>
                      <w:sz w:val="18"/>
                      <w:szCs w:val="18"/>
                    </w:rPr>
                    <w:t>无</w:t>
                  </w:r>
                </w:p>
              </w:tc>
            </w:tr>
          </w:tbl>
          <w:p w14:paraId="4C4C527D">
            <w:pPr>
              <w:ind w:firstLine="422" w:firstLineChars="200"/>
              <w:jc w:val="left"/>
              <w:outlineLvl w:val="0"/>
              <w:rPr>
                <w:rFonts w:ascii="宋体" w:hAnsi="宋体" w:cs="宋体"/>
                <w:snapToGrid w:val="0"/>
                <w:kern w:val="0"/>
                <w:szCs w:val="21"/>
                <w:u w:val="single"/>
              </w:rPr>
            </w:pPr>
            <w:r>
              <w:rPr>
                <w:rFonts w:hint="eastAsia" w:ascii="宋体" w:hAnsi="宋体" w:cs="宋体"/>
                <w:b/>
                <w:bCs/>
                <w:snapToGrid w:val="0"/>
                <w:kern w:val="0"/>
                <w:szCs w:val="21"/>
              </w:rPr>
              <w:t>关联企业情况小结：</w:t>
            </w:r>
            <w:r>
              <w:rPr>
                <w:rFonts w:hint="eastAsia" w:ascii="宋体" w:hAnsi="宋体" w:cs="宋体"/>
                <w:snapToGrid w:val="0"/>
                <w:kern w:val="0"/>
                <w:szCs w:val="21"/>
                <w:u w:val="single"/>
              </w:rPr>
              <w:t>公司对外投资8家企业 ，直接控制5家，均存续状态，围绕教育、水利、软件、数字科技四大板块。关联企业总体经营规模不大，与借款企业存在少量关联交易、资金往来。</w:t>
            </w:r>
          </w:p>
          <w:p w14:paraId="3FC1808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（五）借款人</w:t>
            </w:r>
            <w:r>
              <w:rPr>
                <w:rFonts w:hint="eastAsia" w:ascii="宋体" w:hAnsi="宋体" w:cs="宋体"/>
                <w:b/>
                <w:snapToGrid w:val="0"/>
                <w:kern w:val="0"/>
                <w:szCs w:val="21"/>
              </w:rPr>
              <w:t>主要经营及财务情</w:t>
            </w:r>
            <w:r>
              <w:rPr>
                <w:rFonts w:hint="eastAsia" w:ascii="宋体" w:hAnsi="宋体" w:cs="宋体"/>
                <w:b/>
                <w:snapToGrid w:val="0"/>
                <w:color w:val="000000"/>
                <w:kern w:val="0"/>
                <w:szCs w:val="21"/>
              </w:rPr>
              <w:t>况</w:t>
            </w:r>
          </w:p>
          <w:p w14:paraId="07F508E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000000"/>
                <w:kern w:val="0"/>
                <w:szCs w:val="21"/>
              </w:rPr>
              <w:t>1.产品（业务）及其市场应</w:t>
            </w:r>
            <w:r>
              <w:rPr>
                <w:rFonts w:hint="eastAsia" w:ascii="宋体" w:hAnsi="宋体" w:cs="宋体"/>
                <w:b/>
                <w:bCs/>
                <w:snapToGrid w:val="0"/>
                <w:kern w:val="0"/>
                <w:szCs w:val="21"/>
              </w:rPr>
              <w:t>用：</w:t>
            </w:r>
            <w:r>
              <w:rPr>
                <w:rFonts w:hint="eastAsia" w:ascii="宋体" w:hAnsi="宋体" w:cs="宋体"/>
                <w:snapToGrid w:val="0"/>
                <w:kern w:val="0"/>
                <w:szCs w:val="21"/>
                <w:u w:val="single"/>
              </w:rPr>
              <w:t>公司主营智慧教育、智慧水利数字化解决方案及相关系统集成、技术运维服务。在智慧教育领域，公司面向各类院校提供产教融合、实训基地建设、智慧校园及信息安全等整体解决方案；在智慧水利领域，聚焦水库安全监测、流域管理、数字孪生、灌区信息化等项目实施。公司同时开展IT设备销售、网络工程及综合运维服务，客户覆盖全国多所院校及福建区域水利、政企单位，具备高新技术企业资质与完整项目实施能力，整体业务聚焦民生领域数字化建设。</w:t>
            </w:r>
          </w:p>
          <w:p w14:paraId="5DC00E23">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bCs/>
                <w:snapToGrid w:val="0"/>
                <w:kern w:val="0"/>
                <w:szCs w:val="21"/>
              </w:rPr>
              <w:t>2.产品优势、企业核心竞争力:</w:t>
            </w:r>
            <w:r>
              <w:rPr>
                <w:rFonts w:hint="eastAsia"/>
              </w:rPr>
              <w:t xml:space="preserve"> </w:t>
            </w:r>
            <w:r>
              <w:rPr>
                <w:rFonts w:hint="eastAsia" w:ascii="宋体" w:hAnsi="宋体" w:cs="宋体"/>
                <w:snapToGrid w:val="0"/>
                <w:kern w:val="0"/>
                <w:szCs w:val="21"/>
                <w:u w:val="single"/>
              </w:rPr>
              <w:t>数字水利方面，公司不断深化自主研发能力，打造了一系列智慧水利平台解决方案，包括大坝安全智能监测平台、智慧水利流域四预系统、水库运行管理矩阵平台等，荣获“2022年度福建省科技进步奖二等奖、水利科学技术奖一等奖”等殊荣，一系列方案已成功应用在福建省300+座大中小型水库，显著提升了水利设施的安全性与智能化管理水平，取得了令人瞩目的成就。数字教育方面，公司与全国超过1000所知名高校及科研院所建立了紧密的产学研合作关系，推出数字人才培养方案，服务1600多家政企客户，助力教育信息化的深度发展。</w:t>
            </w:r>
          </w:p>
          <w:p w14:paraId="554401D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000000"/>
                <w:kern w:val="0"/>
                <w:szCs w:val="21"/>
              </w:rPr>
              <w:t>3.营业收入及结构占比情况</w:t>
            </w:r>
            <w:r>
              <w:rPr>
                <w:rFonts w:hint="eastAsia" w:ascii="宋体" w:hAnsi="宋体" w:cs="宋体"/>
                <w:snapToGrid w:val="0"/>
                <w:color w:val="000000"/>
                <w:kern w:val="0"/>
                <w:szCs w:val="21"/>
              </w:rPr>
              <w:t xml:space="preserve">：  </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116"/>
              <w:gridCol w:w="1926"/>
              <w:gridCol w:w="756"/>
              <w:gridCol w:w="756"/>
            </w:tblGrid>
            <w:tr w14:paraId="76DE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403B7D6">
                  <w:pPr>
                    <w:widowControl/>
                    <w:kinsoku w:val="0"/>
                    <w:autoSpaceDE w:val="0"/>
                    <w:autoSpaceDN w:val="0"/>
                    <w:adjustRightInd w:val="0"/>
                    <w:snapToGrid w:val="0"/>
                    <w:jc w:val="center"/>
                    <w:textAlignment w:val="baseline"/>
                    <w:rPr>
                      <w:rFonts w:hint="eastAsia"/>
                    </w:rPr>
                  </w:pPr>
                  <w:r>
                    <w:rPr>
                      <w:rFonts w:hint="eastAsia" w:ascii="宋体" w:hAnsi="宋体" w:cs="宋体"/>
                      <w:snapToGrid w:val="0"/>
                      <w:color w:val="000000"/>
                      <w:kern w:val="0"/>
                      <w:sz w:val="18"/>
                      <w:szCs w:val="18"/>
                      <w:lang w:val="zh-CN"/>
                    </w:rPr>
                    <w:t>主要产品名称</w:t>
                  </w:r>
                </w:p>
              </w:tc>
              <w:tc>
                <w:tcPr>
                  <w:tcW w:w="0" w:type="auto"/>
                  <w:noWrap w:val="0"/>
                  <w:vAlign w:val="center"/>
                </w:tcPr>
                <w:p w14:paraId="40525346">
                  <w:pPr>
                    <w:widowControl/>
                    <w:kinsoku w:val="0"/>
                    <w:autoSpaceDE w:val="0"/>
                    <w:autoSpaceDN w:val="0"/>
                    <w:adjustRightInd w:val="0"/>
                    <w:snapToGrid w:val="0"/>
                    <w:jc w:val="center"/>
                    <w:textAlignment w:val="baseline"/>
                    <w:rPr>
                      <w:rFonts w:hint="eastAsia"/>
                      <w:sz w:val="18"/>
                      <w:szCs w:val="18"/>
                    </w:rPr>
                  </w:pPr>
                  <w:r>
                    <w:rPr>
                      <w:rFonts w:hint="eastAsia"/>
                      <w:sz w:val="18"/>
                      <w:szCs w:val="18"/>
                    </w:rPr>
                    <w:t>上年销售额</w:t>
                  </w:r>
                </w:p>
                <w:p w14:paraId="76518175">
                  <w:pPr>
                    <w:pStyle w:val="9"/>
                    <w:jc w:val="center"/>
                    <w:rPr>
                      <w:rFonts w:hint="eastAsia"/>
                    </w:rPr>
                  </w:pPr>
                  <w:r>
                    <w:rPr>
                      <w:rFonts w:hint="eastAsia" w:ascii="宋体" w:hAnsi="宋体" w:cs="宋体"/>
                      <w:snapToGrid w:val="0"/>
                      <w:color w:val="000000"/>
                      <w:kern w:val="0"/>
                    </w:rPr>
                    <w:t>（万元）</w:t>
                  </w:r>
                </w:p>
              </w:tc>
              <w:tc>
                <w:tcPr>
                  <w:tcW w:w="0" w:type="auto"/>
                  <w:noWrap w:val="0"/>
                  <w:vAlign w:val="center"/>
                </w:tcPr>
                <w:p w14:paraId="30E69336">
                  <w:pPr>
                    <w:widowControl/>
                    <w:kinsoku w:val="0"/>
                    <w:autoSpaceDE w:val="0"/>
                    <w:autoSpaceDN w:val="0"/>
                    <w:adjustRightInd w:val="0"/>
                    <w:snapToGrid w:val="0"/>
                    <w:jc w:val="center"/>
                    <w:textAlignment w:val="baseline"/>
                    <w:rPr>
                      <w:rFonts w:hint="eastAsia"/>
                    </w:rPr>
                  </w:pPr>
                  <w:r>
                    <w:rPr>
                      <w:rFonts w:hint="eastAsia" w:ascii="宋体" w:hAnsi="宋体" w:cs="宋体"/>
                      <w:snapToGrid w:val="0"/>
                      <w:color w:val="000000"/>
                      <w:kern w:val="0"/>
                      <w:sz w:val="18"/>
                      <w:szCs w:val="18"/>
                    </w:rPr>
                    <w:t>上年销售额占比（%）</w:t>
                  </w:r>
                </w:p>
              </w:tc>
              <w:tc>
                <w:tcPr>
                  <w:tcW w:w="0" w:type="auto"/>
                  <w:noWrap w:val="0"/>
                  <w:vAlign w:val="center"/>
                </w:tcPr>
                <w:p w14:paraId="385052EA">
                  <w:pPr>
                    <w:widowControl/>
                    <w:kinsoku w:val="0"/>
                    <w:autoSpaceDE w:val="0"/>
                    <w:autoSpaceDN w:val="0"/>
                    <w:adjustRightInd w:val="0"/>
                    <w:snapToGrid w:val="0"/>
                    <w:jc w:val="center"/>
                    <w:textAlignment w:val="baseline"/>
                    <w:rPr>
                      <w:rFonts w:hint="eastAsia"/>
                    </w:rPr>
                  </w:pPr>
                  <w:r>
                    <w:rPr>
                      <w:rFonts w:hint="eastAsia" w:ascii="宋体" w:hAnsi="宋体" w:cs="宋体"/>
                      <w:snapToGrid w:val="0"/>
                      <w:color w:val="000000"/>
                      <w:kern w:val="0"/>
                      <w:sz w:val="18"/>
                      <w:szCs w:val="18"/>
                    </w:rPr>
                    <w:t>毛利润</w:t>
                  </w:r>
                </w:p>
              </w:tc>
              <w:tc>
                <w:tcPr>
                  <w:tcW w:w="0" w:type="auto"/>
                  <w:noWrap w:val="0"/>
                  <w:vAlign w:val="center"/>
                </w:tcPr>
                <w:p w14:paraId="7A5C04B8">
                  <w:pPr>
                    <w:widowControl/>
                    <w:kinsoku w:val="0"/>
                    <w:autoSpaceDE w:val="0"/>
                    <w:autoSpaceDN w:val="0"/>
                    <w:adjustRightInd w:val="0"/>
                    <w:snapToGrid w:val="0"/>
                    <w:jc w:val="center"/>
                    <w:textAlignment w:val="baseline"/>
                    <w:rPr>
                      <w:rFonts w:hint="eastAsia"/>
                    </w:rPr>
                  </w:pPr>
                  <w:r>
                    <w:rPr>
                      <w:rFonts w:hint="eastAsia" w:ascii="宋体" w:hAnsi="宋体" w:cs="宋体"/>
                      <w:snapToGrid w:val="0"/>
                      <w:color w:val="000000"/>
                      <w:kern w:val="0"/>
                      <w:sz w:val="18"/>
                      <w:szCs w:val="18"/>
                    </w:rPr>
                    <w:t>毛利率</w:t>
                  </w:r>
                </w:p>
              </w:tc>
            </w:tr>
            <w:tr w14:paraId="37EBE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A5CF5D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智慧水利</w:t>
                  </w:r>
                </w:p>
              </w:tc>
              <w:tc>
                <w:tcPr>
                  <w:tcW w:w="0" w:type="auto"/>
                  <w:noWrap w:val="0"/>
                  <w:vAlign w:val="top"/>
                </w:tcPr>
                <w:p w14:paraId="10BA0C7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4605</w:t>
                  </w:r>
                </w:p>
              </w:tc>
              <w:tc>
                <w:tcPr>
                  <w:tcW w:w="0" w:type="auto"/>
                  <w:noWrap w:val="0"/>
                  <w:vAlign w:val="top"/>
                </w:tcPr>
                <w:p w14:paraId="615091B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46</w:t>
                  </w:r>
                </w:p>
              </w:tc>
              <w:tc>
                <w:tcPr>
                  <w:tcW w:w="0" w:type="auto"/>
                  <w:noWrap w:val="0"/>
                  <w:vAlign w:val="top"/>
                </w:tcPr>
                <w:p w14:paraId="4DE7F3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2076</w:t>
                  </w:r>
                </w:p>
              </w:tc>
              <w:tc>
                <w:tcPr>
                  <w:tcW w:w="0" w:type="auto"/>
                  <w:noWrap w:val="0"/>
                  <w:vAlign w:val="top"/>
                </w:tcPr>
                <w:p w14:paraId="703CF2D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45</w:t>
                  </w:r>
                </w:p>
              </w:tc>
            </w:tr>
            <w:tr w14:paraId="4935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85B6BD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智慧教育</w:t>
                  </w:r>
                </w:p>
              </w:tc>
              <w:tc>
                <w:tcPr>
                  <w:tcW w:w="0" w:type="auto"/>
                  <w:noWrap w:val="0"/>
                  <w:vAlign w:val="top"/>
                </w:tcPr>
                <w:p w14:paraId="38B47F7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5404</w:t>
                  </w:r>
                </w:p>
              </w:tc>
              <w:tc>
                <w:tcPr>
                  <w:tcW w:w="0" w:type="auto"/>
                  <w:noWrap w:val="0"/>
                  <w:vAlign w:val="top"/>
                </w:tcPr>
                <w:p w14:paraId="56557E8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54</w:t>
                  </w:r>
                </w:p>
              </w:tc>
              <w:tc>
                <w:tcPr>
                  <w:tcW w:w="0" w:type="auto"/>
                  <w:noWrap w:val="0"/>
                  <w:vAlign w:val="top"/>
                </w:tcPr>
                <w:p w14:paraId="09B496D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1730</w:t>
                  </w:r>
                </w:p>
              </w:tc>
              <w:tc>
                <w:tcPr>
                  <w:tcW w:w="0" w:type="auto"/>
                  <w:noWrap w:val="0"/>
                  <w:vAlign w:val="top"/>
                </w:tcPr>
                <w:p w14:paraId="30B8460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32</w:t>
                  </w:r>
                </w:p>
              </w:tc>
            </w:tr>
          </w:tbl>
          <w:p w14:paraId="3E6430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000000"/>
                <w:kern w:val="0"/>
                <w:szCs w:val="21"/>
              </w:rPr>
              <w:t>4.上下游情况：</w:t>
            </w:r>
            <w:r>
              <w:rPr>
                <w:rFonts w:hint="eastAsia" w:ascii="宋体" w:hAnsi="宋体" w:cs="宋体"/>
                <w:snapToGrid w:val="0"/>
                <w:color w:val="000000"/>
                <w:kern w:val="0"/>
                <w:szCs w:val="21"/>
                <w:u w:val="single"/>
              </w:rPr>
              <w:t>公司上游供应商主要为锐捷网络、华为、海康威视、新华三等知名ICT厂商，采购内容以网络设备、服务器、物联网终端、软件平台及技术服务为主，供应商资质优良、供应链稳定，不存在对单一供应商重大依赖。下游客户以全国各类院校、地方水利主管部门、水库管理单位及国企、事业单位为主，客户资质优良、付款能力较强，结算较为规范。业务区域以福建省为核心并向全国拓展，客户群体分散且抗风险能力较强，整体上下游关系稳定，经营性现金流具备较好保障，授信风险可控。</w:t>
            </w:r>
          </w:p>
          <w:p w14:paraId="6284DFF9">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000000"/>
                <w:kern w:val="0"/>
                <w:szCs w:val="21"/>
              </w:rPr>
              <w:t xml:space="preserve">①主要上游（前五大）：       </w:t>
            </w:r>
            <w:r>
              <w:rPr>
                <w:rFonts w:hint="eastAsia" w:ascii="宋体" w:hAnsi="宋体" w:cs="宋体"/>
                <w:snapToGrid w:val="0"/>
                <w:color w:val="000000"/>
                <w:kern w:val="0"/>
                <w:szCs w:val="21"/>
              </w:rPr>
              <w:t xml:space="preserve">                                            单位：万元</w:t>
            </w:r>
          </w:p>
          <w:tbl>
            <w:tblPr>
              <w:tblStyle w:val="13"/>
              <w:tblW w:w="10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990"/>
              <w:gridCol w:w="1296"/>
              <w:gridCol w:w="1581"/>
              <w:gridCol w:w="1116"/>
              <w:gridCol w:w="846"/>
              <w:gridCol w:w="1116"/>
            </w:tblGrid>
            <w:tr w14:paraId="05F7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3096" w:type="dxa"/>
                  <w:noWrap w:val="0"/>
                  <w:vAlign w:val="center"/>
                </w:tcPr>
                <w:p w14:paraId="2265D69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主要上游供应商</w:t>
                  </w:r>
                </w:p>
              </w:tc>
              <w:tc>
                <w:tcPr>
                  <w:tcW w:w="990" w:type="dxa"/>
                  <w:noWrap w:val="0"/>
                  <w:vAlign w:val="center"/>
                </w:tcPr>
                <w:p w14:paraId="54D3C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采购商品</w:t>
                  </w:r>
                </w:p>
              </w:tc>
              <w:tc>
                <w:tcPr>
                  <w:tcW w:w="1296" w:type="dxa"/>
                  <w:noWrap w:val="0"/>
                  <w:vAlign w:val="center"/>
                </w:tcPr>
                <w:p w14:paraId="73AFFF8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rPr>
                    <w:t>上年采购额</w:t>
                  </w:r>
                </w:p>
              </w:tc>
              <w:tc>
                <w:tcPr>
                  <w:tcW w:w="1581" w:type="dxa"/>
                  <w:noWrap w:val="0"/>
                  <w:vAlign w:val="center"/>
                </w:tcPr>
                <w:p w14:paraId="3AC1D45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rPr>
                    <w:t>上年采购额占比（%）</w:t>
                  </w:r>
                </w:p>
              </w:tc>
              <w:tc>
                <w:tcPr>
                  <w:tcW w:w="1116" w:type="dxa"/>
                  <w:noWrap w:val="0"/>
                  <w:vAlign w:val="center"/>
                </w:tcPr>
                <w:p w14:paraId="0FF75A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rPr>
                    <w:t>结算方式</w:t>
                  </w:r>
                </w:p>
              </w:tc>
              <w:tc>
                <w:tcPr>
                  <w:tcW w:w="846" w:type="dxa"/>
                  <w:noWrap w:val="0"/>
                  <w:vAlign w:val="center"/>
                </w:tcPr>
                <w:p w14:paraId="6835BC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账期</w:t>
                  </w:r>
                </w:p>
              </w:tc>
              <w:tc>
                <w:tcPr>
                  <w:tcW w:w="1116" w:type="dxa"/>
                  <w:noWrap w:val="0"/>
                  <w:vAlign w:val="center"/>
                </w:tcPr>
                <w:p w14:paraId="6ED18B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合作年限</w:t>
                  </w:r>
                </w:p>
              </w:tc>
            </w:tr>
            <w:tr w14:paraId="7D1C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noWrap w:val="0"/>
                  <w:vAlign w:val="top"/>
                </w:tcPr>
                <w:p w14:paraId="41B5323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锐捷网络股份有限公司</w:t>
                  </w:r>
                </w:p>
              </w:tc>
              <w:tc>
                <w:tcPr>
                  <w:tcW w:w="990" w:type="dxa"/>
                  <w:noWrap w:val="0"/>
                  <w:vAlign w:val="top"/>
                </w:tcPr>
                <w:p w14:paraId="56A2E7E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货物</w:t>
                  </w:r>
                </w:p>
              </w:tc>
              <w:tc>
                <w:tcPr>
                  <w:tcW w:w="1296" w:type="dxa"/>
                  <w:noWrap w:val="0"/>
                  <w:vAlign w:val="top"/>
                </w:tcPr>
                <w:p w14:paraId="570699D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943 </w:t>
                  </w:r>
                </w:p>
              </w:tc>
              <w:tc>
                <w:tcPr>
                  <w:tcW w:w="1581" w:type="dxa"/>
                  <w:noWrap w:val="0"/>
                  <w:vAlign w:val="top"/>
                </w:tcPr>
                <w:p w14:paraId="0A8563E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19.77%</w:t>
                  </w:r>
                </w:p>
              </w:tc>
              <w:tc>
                <w:tcPr>
                  <w:tcW w:w="1116" w:type="dxa"/>
                  <w:noWrap w:val="0"/>
                  <w:vAlign w:val="top"/>
                </w:tcPr>
                <w:p w14:paraId="021BA8F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846" w:type="dxa"/>
                  <w:noWrap w:val="0"/>
                  <w:vAlign w:val="top"/>
                </w:tcPr>
                <w:p w14:paraId="6FAAE94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2个月</w:t>
                  </w:r>
                </w:p>
              </w:tc>
              <w:tc>
                <w:tcPr>
                  <w:tcW w:w="1116" w:type="dxa"/>
                  <w:noWrap w:val="0"/>
                  <w:vAlign w:val="center"/>
                </w:tcPr>
                <w:p w14:paraId="3FD166C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8</w:t>
                  </w:r>
                </w:p>
              </w:tc>
            </w:tr>
            <w:tr w14:paraId="1745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noWrap w:val="0"/>
                  <w:vAlign w:val="top"/>
                </w:tcPr>
                <w:p w14:paraId="73EDAC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北京星链南天科技有限公司</w:t>
                  </w:r>
                </w:p>
              </w:tc>
              <w:tc>
                <w:tcPr>
                  <w:tcW w:w="990" w:type="dxa"/>
                  <w:noWrap w:val="0"/>
                  <w:vAlign w:val="top"/>
                </w:tcPr>
                <w:p w14:paraId="1581EA4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货物</w:t>
                  </w:r>
                </w:p>
              </w:tc>
              <w:tc>
                <w:tcPr>
                  <w:tcW w:w="1296" w:type="dxa"/>
                  <w:noWrap w:val="0"/>
                  <w:vAlign w:val="top"/>
                </w:tcPr>
                <w:p w14:paraId="2D9E20D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186 </w:t>
                  </w:r>
                </w:p>
              </w:tc>
              <w:tc>
                <w:tcPr>
                  <w:tcW w:w="1581" w:type="dxa"/>
                  <w:noWrap w:val="0"/>
                  <w:vAlign w:val="top"/>
                </w:tcPr>
                <w:p w14:paraId="4B9037C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3.90%</w:t>
                  </w:r>
                </w:p>
              </w:tc>
              <w:tc>
                <w:tcPr>
                  <w:tcW w:w="1116" w:type="dxa"/>
                  <w:noWrap w:val="0"/>
                  <w:vAlign w:val="top"/>
                </w:tcPr>
                <w:p w14:paraId="05830AA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846" w:type="dxa"/>
                  <w:noWrap w:val="0"/>
                  <w:vAlign w:val="top"/>
                </w:tcPr>
                <w:p w14:paraId="1A28AF2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1个月</w:t>
                  </w:r>
                </w:p>
              </w:tc>
              <w:tc>
                <w:tcPr>
                  <w:tcW w:w="1116" w:type="dxa"/>
                  <w:noWrap w:val="0"/>
                  <w:vAlign w:val="center"/>
                </w:tcPr>
                <w:p w14:paraId="3085324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2</w:t>
                  </w:r>
                </w:p>
              </w:tc>
            </w:tr>
            <w:tr w14:paraId="6DB76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noWrap w:val="0"/>
                  <w:vAlign w:val="top"/>
                </w:tcPr>
                <w:p w14:paraId="65E0B5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广州浩瀚星图信息技术有限公司</w:t>
                  </w:r>
                </w:p>
              </w:tc>
              <w:tc>
                <w:tcPr>
                  <w:tcW w:w="990" w:type="dxa"/>
                  <w:noWrap w:val="0"/>
                  <w:vAlign w:val="top"/>
                </w:tcPr>
                <w:p w14:paraId="256735E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货物</w:t>
                  </w:r>
                </w:p>
              </w:tc>
              <w:tc>
                <w:tcPr>
                  <w:tcW w:w="1296" w:type="dxa"/>
                  <w:noWrap w:val="0"/>
                  <w:vAlign w:val="top"/>
                </w:tcPr>
                <w:p w14:paraId="1BA103E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172 </w:t>
                  </w:r>
                </w:p>
              </w:tc>
              <w:tc>
                <w:tcPr>
                  <w:tcW w:w="1581" w:type="dxa"/>
                  <w:noWrap w:val="0"/>
                  <w:vAlign w:val="top"/>
                </w:tcPr>
                <w:p w14:paraId="7BA68C1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3.61%</w:t>
                  </w:r>
                </w:p>
              </w:tc>
              <w:tc>
                <w:tcPr>
                  <w:tcW w:w="1116" w:type="dxa"/>
                  <w:noWrap w:val="0"/>
                  <w:vAlign w:val="top"/>
                </w:tcPr>
                <w:p w14:paraId="1E78D0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846" w:type="dxa"/>
                  <w:noWrap w:val="0"/>
                  <w:vAlign w:val="top"/>
                </w:tcPr>
                <w:p w14:paraId="0EEC3C9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按进度</w:t>
                  </w:r>
                </w:p>
              </w:tc>
              <w:tc>
                <w:tcPr>
                  <w:tcW w:w="1116" w:type="dxa"/>
                  <w:noWrap w:val="0"/>
                  <w:vAlign w:val="center"/>
                </w:tcPr>
                <w:p w14:paraId="6E5E4F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1</w:t>
                  </w:r>
                </w:p>
              </w:tc>
            </w:tr>
            <w:tr w14:paraId="2571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noWrap w:val="0"/>
                  <w:vAlign w:val="top"/>
                </w:tcPr>
                <w:p w14:paraId="1CFB45B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新天科技股份有限公司</w:t>
                  </w:r>
                </w:p>
              </w:tc>
              <w:tc>
                <w:tcPr>
                  <w:tcW w:w="990" w:type="dxa"/>
                  <w:noWrap w:val="0"/>
                  <w:vAlign w:val="top"/>
                </w:tcPr>
                <w:p w14:paraId="2E58937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货物</w:t>
                  </w:r>
                </w:p>
              </w:tc>
              <w:tc>
                <w:tcPr>
                  <w:tcW w:w="1296" w:type="dxa"/>
                  <w:noWrap w:val="0"/>
                  <w:vAlign w:val="top"/>
                </w:tcPr>
                <w:p w14:paraId="0ED9CDC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90 </w:t>
                  </w:r>
                </w:p>
              </w:tc>
              <w:tc>
                <w:tcPr>
                  <w:tcW w:w="1581" w:type="dxa"/>
                  <w:noWrap w:val="0"/>
                  <w:vAlign w:val="top"/>
                </w:tcPr>
                <w:p w14:paraId="6B1B7F2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1.88%</w:t>
                  </w:r>
                </w:p>
              </w:tc>
              <w:tc>
                <w:tcPr>
                  <w:tcW w:w="1116" w:type="dxa"/>
                  <w:noWrap w:val="0"/>
                  <w:vAlign w:val="top"/>
                </w:tcPr>
                <w:p w14:paraId="01F951C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846" w:type="dxa"/>
                  <w:noWrap w:val="0"/>
                  <w:vAlign w:val="top"/>
                </w:tcPr>
                <w:p w14:paraId="3C9FC24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按进度</w:t>
                  </w:r>
                </w:p>
              </w:tc>
              <w:tc>
                <w:tcPr>
                  <w:tcW w:w="1116" w:type="dxa"/>
                  <w:noWrap w:val="0"/>
                  <w:vAlign w:val="center"/>
                </w:tcPr>
                <w:p w14:paraId="7B347C0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1</w:t>
                  </w:r>
                </w:p>
              </w:tc>
            </w:tr>
            <w:tr w14:paraId="30BF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noWrap w:val="0"/>
                  <w:vAlign w:val="top"/>
                </w:tcPr>
                <w:p w14:paraId="3C07FC6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精导信息技术有限公司司</w:t>
                  </w:r>
                </w:p>
              </w:tc>
              <w:tc>
                <w:tcPr>
                  <w:tcW w:w="990" w:type="dxa"/>
                  <w:noWrap w:val="0"/>
                  <w:vAlign w:val="top"/>
                </w:tcPr>
                <w:p w14:paraId="75171F8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货物</w:t>
                  </w:r>
                </w:p>
              </w:tc>
              <w:tc>
                <w:tcPr>
                  <w:tcW w:w="1296" w:type="dxa"/>
                  <w:noWrap w:val="0"/>
                  <w:vAlign w:val="top"/>
                </w:tcPr>
                <w:p w14:paraId="49296E2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89 </w:t>
                  </w:r>
                </w:p>
              </w:tc>
              <w:tc>
                <w:tcPr>
                  <w:tcW w:w="1581" w:type="dxa"/>
                  <w:noWrap w:val="0"/>
                  <w:vAlign w:val="top"/>
                </w:tcPr>
                <w:p w14:paraId="56814A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1.87%</w:t>
                  </w:r>
                </w:p>
              </w:tc>
              <w:tc>
                <w:tcPr>
                  <w:tcW w:w="1116" w:type="dxa"/>
                  <w:noWrap w:val="0"/>
                  <w:vAlign w:val="top"/>
                </w:tcPr>
                <w:p w14:paraId="04C9D4E0">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846" w:type="dxa"/>
                  <w:noWrap w:val="0"/>
                  <w:vAlign w:val="top"/>
                </w:tcPr>
                <w:p w14:paraId="50D6F2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按进度</w:t>
                  </w:r>
                </w:p>
              </w:tc>
              <w:tc>
                <w:tcPr>
                  <w:tcW w:w="1116" w:type="dxa"/>
                  <w:noWrap w:val="0"/>
                  <w:vAlign w:val="center"/>
                </w:tcPr>
                <w:p w14:paraId="2463BC6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1</w:t>
                  </w:r>
                </w:p>
              </w:tc>
            </w:tr>
            <w:tr w14:paraId="44EA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6" w:type="dxa"/>
                  <w:noWrap w:val="0"/>
                  <w:vAlign w:val="top"/>
                </w:tcPr>
                <w:p w14:paraId="6D04E78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合计</w:t>
                  </w:r>
                </w:p>
              </w:tc>
              <w:tc>
                <w:tcPr>
                  <w:tcW w:w="990" w:type="dxa"/>
                  <w:noWrap w:val="0"/>
                  <w:vAlign w:val="top"/>
                </w:tcPr>
                <w:p w14:paraId="65C5102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p>
              </w:tc>
              <w:tc>
                <w:tcPr>
                  <w:tcW w:w="1296" w:type="dxa"/>
                  <w:noWrap w:val="0"/>
                  <w:vAlign w:val="top"/>
                </w:tcPr>
                <w:p w14:paraId="6990BAC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1480</w:t>
                  </w:r>
                </w:p>
              </w:tc>
              <w:tc>
                <w:tcPr>
                  <w:tcW w:w="1581" w:type="dxa"/>
                  <w:noWrap w:val="0"/>
                  <w:vAlign w:val="top"/>
                </w:tcPr>
                <w:p w14:paraId="30653F1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31.03%</w:t>
                  </w:r>
                </w:p>
              </w:tc>
              <w:tc>
                <w:tcPr>
                  <w:tcW w:w="1116" w:type="dxa"/>
                  <w:noWrap w:val="0"/>
                  <w:vAlign w:val="top"/>
                </w:tcPr>
                <w:p w14:paraId="38E71B8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p>
              </w:tc>
              <w:tc>
                <w:tcPr>
                  <w:tcW w:w="846" w:type="dxa"/>
                  <w:noWrap w:val="0"/>
                  <w:vAlign w:val="top"/>
                </w:tcPr>
                <w:p w14:paraId="3ABE3B5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p>
              </w:tc>
              <w:tc>
                <w:tcPr>
                  <w:tcW w:w="1116" w:type="dxa"/>
                  <w:noWrap w:val="0"/>
                  <w:vAlign w:val="center"/>
                </w:tcPr>
                <w:p w14:paraId="79758A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p>
              </w:tc>
            </w:tr>
          </w:tbl>
          <w:p w14:paraId="42FAEC7E">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000000"/>
                <w:kern w:val="0"/>
                <w:szCs w:val="21"/>
              </w:rPr>
              <w:t>②主要下游（前五大）：</w:t>
            </w:r>
            <w:r>
              <w:rPr>
                <w:rFonts w:hint="eastAsia" w:ascii="宋体" w:hAnsi="宋体" w:cs="宋体"/>
                <w:snapToGrid w:val="0"/>
                <w:color w:val="000000"/>
                <w:kern w:val="0"/>
                <w:szCs w:val="21"/>
              </w:rPr>
              <w:t xml:space="preserve">                                                   单位：万元</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6"/>
              <w:gridCol w:w="1116"/>
              <w:gridCol w:w="1116"/>
              <w:gridCol w:w="1926"/>
              <w:gridCol w:w="936"/>
              <w:gridCol w:w="756"/>
              <w:gridCol w:w="936"/>
            </w:tblGrid>
            <w:tr w14:paraId="41F9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A0288B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主要下游销售客户</w:t>
                  </w:r>
                </w:p>
              </w:tc>
              <w:tc>
                <w:tcPr>
                  <w:tcW w:w="0" w:type="auto"/>
                  <w:noWrap w:val="0"/>
                  <w:vAlign w:val="center"/>
                </w:tcPr>
                <w:p w14:paraId="4DEDC7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rPr>
                    <w:t>销售产品</w:t>
                  </w:r>
                </w:p>
              </w:tc>
              <w:tc>
                <w:tcPr>
                  <w:tcW w:w="0" w:type="auto"/>
                  <w:noWrap w:val="0"/>
                  <w:vAlign w:val="center"/>
                </w:tcPr>
                <w:p w14:paraId="3E7F4E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rPr>
                    <w:t>上年销售额</w:t>
                  </w:r>
                </w:p>
              </w:tc>
              <w:tc>
                <w:tcPr>
                  <w:tcW w:w="0" w:type="auto"/>
                  <w:noWrap w:val="0"/>
                  <w:vAlign w:val="center"/>
                </w:tcPr>
                <w:p w14:paraId="3BE551B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上年销售额占比（%）</w:t>
                  </w:r>
                </w:p>
              </w:tc>
              <w:tc>
                <w:tcPr>
                  <w:tcW w:w="0" w:type="auto"/>
                  <w:noWrap w:val="0"/>
                  <w:vAlign w:val="top"/>
                </w:tcPr>
                <w:p w14:paraId="78E9F95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结算方式</w:t>
                  </w:r>
                </w:p>
              </w:tc>
              <w:tc>
                <w:tcPr>
                  <w:tcW w:w="0" w:type="auto"/>
                  <w:noWrap w:val="0"/>
                  <w:vAlign w:val="top"/>
                </w:tcPr>
                <w:p w14:paraId="3E0D30E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账期</w:t>
                  </w:r>
                </w:p>
              </w:tc>
              <w:tc>
                <w:tcPr>
                  <w:tcW w:w="0" w:type="auto"/>
                  <w:noWrap w:val="0"/>
                  <w:vAlign w:val="center"/>
                </w:tcPr>
                <w:p w14:paraId="54F9258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合作年限</w:t>
                  </w:r>
                </w:p>
              </w:tc>
            </w:tr>
            <w:tr w14:paraId="7D11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683D207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涵江水利局</w:t>
                  </w:r>
                </w:p>
              </w:tc>
              <w:tc>
                <w:tcPr>
                  <w:tcW w:w="0" w:type="auto"/>
                  <w:noWrap w:val="0"/>
                  <w:vAlign w:val="top"/>
                </w:tcPr>
                <w:p w14:paraId="2142051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智慧水利</w:t>
                  </w:r>
                </w:p>
              </w:tc>
              <w:tc>
                <w:tcPr>
                  <w:tcW w:w="0" w:type="auto"/>
                  <w:noWrap w:val="0"/>
                  <w:vAlign w:val="top"/>
                </w:tcPr>
                <w:p w14:paraId="518046F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1116 </w:t>
                  </w:r>
                </w:p>
              </w:tc>
              <w:tc>
                <w:tcPr>
                  <w:tcW w:w="0" w:type="auto"/>
                  <w:noWrap w:val="0"/>
                  <w:vAlign w:val="top"/>
                </w:tcPr>
                <w:p w14:paraId="2FC1EA6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10.02%</w:t>
                  </w:r>
                </w:p>
              </w:tc>
              <w:tc>
                <w:tcPr>
                  <w:tcW w:w="0" w:type="auto"/>
                  <w:noWrap w:val="0"/>
                  <w:vAlign w:val="top"/>
                </w:tcPr>
                <w:p w14:paraId="52FF05F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0" w:type="auto"/>
                  <w:noWrap w:val="0"/>
                  <w:vAlign w:val="top"/>
                </w:tcPr>
                <w:p w14:paraId="3FEB49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按进度</w:t>
                  </w:r>
                </w:p>
              </w:tc>
              <w:tc>
                <w:tcPr>
                  <w:tcW w:w="0" w:type="auto"/>
                  <w:noWrap w:val="0"/>
                  <w:vAlign w:val="center"/>
                </w:tcPr>
                <w:p w14:paraId="2003093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2</w:t>
                  </w:r>
                </w:p>
              </w:tc>
            </w:tr>
            <w:tr w14:paraId="159F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0F564CB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福建省翔远电子科技有限公司</w:t>
                  </w:r>
                </w:p>
              </w:tc>
              <w:tc>
                <w:tcPr>
                  <w:tcW w:w="0" w:type="auto"/>
                  <w:noWrap w:val="0"/>
                  <w:vAlign w:val="top"/>
                </w:tcPr>
                <w:p w14:paraId="70BD40E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软硬件销售</w:t>
                  </w:r>
                </w:p>
              </w:tc>
              <w:tc>
                <w:tcPr>
                  <w:tcW w:w="0" w:type="auto"/>
                  <w:noWrap w:val="0"/>
                  <w:vAlign w:val="top"/>
                </w:tcPr>
                <w:p w14:paraId="53C857E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1122 </w:t>
                  </w:r>
                </w:p>
              </w:tc>
              <w:tc>
                <w:tcPr>
                  <w:tcW w:w="0" w:type="auto"/>
                  <w:noWrap w:val="0"/>
                  <w:vAlign w:val="top"/>
                </w:tcPr>
                <w:p w14:paraId="7734D3B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9.92%</w:t>
                  </w:r>
                </w:p>
              </w:tc>
              <w:tc>
                <w:tcPr>
                  <w:tcW w:w="0" w:type="auto"/>
                  <w:noWrap w:val="0"/>
                  <w:vAlign w:val="top"/>
                </w:tcPr>
                <w:p w14:paraId="125B60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0" w:type="auto"/>
                  <w:noWrap w:val="0"/>
                  <w:vAlign w:val="top"/>
                </w:tcPr>
                <w:p w14:paraId="2CF85C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6个月</w:t>
                  </w:r>
                </w:p>
              </w:tc>
              <w:tc>
                <w:tcPr>
                  <w:tcW w:w="0" w:type="auto"/>
                  <w:noWrap w:val="0"/>
                  <w:vAlign w:val="center"/>
                </w:tcPr>
                <w:p w14:paraId="1E806C8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1</w:t>
                  </w:r>
                </w:p>
              </w:tc>
            </w:tr>
            <w:tr w14:paraId="5935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7AC3B3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三明水利水电工程有限公司顺昌分公司</w:t>
                  </w:r>
                </w:p>
              </w:tc>
              <w:tc>
                <w:tcPr>
                  <w:tcW w:w="0" w:type="auto"/>
                  <w:noWrap w:val="0"/>
                  <w:vAlign w:val="top"/>
                </w:tcPr>
                <w:p w14:paraId="6755E5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智慧水利</w:t>
                  </w:r>
                </w:p>
              </w:tc>
              <w:tc>
                <w:tcPr>
                  <w:tcW w:w="0" w:type="auto"/>
                  <w:noWrap w:val="0"/>
                  <w:vAlign w:val="top"/>
                </w:tcPr>
                <w:p w14:paraId="31199A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572 </w:t>
                  </w:r>
                </w:p>
              </w:tc>
              <w:tc>
                <w:tcPr>
                  <w:tcW w:w="0" w:type="auto"/>
                  <w:noWrap w:val="0"/>
                  <w:vAlign w:val="top"/>
                </w:tcPr>
                <w:p w14:paraId="52101D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5.07%</w:t>
                  </w:r>
                </w:p>
              </w:tc>
              <w:tc>
                <w:tcPr>
                  <w:tcW w:w="0" w:type="auto"/>
                  <w:noWrap w:val="0"/>
                  <w:vAlign w:val="top"/>
                </w:tcPr>
                <w:p w14:paraId="0C4C6B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0" w:type="auto"/>
                  <w:noWrap w:val="0"/>
                  <w:vAlign w:val="top"/>
                </w:tcPr>
                <w:p w14:paraId="0FED6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按进度</w:t>
                  </w:r>
                </w:p>
              </w:tc>
              <w:tc>
                <w:tcPr>
                  <w:tcW w:w="0" w:type="auto"/>
                  <w:noWrap w:val="0"/>
                  <w:vAlign w:val="center"/>
                </w:tcPr>
                <w:p w14:paraId="094437F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3</w:t>
                  </w:r>
                </w:p>
              </w:tc>
            </w:tr>
            <w:tr w14:paraId="0B36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9B8BB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福州市福清公路事业发展中心</w:t>
                  </w:r>
                </w:p>
              </w:tc>
              <w:tc>
                <w:tcPr>
                  <w:tcW w:w="0" w:type="auto"/>
                  <w:noWrap w:val="0"/>
                  <w:vAlign w:val="top"/>
                </w:tcPr>
                <w:p w14:paraId="4DE83C3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软硬件销售</w:t>
                  </w:r>
                </w:p>
              </w:tc>
              <w:tc>
                <w:tcPr>
                  <w:tcW w:w="0" w:type="auto"/>
                  <w:noWrap w:val="0"/>
                  <w:vAlign w:val="top"/>
                </w:tcPr>
                <w:p w14:paraId="5A56510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396 </w:t>
                  </w:r>
                </w:p>
              </w:tc>
              <w:tc>
                <w:tcPr>
                  <w:tcW w:w="0" w:type="auto"/>
                  <w:noWrap w:val="0"/>
                  <w:vAlign w:val="top"/>
                </w:tcPr>
                <w:p w14:paraId="5326D9D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3.51%</w:t>
                  </w:r>
                </w:p>
              </w:tc>
              <w:tc>
                <w:tcPr>
                  <w:tcW w:w="0" w:type="auto"/>
                  <w:noWrap w:val="0"/>
                  <w:vAlign w:val="top"/>
                </w:tcPr>
                <w:p w14:paraId="107C6B8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0" w:type="auto"/>
                  <w:noWrap w:val="0"/>
                  <w:vAlign w:val="top"/>
                </w:tcPr>
                <w:p w14:paraId="3A6C4C4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按进度</w:t>
                  </w:r>
                </w:p>
              </w:tc>
              <w:tc>
                <w:tcPr>
                  <w:tcW w:w="0" w:type="auto"/>
                  <w:noWrap w:val="0"/>
                  <w:vAlign w:val="center"/>
                </w:tcPr>
                <w:p w14:paraId="1156C3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1</w:t>
                  </w:r>
                </w:p>
              </w:tc>
            </w:tr>
            <w:tr w14:paraId="5809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0BD5E5C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济南展雄电子有限公司</w:t>
                  </w:r>
                </w:p>
              </w:tc>
              <w:tc>
                <w:tcPr>
                  <w:tcW w:w="0" w:type="auto"/>
                  <w:noWrap w:val="0"/>
                  <w:vAlign w:val="top"/>
                </w:tcPr>
                <w:p w14:paraId="472737E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智慧教育</w:t>
                  </w:r>
                </w:p>
              </w:tc>
              <w:tc>
                <w:tcPr>
                  <w:tcW w:w="0" w:type="auto"/>
                  <w:noWrap w:val="0"/>
                  <w:vAlign w:val="top"/>
                </w:tcPr>
                <w:p w14:paraId="1C76F5B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xml:space="preserve"> 356 </w:t>
                  </w:r>
                </w:p>
              </w:tc>
              <w:tc>
                <w:tcPr>
                  <w:tcW w:w="0" w:type="auto"/>
                  <w:noWrap w:val="0"/>
                  <w:vAlign w:val="top"/>
                </w:tcPr>
                <w:p w14:paraId="03D4084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2.99%</w:t>
                  </w:r>
                </w:p>
              </w:tc>
              <w:tc>
                <w:tcPr>
                  <w:tcW w:w="0" w:type="auto"/>
                  <w:noWrap w:val="0"/>
                  <w:vAlign w:val="top"/>
                </w:tcPr>
                <w:p w14:paraId="62D77DE9">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分期</w:t>
                  </w:r>
                </w:p>
              </w:tc>
              <w:tc>
                <w:tcPr>
                  <w:tcW w:w="0" w:type="auto"/>
                  <w:noWrap w:val="0"/>
                  <w:vAlign w:val="top"/>
                </w:tcPr>
                <w:p w14:paraId="0B7F0DC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0</w:t>
                  </w:r>
                </w:p>
              </w:tc>
              <w:tc>
                <w:tcPr>
                  <w:tcW w:w="0" w:type="auto"/>
                  <w:noWrap w:val="0"/>
                  <w:vAlign w:val="center"/>
                </w:tcPr>
                <w:p w14:paraId="4F49EA3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2</w:t>
                  </w:r>
                </w:p>
              </w:tc>
            </w:tr>
            <w:tr w14:paraId="107E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0911BC3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合计</w:t>
                  </w:r>
                </w:p>
              </w:tc>
              <w:tc>
                <w:tcPr>
                  <w:tcW w:w="0" w:type="auto"/>
                  <w:noWrap w:val="0"/>
                  <w:vAlign w:val="top"/>
                </w:tcPr>
                <w:p w14:paraId="0F1BD5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p>
              </w:tc>
              <w:tc>
                <w:tcPr>
                  <w:tcW w:w="0" w:type="auto"/>
                  <w:noWrap w:val="0"/>
                  <w:vAlign w:val="top"/>
                </w:tcPr>
                <w:p w14:paraId="26BCE16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3562</w:t>
                  </w:r>
                </w:p>
              </w:tc>
              <w:tc>
                <w:tcPr>
                  <w:tcW w:w="0" w:type="auto"/>
                  <w:noWrap w:val="0"/>
                  <w:vAlign w:val="top"/>
                </w:tcPr>
                <w:p w14:paraId="5AE6F8D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31.51%</w:t>
                  </w:r>
                </w:p>
              </w:tc>
              <w:tc>
                <w:tcPr>
                  <w:tcW w:w="0" w:type="auto"/>
                  <w:noWrap w:val="0"/>
                  <w:vAlign w:val="top"/>
                </w:tcPr>
                <w:p w14:paraId="5198069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p>
              </w:tc>
              <w:tc>
                <w:tcPr>
                  <w:tcW w:w="0" w:type="auto"/>
                  <w:noWrap w:val="0"/>
                  <w:vAlign w:val="top"/>
                </w:tcPr>
                <w:p w14:paraId="5E7B57D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lang w:val="zh-CN"/>
                    </w:rPr>
                  </w:pPr>
                </w:p>
              </w:tc>
              <w:tc>
                <w:tcPr>
                  <w:tcW w:w="0" w:type="auto"/>
                  <w:noWrap w:val="0"/>
                  <w:vAlign w:val="center"/>
                </w:tcPr>
                <w:p w14:paraId="2C66A0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lang w:val="zh-CN"/>
                    </w:rPr>
                  </w:pPr>
                </w:p>
              </w:tc>
            </w:tr>
          </w:tbl>
          <w:p w14:paraId="00533A7E">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kern w:val="0"/>
                <w:szCs w:val="21"/>
              </w:rPr>
            </w:pPr>
            <w:r>
              <w:rPr>
                <w:rFonts w:hint="eastAsia" w:ascii="宋体" w:hAnsi="宋体" w:cs="宋体"/>
                <w:b/>
                <w:bCs/>
                <w:snapToGrid w:val="0"/>
                <w:color w:val="000000"/>
                <w:kern w:val="0"/>
                <w:szCs w:val="21"/>
              </w:rPr>
              <w:t>③经营账期：</w:t>
            </w:r>
            <w:r>
              <w:rPr>
                <w:rFonts w:hint="eastAsia" w:ascii="宋体" w:hAnsi="宋体" w:cs="宋体"/>
                <w:snapToGrid w:val="0"/>
                <w:kern w:val="0"/>
                <w:szCs w:val="21"/>
                <w:u w:val="single"/>
              </w:rPr>
              <w:t>公司下游客户以院校、水利部门、国企事业单位为主，应收账款账期普遍为90–180天，部分政府类项目因财政审批流程较长，账期可至180–270天；整体回款周期偏长，但客户资质优良、付款意愿强、坏账率低。上游供应商多为头部信息通信技术供应厂商，应付账款账期约60–90天，公司具备一定议价空间，可通过账期匹配缓解资金占用压力。公司整体呈现“应收长、应付适中”的特征，经营性现金流受项目验收与财政拨款节奏影响，需关注资金周转效率，整体账期结构符合行业特性，授信风险可控。</w:t>
            </w:r>
          </w:p>
          <w:p w14:paraId="5D92A59E">
            <w:pPr>
              <w:widowControl/>
              <w:kinsoku w:val="0"/>
              <w:autoSpaceDE w:val="0"/>
              <w:autoSpaceDN w:val="0"/>
              <w:adjustRightInd w:val="0"/>
              <w:snapToGrid w:val="0"/>
              <w:spacing w:before="93" w:beforeLines="30" w:after="93" w:afterLines="30"/>
              <w:ind w:firstLine="420"/>
              <w:jc w:val="left"/>
              <w:textAlignment w:val="baseline"/>
              <w:rPr>
                <w:rFonts w:ascii="宋体" w:hAnsi="宋体" w:cs="宋体"/>
                <w:snapToGrid w:val="0"/>
                <w:kern w:val="0"/>
                <w:szCs w:val="21"/>
              </w:rPr>
            </w:pPr>
            <w:r>
              <w:rPr>
                <w:rFonts w:hint="eastAsia" w:ascii="宋体" w:hAnsi="宋体" w:cs="宋体"/>
                <w:b/>
                <w:bCs/>
                <w:snapToGrid w:val="0"/>
                <w:color w:val="000000"/>
                <w:kern w:val="0"/>
                <w:szCs w:val="21"/>
              </w:rPr>
              <w:t>5.最新在手订单情况</w:t>
            </w:r>
            <w:r>
              <w:rPr>
                <w:rFonts w:hint="eastAsia" w:ascii="宋体" w:hAnsi="宋体" w:cs="宋体"/>
                <w:b/>
                <w:bCs/>
                <w:snapToGrid w:val="0"/>
                <w:kern w:val="0"/>
                <w:szCs w:val="21"/>
              </w:rPr>
              <w:t>：</w:t>
            </w:r>
            <w:r>
              <w:rPr>
                <w:rFonts w:hint="eastAsia" w:ascii="宋体" w:hAnsi="宋体" w:cs="宋体"/>
                <w:snapToGrid w:val="0"/>
                <w:kern w:val="0"/>
                <w:szCs w:val="21"/>
              </w:rPr>
              <w:t>公司目前在手项目订单71笔，合同总金额11636万元，未回款合计金额7608万元，详见附件1。</w:t>
            </w:r>
          </w:p>
          <w:p w14:paraId="54C2E244">
            <w:pPr>
              <w:widowControl/>
              <w:kinsoku w:val="0"/>
              <w:autoSpaceDE w:val="0"/>
              <w:autoSpaceDN w:val="0"/>
              <w:adjustRightInd w:val="0"/>
              <w:snapToGrid w:val="0"/>
              <w:spacing w:before="93" w:beforeLines="30" w:after="93" w:afterLines="30"/>
              <w:ind w:firstLine="420"/>
              <w:jc w:val="left"/>
              <w:textAlignment w:val="baseline"/>
              <w:rPr>
                <w:rFonts w:ascii="宋体" w:hAnsi="宋体" w:cs="宋体"/>
                <w:b/>
                <w:bCs/>
                <w:snapToGrid w:val="0"/>
                <w:kern w:val="0"/>
                <w:szCs w:val="21"/>
              </w:rPr>
            </w:pPr>
            <w:r>
              <w:rPr>
                <w:rFonts w:hint="eastAsia" w:ascii="宋体" w:hAnsi="宋体" w:cs="宋体"/>
                <w:b/>
                <w:bCs/>
                <w:snapToGrid w:val="0"/>
                <w:kern w:val="0"/>
                <w:szCs w:val="21"/>
              </w:rPr>
              <w:t>6.借款人主要财务指标情况：</w:t>
            </w:r>
          </w:p>
          <w:p w14:paraId="0B35D798">
            <w:pPr>
              <w:ind w:firstLine="1265" w:firstLineChars="600"/>
              <w:rPr>
                <w:rFonts w:ascii="宋体" w:hAnsi="宋体" w:cs="宋体"/>
                <w:b/>
                <w:bCs/>
                <w:szCs w:val="21"/>
              </w:rPr>
            </w:pPr>
            <w:r>
              <w:rPr>
                <w:rFonts w:hint="eastAsia" w:ascii="宋体" w:hAnsi="宋体"/>
                <w:b/>
                <w:bCs/>
                <w:color w:val="000000"/>
              </w:rPr>
              <w:t>①</w:t>
            </w:r>
            <w:r>
              <w:rPr>
                <w:rFonts w:ascii="宋体" w:hAnsi="宋体"/>
                <w:b/>
                <w:bCs/>
                <w:color w:val="000000"/>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10"/>
              <w:gridCol w:w="2013"/>
              <w:gridCol w:w="1851"/>
              <w:gridCol w:w="1842"/>
            </w:tblGrid>
            <w:tr w14:paraId="1A76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14E6B1DA">
                  <w:pPr>
                    <w:widowControl/>
                    <w:jc w:val="center"/>
                    <w:textAlignment w:val="center"/>
                    <w:rPr>
                      <w:rFonts w:ascii="宋体" w:hAnsi="宋体" w:cs="宋体"/>
                      <w:color w:val="000000"/>
                      <w:sz w:val="18"/>
                      <w:szCs w:val="18"/>
                    </w:rPr>
                  </w:pPr>
                </w:p>
              </w:tc>
              <w:tc>
                <w:tcPr>
                  <w:tcW w:w="2013" w:type="dxa"/>
                  <w:noWrap w:val="0"/>
                  <w:vAlign w:val="center"/>
                </w:tcPr>
                <w:p w14:paraId="17CFE190">
                  <w:pPr>
                    <w:widowControl/>
                    <w:jc w:val="center"/>
                    <w:textAlignment w:val="center"/>
                    <w:rPr>
                      <w:rFonts w:ascii="宋体" w:hAnsi="宋体" w:cs="宋体"/>
                      <w:color w:val="000000"/>
                      <w:sz w:val="18"/>
                      <w:szCs w:val="18"/>
                    </w:rPr>
                  </w:pPr>
                  <w:r>
                    <w:rPr>
                      <w:rStyle w:val="20"/>
                      <w:rFonts w:hint="eastAsia" w:ascii="宋体" w:hAnsi="宋体" w:cs="宋体"/>
                      <w:sz w:val="18"/>
                      <w:szCs w:val="18"/>
                    </w:rPr>
                    <w:t>2024</w:t>
                  </w:r>
                  <w:r>
                    <w:rPr>
                      <w:rStyle w:val="20"/>
                      <w:rFonts w:hint="eastAsia" w:ascii="宋体" w:hAnsi="宋体" w:eastAsia="宋体" w:cs="宋体"/>
                      <w:sz w:val="18"/>
                      <w:szCs w:val="18"/>
                    </w:rPr>
                    <w:t>年</w:t>
                  </w:r>
                </w:p>
              </w:tc>
              <w:tc>
                <w:tcPr>
                  <w:tcW w:w="1851" w:type="dxa"/>
                  <w:noWrap w:val="0"/>
                  <w:vAlign w:val="center"/>
                </w:tcPr>
                <w:p w14:paraId="57E0DF28">
                  <w:pPr>
                    <w:widowControl/>
                    <w:jc w:val="center"/>
                    <w:textAlignment w:val="center"/>
                    <w:rPr>
                      <w:rFonts w:ascii="宋体" w:hAnsi="宋体" w:cs="宋体"/>
                      <w:color w:val="000000"/>
                      <w:sz w:val="18"/>
                      <w:szCs w:val="18"/>
                    </w:rPr>
                  </w:pPr>
                  <w:r>
                    <w:rPr>
                      <w:rStyle w:val="20"/>
                      <w:rFonts w:hint="eastAsia" w:ascii="宋体" w:hAnsi="宋体" w:cs="宋体"/>
                      <w:sz w:val="18"/>
                      <w:szCs w:val="18"/>
                    </w:rPr>
                    <w:t>2025</w:t>
                  </w:r>
                  <w:r>
                    <w:rPr>
                      <w:rStyle w:val="20"/>
                      <w:rFonts w:hint="eastAsia" w:ascii="宋体" w:hAnsi="宋体" w:eastAsia="宋体" w:cs="宋体"/>
                      <w:sz w:val="18"/>
                      <w:szCs w:val="18"/>
                    </w:rPr>
                    <w:t>年</w:t>
                  </w:r>
                </w:p>
              </w:tc>
              <w:tc>
                <w:tcPr>
                  <w:tcW w:w="1842" w:type="dxa"/>
                  <w:noWrap w:val="0"/>
                  <w:vAlign w:val="center"/>
                </w:tcPr>
                <w:p w14:paraId="7A1EB664">
                  <w:pPr>
                    <w:widowControl/>
                    <w:jc w:val="center"/>
                    <w:textAlignment w:val="center"/>
                    <w:rPr>
                      <w:rFonts w:ascii="宋体" w:hAnsi="宋体" w:cs="宋体"/>
                      <w:color w:val="000000"/>
                      <w:kern w:val="0"/>
                      <w:sz w:val="18"/>
                      <w:szCs w:val="18"/>
                    </w:rPr>
                  </w:pPr>
                  <w:r>
                    <w:rPr>
                      <w:rFonts w:hint="eastAsia" w:ascii="宋体" w:hAnsi="宋体" w:cs="宋体"/>
                      <w:color w:val="000000"/>
                      <w:kern w:val="0"/>
                      <w:sz w:val="18"/>
                      <w:szCs w:val="18"/>
                    </w:rPr>
                    <w:t>补充说明：（比对财报与纳税申报表</w:t>
                  </w:r>
                  <w:r>
                    <w:rPr>
                      <w:rFonts w:hint="eastAsia" w:ascii="宋体" w:hAnsi="宋体" w:cs="宋体"/>
                      <w:sz w:val="18"/>
                      <w:szCs w:val="18"/>
                    </w:rPr>
                    <w:t>数据，如不一致，请说明原因）</w:t>
                  </w:r>
                </w:p>
              </w:tc>
            </w:tr>
            <w:tr w14:paraId="1F5D3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73D09D4F">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rPr>
                    <w:t>财报销售收入</w:t>
                  </w:r>
                </w:p>
              </w:tc>
              <w:tc>
                <w:tcPr>
                  <w:tcW w:w="2013" w:type="dxa"/>
                  <w:noWrap w:val="0"/>
                  <w:vAlign w:val="center"/>
                </w:tcPr>
                <w:p w14:paraId="2947665B">
                  <w:pPr>
                    <w:jc w:val="center"/>
                    <w:rPr>
                      <w:rFonts w:hint="eastAsia" w:ascii="宋体" w:hAnsi="宋体" w:cs="宋体"/>
                      <w:color w:val="000000"/>
                      <w:sz w:val="18"/>
                      <w:szCs w:val="18"/>
                    </w:rPr>
                  </w:pPr>
                  <w:r>
                    <w:rPr>
                      <w:rFonts w:hint="eastAsia" w:ascii="宋体" w:hAnsi="宋体" w:cs="宋体"/>
                      <w:color w:val="000000"/>
                      <w:sz w:val="18"/>
                      <w:szCs w:val="18"/>
                    </w:rPr>
                    <w:t>8712</w:t>
                  </w:r>
                </w:p>
              </w:tc>
              <w:tc>
                <w:tcPr>
                  <w:tcW w:w="1851" w:type="dxa"/>
                  <w:noWrap w:val="0"/>
                  <w:vAlign w:val="center"/>
                </w:tcPr>
                <w:p w14:paraId="2F657562">
                  <w:pPr>
                    <w:jc w:val="center"/>
                    <w:rPr>
                      <w:rFonts w:hint="eastAsia" w:ascii="宋体" w:hAnsi="宋体" w:cs="宋体"/>
                      <w:color w:val="000000"/>
                      <w:sz w:val="18"/>
                      <w:szCs w:val="18"/>
                    </w:rPr>
                  </w:pPr>
                  <w:r>
                    <w:rPr>
                      <w:rFonts w:hint="eastAsia" w:ascii="宋体" w:hAnsi="宋体" w:cs="宋体"/>
                      <w:color w:val="000000"/>
                      <w:sz w:val="18"/>
                      <w:szCs w:val="18"/>
                    </w:rPr>
                    <w:t>10010</w:t>
                  </w:r>
                </w:p>
              </w:tc>
              <w:tc>
                <w:tcPr>
                  <w:tcW w:w="1842" w:type="dxa"/>
                  <w:vMerge w:val="restart"/>
                  <w:noWrap w:val="0"/>
                  <w:vAlign w:val="center"/>
                </w:tcPr>
                <w:p w14:paraId="7F898634">
                  <w:pPr>
                    <w:jc w:val="center"/>
                    <w:rPr>
                      <w:rFonts w:ascii="宋体" w:hAnsi="宋体" w:cs="宋体"/>
                      <w:color w:val="000000"/>
                      <w:sz w:val="18"/>
                      <w:szCs w:val="18"/>
                    </w:rPr>
                  </w:pPr>
                  <w:r>
                    <w:rPr>
                      <w:rFonts w:hint="eastAsia" w:ascii="宋体" w:hAnsi="宋体" w:cs="宋体"/>
                      <w:color w:val="000000"/>
                      <w:sz w:val="18"/>
                      <w:szCs w:val="18"/>
                    </w:rPr>
                    <w:t>会计准则与税法规定不一致导致的正常纳税调整，公司财务核算真实、合法</w:t>
                  </w:r>
                </w:p>
              </w:tc>
            </w:tr>
            <w:tr w14:paraId="42511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56933258">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rPr>
                    <w:t>纳税申报表合计收入</w:t>
                  </w:r>
                </w:p>
              </w:tc>
              <w:tc>
                <w:tcPr>
                  <w:tcW w:w="2013" w:type="dxa"/>
                  <w:noWrap w:val="0"/>
                  <w:vAlign w:val="center"/>
                </w:tcPr>
                <w:p w14:paraId="7FE9A678">
                  <w:pPr>
                    <w:jc w:val="center"/>
                    <w:rPr>
                      <w:rFonts w:hint="eastAsia" w:ascii="宋体" w:hAnsi="宋体" w:cs="宋体"/>
                      <w:color w:val="000000"/>
                      <w:sz w:val="18"/>
                      <w:szCs w:val="18"/>
                    </w:rPr>
                  </w:pPr>
                  <w:r>
                    <w:rPr>
                      <w:rFonts w:hint="eastAsia" w:ascii="宋体" w:hAnsi="宋体" w:cs="宋体"/>
                      <w:color w:val="000000"/>
                      <w:sz w:val="18"/>
                      <w:szCs w:val="18"/>
                    </w:rPr>
                    <w:t>6424</w:t>
                  </w:r>
                </w:p>
              </w:tc>
              <w:tc>
                <w:tcPr>
                  <w:tcW w:w="1851" w:type="dxa"/>
                  <w:noWrap w:val="0"/>
                  <w:vAlign w:val="center"/>
                </w:tcPr>
                <w:p w14:paraId="21845CC0">
                  <w:pPr>
                    <w:jc w:val="center"/>
                    <w:rPr>
                      <w:rFonts w:hint="eastAsia" w:ascii="宋体" w:hAnsi="宋体" w:cs="宋体"/>
                      <w:color w:val="000000"/>
                      <w:sz w:val="18"/>
                      <w:szCs w:val="18"/>
                    </w:rPr>
                  </w:pPr>
                  <w:r>
                    <w:rPr>
                      <w:rFonts w:hint="eastAsia" w:ascii="宋体" w:hAnsi="宋体" w:cs="宋体"/>
                      <w:color w:val="000000"/>
                      <w:sz w:val="18"/>
                      <w:szCs w:val="18"/>
                    </w:rPr>
                    <w:t>9114</w:t>
                  </w:r>
                </w:p>
              </w:tc>
              <w:tc>
                <w:tcPr>
                  <w:tcW w:w="1842" w:type="dxa"/>
                  <w:vMerge w:val="continue"/>
                  <w:noWrap w:val="0"/>
                  <w:vAlign w:val="center"/>
                </w:tcPr>
                <w:p w14:paraId="31CDB221">
                  <w:pPr>
                    <w:jc w:val="center"/>
                    <w:rPr>
                      <w:rFonts w:ascii="宋体" w:hAnsi="宋体" w:cs="宋体"/>
                      <w:color w:val="000000"/>
                      <w:sz w:val="18"/>
                      <w:szCs w:val="18"/>
                      <w:highlight w:val="yellow"/>
                    </w:rPr>
                  </w:pPr>
                </w:p>
              </w:tc>
            </w:tr>
            <w:tr w14:paraId="587C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3E754465">
                  <w:pPr>
                    <w:widowControl/>
                    <w:jc w:val="center"/>
                    <w:textAlignment w:val="center"/>
                    <w:rPr>
                      <w:rFonts w:ascii="宋体" w:hAnsi="宋体" w:cs="宋体"/>
                      <w:color w:val="000000"/>
                      <w:sz w:val="18"/>
                      <w:szCs w:val="18"/>
                    </w:rPr>
                  </w:pPr>
                  <w:r>
                    <w:rPr>
                      <w:rFonts w:hint="eastAsia" w:ascii="宋体" w:hAnsi="宋体" w:cs="宋体"/>
                      <w:color w:val="000000"/>
                      <w:kern w:val="0"/>
                      <w:sz w:val="18"/>
                      <w:szCs w:val="18"/>
                    </w:rPr>
                    <w:t>纳税收入占财报百分比</w:t>
                  </w:r>
                </w:p>
              </w:tc>
              <w:tc>
                <w:tcPr>
                  <w:tcW w:w="2013" w:type="dxa"/>
                  <w:noWrap w:val="0"/>
                  <w:vAlign w:val="center"/>
                </w:tcPr>
                <w:p w14:paraId="7DBD4835">
                  <w:pPr>
                    <w:jc w:val="center"/>
                    <w:rPr>
                      <w:rFonts w:ascii="宋体" w:hAnsi="宋体" w:cs="宋体"/>
                      <w:color w:val="000000"/>
                      <w:sz w:val="18"/>
                      <w:szCs w:val="18"/>
                    </w:rPr>
                  </w:pPr>
                  <w:r>
                    <w:rPr>
                      <w:rFonts w:hint="eastAsia" w:ascii="宋体" w:hAnsi="宋体" w:cs="宋体"/>
                      <w:color w:val="000000"/>
                      <w:sz w:val="18"/>
                      <w:szCs w:val="18"/>
                    </w:rPr>
                    <w:t>74%</w:t>
                  </w:r>
                </w:p>
              </w:tc>
              <w:tc>
                <w:tcPr>
                  <w:tcW w:w="1851" w:type="dxa"/>
                  <w:noWrap w:val="0"/>
                  <w:vAlign w:val="center"/>
                </w:tcPr>
                <w:p w14:paraId="633A095D">
                  <w:pPr>
                    <w:jc w:val="center"/>
                    <w:rPr>
                      <w:rFonts w:ascii="宋体" w:hAnsi="宋体" w:cs="宋体"/>
                      <w:color w:val="000000"/>
                      <w:sz w:val="18"/>
                      <w:szCs w:val="18"/>
                    </w:rPr>
                  </w:pPr>
                  <w:r>
                    <w:rPr>
                      <w:rFonts w:hint="eastAsia" w:ascii="宋体" w:hAnsi="宋体" w:cs="宋体"/>
                      <w:color w:val="000000"/>
                      <w:sz w:val="18"/>
                      <w:szCs w:val="18"/>
                    </w:rPr>
                    <w:t>91%</w:t>
                  </w:r>
                </w:p>
              </w:tc>
              <w:tc>
                <w:tcPr>
                  <w:tcW w:w="1842" w:type="dxa"/>
                  <w:vMerge w:val="continue"/>
                  <w:noWrap w:val="0"/>
                  <w:vAlign w:val="center"/>
                </w:tcPr>
                <w:p w14:paraId="7086B268">
                  <w:pPr>
                    <w:jc w:val="center"/>
                    <w:rPr>
                      <w:rFonts w:ascii="宋体" w:hAnsi="宋体" w:cs="宋体"/>
                      <w:color w:val="000000"/>
                      <w:sz w:val="18"/>
                      <w:szCs w:val="18"/>
                      <w:highlight w:val="yellow"/>
                    </w:rPr>
                  </w:pPr>
                </w:p>
              </w:tc>
            </w:tr>
          </w:tbl>
          <w:p w14:paraId="49819236">
            <w:pPr>
              <w:ind w:firstLine="1265" w:firstLineChars="600"/>
              <w:rPr>
                <w:rFonts w:ascii="宋体" w:hAnsi="宋体"/>
                <w:b/>
                <w:bCs/>
                <w:color w:val="000000"/>
              </w:rPr>
            </w:pPr>
            <w:r>
              <w:rPr>
                <w:rFonts w:hint="eastAsia" w:ascii="宋体" w:hAnsi="宋体"/>
                <w:b/>
                <w:bCs/>
                <w:color w:val="000000"/>
              </w:rPr>
              <w:t>②</w:t>
            </w:r>
            <w:r>
              <w:rPr>
                <w:rFonts w:ascii="宋体" w:hAnsi="宋体"/>
                <w:b/>
                <w:bCs/>
                <w:color w:val="000000"/>
              </w:rPr>
              <w:t>财务真实性验证(银行流水验证)</w:t>
            </w:r>
          </w:p>
          <w:tbl>
            <w:tblPr>
              <w:tblStyle w:val="13"/>
              <w:tblW w:w="705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957"/>
              <w:gridCol w:w="1037"/>
              <w:gridCol w:w="2286"/>
              <w:gridCol w:w="1516"/>
              <w:gridCol w:w="1254"/>
            </w:tblGrid>
            <w:tr w14:paraId="3B887A0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trHeight w:val="559" w:hRule="atLeast"/>
                <w:jc w:val="center"/>
              </w:trPr>
              <w:tc>
                <w:tcPr>
                  <w:tcW w:w="957" w:type="dxa"/>
                  <w:noWrap w:val="0"/>
                  <w:vAlign w:val="center"/>
                </w:tcPr>
                <w:p w14:paraId="5EC9DE3F">
                  <w:pPr>
                    <w:widowControl/>
                    <w:jc w:val="center"/>
                    <w:textAlignment w:val="center"/>
                    <w:rPr>
                      <w:rFonts w:ascii="宋体" w:hAnsi="宋体" w:cs="宋体"/>
                      <w:color w:val="000000"/>
                      <w:sz w:val="18"/>
                      <w:szCs w:val="18"/>
                    </w:rPr>
                  </w:pPr>
                  <w:r>
                    <w:rPr>
                      <w:rFonts w:hint="eastAsia" w:ascii="宋体" w:hAnsi="宋体" w:cs="宋体"/>
                      <w:color w:val="000000"/>
                      <w:sz w:val="18"/>
                      <w:szCs w:val="18"/>
                    </w:rPr>
                    <w:t>开户行</w:t>
                  </w:r>
                </w:p>
              </w:tc>
              <w:tc>
                <w:tcPr>
                  <w:tcW w:w="1037" w:type="dxa"/>
                  <w:noWrap w:val="0"/>
                  <w:vAlign w:val="center"/>
                </w:tcPr>
                <w:p w14:paraId="6338A7F0">
                  <w:pPr>
                    <w:widowControl/>
                    <w:jc w:val="center"/>
                    <w:textAlignment w:val="center"/>
                    <w:rPr>
                      <w:rFonts w:ascii="宋体" w:hAnsi="宋体" w:cs="宋体"/>
                      <w:color w:val="000000"/>
                      <w:sz w:val="18"/>
                      <w:szCs w:val="18"/>
                    </w:rPr>
                  </w:pPr>
                  <w:r>
                    <w:rPr>
                      <w:rFonts w:hint="eastAsia" w:ascii="宋体" w:hAnsi="宋体" w:cs="宋体"/>
                      <w:color w:val="000000"/>
                      <w:sz w:val="18"/>
                      <w:szCs w:val="18"/>
                    </w:rPr>
                    <w:t>户名</w:t>
                  </w:r>
                </w:p>
              </w:tc>
              <w:tc>
                <w:tcPr>
                  <w:tcW w:w="2286" w:type="dxa"/>
                  <w:noWrap w:val="0"/>
                  <w:vAlign w:val="center"/>
                </w:tcPr>
                <w:p w14:paraId="219943DF">
                  <w:pPr>
                    <w:widowControl/>
                    <w:jc w:val="center"/>
                    <w:textAlignment w:val="center"/>
                    <w:rPr>
                      <w:rFonts w:ascii="宋体" w:hAnsi="宋体" w:cs="宋体"/>
                      <w:color w:val="000000"/>
                      <w:sz w:val="18"/>
                      <w:szCs w:val="18"/>
                    </w:rPr>
                  </w:pPr>
                  <w:r>
                    <w:rPr>
                      <w:rFonts w:hint="eastAsia" w:ascii="宋体" w:hAnsi="宋体" w:cs="宋体"/>
                      <w:color w:val="000000"/>
                      <w:sz w:val="18"/>
                      <w:szCs w:val="18"/>
                    </w:rPr>
                    <w:t>账号</w:t>
                  </w:r>
                </w:p>
              </w:tc>
              <w:tc>
                <w:tcPr>
                  <w:tcW w:w="1516" w:type="dxa"/>
                  <w:noWrap w:val="0"/>
                  <w:vAlign w:val="center"/>
                </w:tcPr>
                <w:p w14:paraId="522A93DC">
                  <w:pPr>
                    <w:widowControl/>
                    <w:jc w:val="center"/>
                    <w:textAlignment w:val="center"/>
                    <w:rPr>
                      <w:rFonts w:ascii="宋体" w:hAnsi="宋体" w:cs="宋体"/>
                      <w:color w:val="000000"/>
                      <w:sz w:val="18"/>
                      <w:szCs w:val="18"/>
                    </w:rPr>
                  </w:pPr>
                  <w:r>
                    <w:rPr>
                      <w:rFonts w:hint="eastAsia" w:ascii="宋体" w:hAnsi="宋体" w:cs="宋体"/>
                      <w:color w:val="000000"/>
                      <w:sz w:val="18"/>
                      <w:szCs w:val="18"/>
                    </w:rPr>
                    <w:t>时间段（上一完整年度及本年度）</w:t>
                  </w:r>
                </w:p>
              </w:tc>
              <w:tc>
                <w:tcPr>
                  <w:tcW w:w="1254" w:type="dxa"/>
                  <w:noWrap w:val="0"/>
                  <w:vAlign w:val="center"/>
                </w:tcPr>
                <w:p w14:paraId="2DDCAAF3">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流入量（万元）</w:t>
                  </w:r>
                </w:p>
              </w:tc>
            </w:tr>
            <w:tr w14:paraId="00F2BFE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957" w:type="dxa"/>
                  <w:noWrap w:val="0"/>
                  <w:vAlign w:val="center"/>
                </w:tcPr>
                <w:p w14:paraId="1D4AF52F">
                  <w:pPr>
                    <w:widowControl/>
                    <w:jc w:val="center"/>
                    <w:textAlignment w:val="center"/>
                    <w:rPr>
                      <w:rFonts w:ascii="宋体" w:hAnsi="宋体" w:cs="宋体"/>
                      <w:color w:val="000000"/>
                      <w:sz w:val="18"/>
                      <w:szCs w:val="18"/>
                    </w:rPr>
                  </w:pPr>
                  <w:r>
                    <w:rPr>
                      <w:rFonts w:hint="eastAsia" w:ascii="宋体" w:hAnsi="宋体" w:cs="宋体"/>
                      <w:color w:val="000000"/>
                      <w:sz w:val="18"/>
                      <w:szCs w:val="18"/>
                    </w:rPr>
                    <w:t>广发银行</w:t>
                  </w:r>
                </w:p>
              </w:tc>
              <w:tc>
                <w:tcPr>
                  <w:tcW w:w="1037" w:type="dxa"/>
                  <w:vMerge w:val="restart"/>
                  <w:noWrap w:val="0"/>
                  <w:vAlign w:val="center"/>
                </w:tcPr>
                <w:p w14:paraId="757C01EE">
                  <w:pPr>
                    <w:widowControl/>
                    <w:jc w:val="center"/>
                    <w:textAlignment w:val="center"/>
                    <w:rPr>
                      <w:rFonts w:ascii="宋体" w:hAnsi="宋体" w:cs="宋体"/>
                      <w:color w:val="000000"/>
                      <w:sz w:val="18"/>
                      <w:szCs w:val="18"/>
                    </w:rPr>
                  </w:pPr>
                  <w:r>
                    <w:rPr>
                      <w:rFonts w:hint="eastAsia" w:ascii="宋体" w:hAnsi="宋体" w:cs="宋体"/>
                      <w:color w:val="000000"/>
                      <w:sz w:val="18"/>
                      <w:szCs w:val="18"/>
                    </w:rPr>
                    <w:t>福建中锐网络股份有限公司</w:t>
                  </w:r>
                </w:p>
              </w:tc>
              <w:tc>
                <w:tcPr>
                  <w:tcW w:w="2286" w:type="dxa"/>
                  <w:noWrap w:val="0"/>
                  <w:vAlign w:val="center"/>
                </w:tcPr>
                <w:p w14:paraId="3390A31F">
                  <w:pPr>
                    <w:widowControl/>
                    <w:jc w:val="center"/>
                    <w:textAlignment w:val="center"/>
                    <w:rPr>
                      <w:rFonts w:ascii="宋体" w:hAnsi="宋体" w:cs="宋体"/>
                      <w:color w:val="000000"/>
                      <w:sz w:val="18"/>
                      <w:szCs w:val="18"/>
                    </w:rPr>
                  </w:pPr>
                  <w:r>
                    <w:rPr>
                      <w:rFonts w:ascii="宋体" w:hAnsi="宋体" w:cs="宋体"/>
                      <w:color w:val="000000"/>
                      <w:sz w:val="18"/>
                      <w:szCs w:val="18"/>
                    </w:rPr>
                    <w:t>9550880237726300113</w:t>
                  </w:r>
                </w:p>
              </w:tc>
              <w:tc>
                <w:tcPr>
                  <w:tcW w:w="1516" w:type="dxa"/>
                  <w:noWrap w:val="0"/>
                  <w:vAlign w:val="center"/>
                </w:tcPr>
                <w:p w14:paraId="79416ACD">
                  <w:pPr>
                    <w:widowControl/>
                    <w:jc w:val="center"/>
                    <w:textAlignment w:val="center"/>
                    <w:rPr>
                      <w:rFonts w:ascii="宋体" w:hAnsi="宋体" w:cs="宋体"/>
                      <w:color w:val="000000"/>
                      <w:sz w:val="18"/>
                      <w:szCs w:val="18"/>
                    </w:rPr>
                  </w:pPr>
                  <w:r>
                    <w:rPr>
                      <w:rFonts w:hint="eastAsia" w:ascii="宋体" w:hAnsi="宋体" w:cs="宋体"/>
                      <w:color w:val="000000"/>
                      <w:sz w:val="18"/>
                      <w:szCs w:val="18"/>
                    </w:rPr>
                    <w:t>2025年9月至2026年2月</w:t>
                  </w:r>
                </w:p>
              </w:tc>
              <w:tc>
                <w:tcPr>
                  <w:tcW w:w="1254" w:type="dxa"/>
                  <w:noWrap w:val="0"/>
                  <w:vAlign w:val="center"/>
                </w:tcPr>
                <w:p w14:paraId="4C486989">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511.3</w:t>
                  </w:r>
                </w:p>
              </w:tc>
            </w:tr>
            <w:tr w14:paraId="492EB66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957" w:type="dxa"/>
                  <w:noWrap w:val="0"/>
                  <w:vAlign w:val="center"/>
                </w:tcPr>
                <w:p w14:paraId="23F1E265">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海峡银行</w:t>
                  </w:r>
                </w:p>
              </w:tc>
              <w:tc>
                <w:tcPr>
                  <w:tcW w:w="1037" w:type="dxa"/>
                  <w:vMerge w:val="continue"/>
                  <w:noWrap w:val="0"/>
                  <w:vAlign w:val="center"/>
                </w:tcPr>
                <w:p w14:paraId="196DD94D">
                  <w:pPr>
                    <w:widowControl/>
                    <w:jc w:val="center"/>
                    <w:textAlignment w:val="center"/>
                    <w:rPr>
                      <w:rFonts w:ascii="宋体" w:hAnsi="宋体" w:cs="宋体"/>
                      <w:color w:val="000000"/>
                      <w:sz w:val="18"/>
                      <w:szCs w:val="18"/>
                    </w:rPr>
                  </w:pPr>
                </w:p>
              </w:tc>
              <w:tc>
                <w:tcPr>
                  <w:tcW w:w="2286" w:type="dxa"/>
                  <w:noWrap w:val="0"/>
                  <w:vAlign w:val="center"/>
                </w:tcPr>
                <w:p w14:paraId="2590DF9E">
                  <w:pPr>
                    <w:widowControl/>
                    <w:jc w:val="center"/>
                    <w:textAlignment w:val="center"/>
                    <w:rPr>
                      <w:rFonts w:ascii="宋体" w:hAnsi="宋体" w:cs="宋体"/>
                      <w:color w:val="000000"/>
                      <w:sz w:val="18"/>
                      <w:szCs w:val="18"/>
                    </w:rPr>
                  </w:pPr>
                  <w:r>
                    <w:rPr>
                      <w:rFonts w:ascii="宋体" w:hAnsi="宋体" w:cs="宋体"/>
                      <w:color w:val="000000"/>
                      <w:sz w:val="18"/>
                      <w:szCs w:val="18"/>
                    </w:rPr>
                    <w:t>100055931950010002</w:t>
                  </w:r>
                </w:p>
              </w:tc>
              <w:tc>
                <w:tcPr>
                  <w:tcW w:w="1516" w:type="dxa"/>
                  <w:noWrap w:val="0"/>
                  <w:vAlign w:val="center"/>
                </w:tcPr>
                <w:p w14:paraId="1CC1863E">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2025年9月至2026年2月</w:t>
                  </w:r>
                </w:p>
              </w:tc>
              <w:tc>
                <w:tcPr>
                  <w:tcW w:w="1254" w:type="dxa"/>
                  <w:noWrap w:val="0"/>
                  <w:vAlign w:val="center"/>
                </w:tcPr>
                <w:p w14:paraId="4BA11894">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1082.5</w:t>
                  </w:r>
                </w:p>
              </w:tc>
            </w:tr>
            <w:tr w14:paraId="012E62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957" w:type="dxa"/>
                  <w:noWrap w:val="0"/>
                  <w:vAlign w:val="center"/>
                </w:tcPr>
                <w:p w14:paraId="4131BE66">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厦门国际银行</w:t>
                  </w:r>
                </w:p>
              </w:tc>
              <w:tc>
                <w:tcPr>
                  <w:tcW w:w="1037" w:type="dxa"/>
                  <w:vMerge w:val="continue"/>
                  <w:noWrap w:val="0"/>
                  <w:vAlign w:val="center"/>
                </w:tcPr>
                <w:p w14:paraId="24AD004E">
                  <w:pPr>
                    <w:widowControl/>
                    <w:jc w:val="center"/>
                    <w:textAlignment w:val="center"/>
                    <w:rPr>
                      <w:rFonts w:ascii="宋体" w:hAnsi="宋体" w:cs="宋体"/>
                      <w:color w:val="000000"/>
                      <w:sz w:val="18"/>
                      <w:szCs w:val="18"/>
                    </w:rPr>
                  </w:pPr>
                </w:p>
              </w:tc>
              <w:tc>
                <w:tcPr>
                  <w:tcW w:w="2286" w:type="dxa"/>
                  <w:noWrap w:val="0"/>
                  <w:vAlign w:val="center"/>
                </w:tcPr>
                <w:p w14:paraId="0689039F">
                  <w:pPr>
                    <w:widowControl/>
                    <w:jc w:val="center"/>
                    <w:textAlignment w:val="center"/>
                    <w:rPr>
                      <w:rFonts w:ascii="宋体" w:hAnsi="宋体" w:cs="宋体"/>
                      <w:color w:val="000000"/>
                      <w:sz w:val="18"/>
                      <w:szCs w:val="18"/>
                    </w:rPr>
                  </w:pPr>
                  <w:r>
                    <w:rPr>
                      <w:rFonts w:ascii="宋体" w:hAnsi="宋体" w:cs="宋体"/>
                      <w:color w:val="000000"/>
                      <w:sz w:val="18"/>
                      <w:szCs w:val="18"/>
                    </w:rPr>
                    <w:t>8008100000002342</w:t>
                  </w:r>
                </w:p>
              </w:tc>
              <w:tc>
                <w:tcPr>
                  <w:tcW w:w="1516" w:type="dxa"/>
                  <w:noWrap w:val="0"/>
                  <w:vAlign w:val="center"/>
                </w:tcPr>
                <w:p w14:paraId="4DC480D3">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2025年9月至2026年2月</w:t>
                  </w:r>
                </w:p>
              </w:tc>
              <w:tc>
                <w:tcPr>
                  <w:tcW w:w="1254" w:type="dxa"/>
                  <w:noWrap w:val="0"/>
                  <w:vAlign w:val="center"/>
                </w:tcPr>
                <w:p w14:paraId="39D05F22">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1152.7</w:t>
                  </w:r>
                </w:p>
              </w:tc>
            </w:tr>
            <w:tr w14:paraId="115EDA6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957" w:type="dxa"/>
                  <w:noWrap w:val="0"/>
                  <w:vAlign w:val="center"/>
                </w:tcPr>
                <w:p w14:paraId="0927CFA4">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兴业银行</w:t>
                  </w:r>
                </w:p>
              </w:tc>
              <w:tc>
                <w:tcPr>
                  <w:tcW w:w="1037" w:type="dxa"/>
                  <w:vMerge w:val="continue"/>
                  <w:noWrap w:val="0"/>
                  <w:vAlign w:val="center"/>
                </w:tcPr>
                <w:p w14:paraId="62965578">
                  <w:pPr>
                    <w:widowControl/>
                    <w:jc w:val="center"/>
                    <w:textAlignment w:val="center"/>
                    <w:rPr>
                      <w:rFonts w:ascii="宋体" w:hAnsi="宋体" w:cs="宋体"/>
                      <w:color w:val="000000"/>
                      <w:sz w:val="18"/>
                      <w:szCs w:val="18"/>
                    </w:rPr>
                  </w:pPr>
                </w:p>
              </w:tc>
              <w:tc>
                <w:tcPr>
                  <w:tcW w:w="2286" w:type="dxa"/>
                  <w:noWrap w:val="0"/>
                  <w:vAlign w:val="center"/>
                </w:tcPr>
                <w:p w14:paraId="42DFB64D">
                  <w:pPr>
                    <w:widowControl/>
                    <w:jc w:val="center"/>
                    <w:textAlignment w:val="center"/>
                    <w:rPr>
                      <w:rFonts w:ascii="宋体" w:hAnsi="宋体" w:cs="宋体"/>
                      <w:color w:val="000000"/>
                      <w:sz w:val="18"/>
                      <w:szCs w:val="18"/>
                    </w:rPr>
                  </w:pPr>
                  <w:r>
                    <w:rPr>
                      <w:rFonts w:ascii="宋体" w:hAnsi="宋体" w:cs="宋体"/>
                      <w:color w:val="000000"/>
                      <w:sz w:val="18"/>
                      <w:szCs w:val="18"/>
                    </w:rPr>
                    <w:t>118110100100295491</w:t>
                  </w:r>
                </w:p>
              </w:tc>
              <w:tc>
                <w:tcPr>
                  <w:tcW w:w="1516" w:type="dxa"/>
                  <w:noWrap w:val="0"/>
                  <w:vAlign w:val="center"/>
                </w:tcPr>
                <w:p w14:paraId="64198018">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2025年9月至2026年2月</w:t>
                  </w:r>
                </w:p>
              </w:tc>
              <w:tc>
                <w:tcPr>
                  <w:tcW w:w="1254" w:type="dxa"/>
                  <w:noWrap w:val="0"/>
                  <w:vAlign w:val="center"/>
                </w:tcPr>
                <w:p w14:paraId="714F498D">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2100.5</w:t>
                  </w:r>
                </w:p>
              </w:tc>
            </w:tr>
            <w:tr w14:paraId="751A84E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957" w:type="dxa"/>
                  <w:noWrap w:val="0"/>
                  <w:vAlign w:val="center"/>
                </w:tcPr>
                <w:p w14:paraId="38C3C9FF">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中国银行</w:t>
                  </w:r>
                </w:p>
              </w:tc>
              <w:tc>
                <w:tcPr>
                  <w:tcW w:w="1037" w:type="dxa"/>
                  <w:vMerge w:val="continue"/>
                  <w:noWrap w:val="0"/>
                  <w:vAlign w:val="center"/>
                </w:tcPr>
                <w:p w14:paraId="7E43A3DA">
                  <w:pPr>
                    <w:widowControl/>
                    <w:jc w:val="center"/>
                    <w:textAlignment w:val="center"/>
                    <w:rPr>
                      <w:rFonts w:ascii="宋体" w:hAnsi="宋体" w:cs="宋体"/>
                      <w:color w:val="000000"/>
                      <w:sz w:val="18"/>
                      <w:szCs w:val="18"/>
                    </w:rPr>
                  </w:pPr>
                </w:p>
              </w:tc>
              <w:tc>
                <w:tcPr>
                  <w:tcW w:w="2286" w:type="dxa"/>
                  <w:noWrap w:val="0"/>
                  <w:vAlign w:val="center"/>
                </w:tcPr>
                <w:p w14:paraId="17C7C378">
                  <w:pPr>
                    <w:widowControl/>
                    <w:jc w:val="center"/>
                    <w:textAlignment w:val="center"/>
                    <w:rPr>
                      <w:rFonts w:ascii="宋体" w:hAnsi="宋体" w:cs="宋体"/>
                      <w:color w:val="000000"/>
                      <w:sz w:val="18"/>
                      <w:szCs w:val="18"/>
                    </w:rPr>
                  </w:pPr>
                  <w:r>
                    <w:rPr>
                      <w:rFonts w:ascii="宋体" w:hAnsi="宋体" w:cs="宋体"/>
                      <w:color w:val="000000"/>
                      <w:sz w:val="18"/>
                      <w:szCs w:val="18"/>
                    </w:rPr>
                    <w:t>409161646186</w:t>
                  </w:r>
                </w:p>
              </w:tc>
              <w:tc>
                <w:tcPr>
                  <w:tcW w:w="1516" w:type="dxa"/>
                  <w:noWrap w:val="0"/>
                  <w:vAlign w:val="center"/>
                </w:tcPr>
                <w:p w14:paraId="598BF6B2">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2025年9月至2026年2月</w:t>
                  </w:r>
                </w:p>
              </w:tc>
              <w:tc>
                <w:tcPr>
                  <w:tcW w:w="1254" w:type="dxa"/>
                  <w:noWrap w:val="0"/>
                  <w:vAlign w:val="center"/>
                </w:tcPr>
                <w:p w14:paraId="1BAAB666">
                  <w:pPr>
                    <w:widowControl/>
                    <w:jc w:val="center"/>
                    <w:textAlignment w:val="center"/>
                    <w:rPr>
                      <w:rFonts w:hint="eastAsia" w:ascii="宋体" w:hAnsi="宋体" w:cs="宋体"/>
                      <w:color w:val="000000"/>
                      <w:sz w:val="18"/>
                      <w:szCs w:val="18"/>
                    </w:rPr>
                  </w:pPr>
                  <w:r>
                    <w:rPr>
                      <w:rFonts w:hint="eastAsia" w:ascii="宋体" w:hAnsi="宋体" w:cs="宋体"/>
                      <w:color w:val="000000"/>
                      <w:sz w:val="18"/>
                      <w:szCs w:val="18"/>
                    </w:rPr>
                    <w:t>1440.6</w:t>
                  </w:r>
                </w:p>
              </w:tc>
            </w:tr>
          </w:tbl>
          <w:p w14:paraId="4D3B8E89">
            <w:pPr>
              <w:rPr>
                <w:rFonts w:ascii="宋体" w:hAnsi="宋体" w:cs="宋体"/>
                <w:szCs w:val="21"/>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905"/>
              <w:gridCol w:w="5676"/>
            </w:tblGrid>
            <w:tr w14:paraId="55FE47E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0B9BEF48">
                  <w:pPr>
                    <w:jc w:val="center"/>
                    <w:rPr>
                      <w:rFonts w:ascii="宋体" w:hAnsi="宋体" w:cs="宋体"/>
                      <w:sz w:val="18"/>
                      <w:szCs w:val="18"/>
                    </w:rPr>
                  </w:pPr>
                  <w:r>
                    <w:rPr>
                      <w:rFonts w:hint="eastAsia" w:ascii="宋体" w:hAnsi="宋体" w:cs="宋体"/>
                      <w:sz w:val="18"/>
                      <w:szCs w:val="18"/>
                    </w:rPr>
                    <w:t>申请额度与半年流入量占比</w:t>
                  </w:r>
                </w:p>
              </w:tc>
              <w:tc>
                <w:tcPr>
                  <w:tcW w:w="5676" w:type="dxa"/>
                  <w:noWrap w:val="0"/>
                  <w:vAlign w:val="center"/>
                </w:tcPr>
                <w:p w14:paraId="10F08AE5">
                  <w:pPr>
                    <w:jc w:val="center"/>
                    <w:rPr>
                      <w:rFonts w:hint="eastAsia" w:ascii="宋体" w:hAnsi="宋体" w:cs="宋体"/>
                      <w:sz w:val="18"/>
                      <w:szCs w:val="18"/>
                    </w:rPr>
                  </w:pPr>
                  <w:r>
                    <w:rPr>
                      <w:rFonts w:hint="eastAsia" w:ascii="宋体" w:hAnsi="宋体" w:cs="宋体"/>
                      <w:sz w:val="18"/>
                      <w:szCs w:val="18"/>
                    </w:rPr>
                    <w:t>0.15</w:t>
                  </w:r>
                </w:p>
              </w:tc>
            </w:tr>
            <w:tr w14:paraId="00DDBAD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6D94C02F">
                  <w:pPr>
                    <w:jc w:val="center"/>
                    <w:rPr>
                      <w:rFonts w:ascii="宋体" w:hAnsi="宋体" w:cs="宋体"/>
                      <w:sz w:val="18"/>
                      <w:szCs w:val="18"/>
                    </w:rPr>
                  </w:pPr>
                  <w:r>
                    <w:rPr>
                      <w:rFonts w:hint="eastAsia" w:ascii="宋体" w:hAnsi="宋体" w:cs="宋体"/>
                      <w:sz w:val="18"/>
                      <w:szCs w:val="18"/>
                    </w:rPr>
                    <w:t>补充说明：</w:t>
                  </w:r>
                </w:p>
              </w:tc>
              <w:tc>
                <w:tcPr>
                  <w:tcW w:w="5676" w:type="dxa"/>
                  <w:noWrap w:val="0"/>
                  <w:vAlign w:val="top"/>
                </w:tcPr>
                <w:p w14:paraId="45A0659D">
                  <w:pPr>
                    <w:jc w:val="left"/>
                    <w:rPr>
                      <w:rFonts w:ascii="宋体" w:hAnsi="宋体" w:cs="宋体"/>
                      <w:color w:val="FF0000"/>
                      <w:sz w:val="18"/>
                      <w:szCs w:val="18"/>
                    </w:rPr>
                  </w:pPr>
                  <w:r>
                    <w:rPr>
                      <w:rFonts w:hint="eastAsia" w:ascii="宋体" w:hAnsi="宋体" w:cs="宋体"/>
                      <w:sz w:val="18"/>
                      <w:szCs w:val="18"/>
                    </w:rPr>
                    <w:t>无</w:t>
                  </w:r>
                </w:p>
              </w:tc>
            </w:tr>
          </w:tbl>
          <w:p w14:paraId="3FE08384">
            <w:pPr>
              <w:ind w:firstLine="1265" w:firstLineChars="600"/>
              <w:rPr>
                <w:rFonts w:hint="eastAsia"/>
              </w:rPr>
            </w:pPr>
            <w:r>
              <w:rPr>
                <w:rFonts w:hint="eastAsia" w:ascii="宋体" w:hAnsi="宋体" w:cs="宋体"/>
                <w:b/>
                <w:bCs/>
                <w:snapToGrid w:val="0"/>
                <w:kern w:val="0"/>
                <w:szCs w:val="21"/>
              </w:rPr>
              <w:t>③</w:t>
            </w:r>
            <w:r>
              <w:rPr>
                <w:rFonts w:hint="eastAsia" w:ascii="宋体" w:hAnsi="宋体" w:cs="宋体"/>
                <w:b/>
                <w:bCs/>
                <w:snapToGrid w:val="0"/>
                <w:color w:val="000000"/>
                <w:kern w:val="0"/>
                <w:szCs w:val="21"/>
              </w:rPr>
              <w:t>近三年财务数据</w:t>
            </w:r>
          </w:p>
          <w:p w14:paraId="53D103D2">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rPr>
            </w:pPr>
            <w:r>
              <w:rPr>
                <w:rFonts w:hint="eastAsia" w:ascii="宋体" w:hAnsi="宋体" w:cs="宋体"/>
                <w:snapToGrid w:val="0"/>
                <w:kern w:val="0"/>
                <w:szCs w:val="21"/>
              </w:rPr>
              <w:t>借款</w:t>
            </w:r>
            <w:r>
              <w:rPr>
                <w:rFonts w:hint="eastAsia" w:ascii="宋体" w:hAnsi="宋体" w:cs="宋体"/>
                <w:snapToGrid w:val="0"/>
                <w:color w:val="000000"/>
                <w:kern w:val="0"/>
                <w:szCs w:val="21"/>
              </w:rPr>
              <w:t>人近三年财务数据，</w:t>
            </w:r>
            <w:r>
              <w:rPr>
                <w:rFonts w:hint="eastAsia" w:ascii="宋体" w:hAnsi="宋体" w:cs="宋体"/>
                <w:szCs w:val="21"/>
              </w:rPr>
              <w:t>其中2023年年报由德赢（福建）会计师事务所（普通合伙）审计（出具无保留意见）、2024年年报由德赢（福建）会计师事务所（普通合伙）审计（出具无保留意见）、2025年企业审计报告暂未制作完成。</w:t>
            </w:r>
          </w:p>
          <w:tbl>
            <w:tblPr>
              <w:tblStyle w:val="13"/>
              <w:tblW w:w="3753" w:type="pct"/>
              <w:jc w:val="center"/>
              <w:tblLayout w:type="autofit"/>
              <w:tblCellMar>
                <w:top w:w="0" w:type="dxa"/>
                <w:left w:w="108" w:type="dxa"/>
                <w:bottom w:w="0" w:type="dxa"/>
                <w:right w:w="108" w:type="dxa"/>
              </w:tblCellMar>
            </w:tblPr>
            <w:tblGrid>
              <w:gridCol w:w="3572"/>
              <w:gridCol w:w="1524"/>
              <w:gridCol w:w="1524"/>
              <w:gridCol w:w="1523"/>
            </w:tblGrid>
            <w:tr w14:paraId="5B302E8F">
              <w:tblPrEx>
                <w:tblCellMar>
                  <w:top w:w="0" w:type="dxa"/>
                  <w:left w:w="108" w:type="dxa"/>
                  <w:bottom w:w="0" w:type="dxa"/>
                  <w:right w:w="108" w:type="dxa"/>
                </w:tblCellMar>
              </w:tblPrEx>
              <w:trPr>
                <w:trHeight w:val="285" w:hRule="atLeast"/>
                <w:jc w:val="center"/>
              </w:trPr>
              <w:tc>
                <w:tcPr>
                  <w:tcW w:w="2193" w:type="pct"/>
                  <w:tcBorders>
                    <w:top w:val="single" w:color="000000" w:sz="8" w:space="0"/>
                    <w:left w:val="single" w:color="000000" w:sz="8" w:space="0"/>
                    <w:bottom w:val="single" w:color="000000" w:sz="8" w:space="0"/>
                    <w:right w:val="single" w:color="000000" w:sz="8" w:space="0"/>
                  </w:tcBorders>
                  <w:noWrap/>
                  <w:vAlign w:val="center"/>
                </w:tcPr>
                <w:p w14:paraId="0B9A83E8">
                  <w:pPr>
                    <w:widowControl/>
                    <w:spacing w:line="36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科目</w:t>
                  </w:r>
                </w:p>
              </w:tc>
              <w:tc>
                <w:tcPr>
                  <w:tcW w:w="936" w:type="pct"/>
                  <w:tcBorders>
                    <w:top w:val="single" w:color="000000" w:sz="8" w:space="0"/>
                    <w:left w:val="nil"/>
                    <w:bottom w:val="single" w:color="000000" w:sz="8" w:space="0"/>
                    <w:right w:val="single" w:color="000000" w:sz="8" w:space="0"/>
                  </w:tcBorders>
                  <w:noWrap/>
                  <w:vAlign w:val="center"/>
                </w:tcPr>
                <w:p w14:paraId="3375B58C">
                  <w:pPr>
                    <w:widowControl/>
                    <w:spacing w:line="360" w:lineRule="auto"/>
                    <w:jc w:val="center"/>
                    <w:textAlignment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2023年</w:t>
                  </w:r>
                </w:p>
              </w:tc>
              <w:tc>
                <w:tcPr>
                  <w:tcW w:w="936" w:type="pct"/>
                  <w:tcBorders>
                    <w:top w:val="single" w:color="000000" w:sz="8" w:space="0"/>
                    <w:left w:val="nil"/>
                    <w:bottom w:val="single" w:color="000000" w:sz="8" w:space="0"/>
                    <w:right w:val="single" w:color="000000" w:sz="8" w:space="0"/>
                  </w:tcBorders>
                  <w:noWrap/>
                  <w:vAlign w:val="center"/>
                </w:tcPr>
                <w:p w14:paraId="324587FC">
                  <w:pPr>
                    <w:widowControl/>
                    <w:spacing w:line="36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2024年</w:t>
                  </w:r>
                </w:p>
              </w:tc>
              <w:tc>
                <w:tcPr>
                  <w:tcW w:w="935" w:type="pct"/>
                  <w:tcBorders>
                    <w:top w:val="single" w:color="000000" w:sz="8" w:space="0"/>
                    <w:left w:val="nil"/>
                    <w:bottom w:val="single" w:color="000000" w:sz="8" w:space="0"/>
                    <w:right w:val="single" w:color="000000" w:sz="8" w:space="0"/>
                  </w:tcBorders>
                  <w:noWrap/>
                  <w:vAlign w:val="center"/>
                </w:tcPr>
                <w:p w14:paraId="132C0A3C">
                  <w:pPr>
                    <w:widowControl/>
                    <w:spacing w:line="360" w:lineRule="auto"/>
                    <w:jc w:val="center"/>
                    <w:textAlignment w:val="center"/>
                    <w:rPr>
                      <w:rFonts w:hint="eastAsia" w:ascii="宋体" w:hAnsi="宋体" w:cs="宋体"/>
                      <w:color w:val="000000"/>
                      <w:sz w:val="18"/>
                      <w:szCs w:val="18"/>
                    </w:rPr>
                  </w:pPr>
                  <w:r>
                    <w:rPr>
                      <w:rFonts w:hint="eastAsia" w:ascii="宋体" w:hAnsi="宋体" w:cs="宋体"/>
                      <w:color w:val="000000"/>
                      <w:kern w:val="0"/>
                      <w:sz w:val="18"/>
                      <w:szCs w:val="18"/>
                      <w:lang w:bidi="ar"/>
                    </w:rPr>
                    <w:t>2025年</w:t>
                  </w:r>
                </w:p>
              </w:tc>
            </w:tr>
            <w:tr w14:paraId="201F76B2">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3ECC897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资产合计</w:t>
                  </w:r>
                </w:p>
              </w:tc>
              <w:tc>
                <w:tcPr>
                  <w:tcW w:w="936" w:type="pct"/>
                  <w:tcBorders>
                    <w:top w:val="nil"/>
                    <w:left w:val="nil"/>
                    <w:bottom w:val="single" w:color="000000" w:sz="8" w:space="0"/>
                    <w:right w:val="single" w:color="000000" w:sz="8" w:space="0"/>
                  </w:tcBorders>
                  <w:noWrap/>
                  <w:vAlign w:val="top"/>
                </w:tcPr>
                <w:p w14:paraId="289D89E1">
                  <w:pPr>
                    <w:jc w:val="center"/>
                    <w:rPr>
                      <w:rFonts w:ascii="宋体" w:hAnsi="宋体" w:cs="宋体"/>
                      <w:color w:val="000000"/>
                      <w:kern w:val="0"/>
                      <w:sz w:val="18"/>
                      <w:szCs w:val="18"/>
                      <w:lang w:bidi="ar"/>
                    </w:rPr>
                  </w:pPr>
                  <w:r>
                    <w:rPr>
                      <w:rFonts w:ascii="宋体" w:hAnsi="宋体" w:cs="宋体"/>
                      <w:color w:val="000000"/>
                      <w:kern w:val="0"/>
                      <w:sz w:val="18"/>
                      <w:szCs w:val="18"/>
                      <w:lang w:bidi="ar"/>
                    </w:rPr>
                    <w:t>17940</w:t>
                  </w:r>
                </w:p>
              </w:tc>
              <w:tc>
                <w:tcPr>
                  <w:tcW w:w="936" w:type="pct"/>
                  <w:tcBorders>
                    <w:top w:val="nil"/>
                    <w:left w:val="nil"/>
                    <w:bottom w:val="single" w:color="000000" w:sz="8" w:space="0"/>
                    <w:right w:val="single" w:color="000000" w:sz="8" w:space="0"/>
                  </w:tcBorders>
                  <w:noWrap/>
                  <w:vAlign w:val="top"/>
                </w:tcPr>
                <w:p w14:paraId="4D9A9555">
                  <w:pPr>
                    <w:jc w:val="center"/>
                    <w:rPr>
                      <w:rFonts w:ascii="宋体" w:hAnsi="宋体" w:cs="宋体"/>
                      <w:color w:val="000000"/>
                      <w:kern w:val="0"/>
                      <w:sz w:val="18"/>
                      <w:szCs w:val="18"/>
                      <w:lang w:bidi="ar"/>
                    </w:rPr>
                  </w:pPr>
                  <w:r>
                    <w:rPr>
                      <w:rFonts w:ascii="宋体" w:hAnsi="宋体" w:cs="宋体"/>
                      <w:color w:val="000000"/>
                      <w:kern w:val="0"/>
                      <w:sz w:val="18"/>
                      <w:szCs w:val="18"/>
                      <w:lang w:bidi="ar"/>
                    </w:rPr>
                    <w:t>18575</w:t>
                  </w:r>
                </w:p>
              </w:tc>
              <w:tc>
                <w:tcPr>
                  <w:tcW w:w="935" w:type="pct"/>
                  <w:tcBorders>
                    <w:top w:val="nil"/>
                    <w:left w:val="nil"/>
                    <w:bottom w:val="single" w:color="000000" w:sz="8" w:space="0"/>
                    <w:right w:val="single" w:color="000000" w:sz="8" w:space="0"/>
                  </w:tcBorders>
                  <w:noWrap/>
                  <w:vAlign w:val="top"/>
                </w:tcPr>
                <w:p w14:paraId="2C5B9A52">
                  <w:pPr>
                    <w:jc w:val="center"/>
                    <w:rPr>
                      <w:rFonts w:ascii="宋体" w:hAnsi="宋体" w:cs="宋体"/>
                      <w:color w:val="000000"/>
                      <w:kern w:val="0"/>
                      <w:sz w:val="18"/>
                      <w:szCs w:val="18"/>
                      <w:lang w:bidi="ar"/>
                    </w:rPr>
                  </w:pPr>
                  <w:r>
                    <w:rPr>
                      <w:rFonts w:ascii="宋体" w:hAnsi="宋体" w:cs="宋体"/>
                      <w:color w:val="000000"/>
                      <w:kern w:val="0"/>
                      <w:sz w:val="18"/>
                      <w:szCs w:val="18"/>
                      <w:lang w:bidi="ar"/>
                    </w:rPr>
                    <w:t>16956</w:t>
                  </w:r>
                </w:p>
              </w:tc>
            </w:tr>
            <w:tr w14:paraId="1DAE432E">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389225C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流动资产</w:t>
                  </w:r>
                </w:p>
              </w:tc>
              <w:tc>
                <w:tcPr>
                  <w:tcW w:w="936" w:type="pct"/>
                  <w:tcBorders>
                    <w:top w:val="nil"/>
                    <w:left w:val="nil"/>
                    <w:bottom w:val="single" w:color="000000" w:sz="8" w:space="0"/>
                    <w:right w:val="single" w:color="000000" w:sz="8" w:space="0"/>
                  </w:tcBorders>
                  <w:noWrap/>
                  <w:vAlign w:val="top"/>
                </w:tcPr>
                <w:p w14:paraId="0F2396E7">
                  <w:pPr>
                    <w:jc w:val="center"/>
                    <w:rPr>
                      <w:rFonts w:ascii="宋体" w:hAnsi="宋体" w:cs="宋体"/>
                      <w:color w:val="000000"/>
                      <w:kern w:val="0"/>
                      <w:sz w:val="18"/>
                      <w:szCs w:val="18"/>
                      <w:lang w:bidi="ar"/>
                    </w:rPr>
                  </w:pPr>
                  <w:r>
                    <w:rPr>
                      <w:rFonts w:ascii="宋体" w:hAnsi="宋体" w:cs="宋体"/>
                      <w:color w:val="000000"/>
                      <w:kern w:val="0"/>
                      <w:sz w:val="18"/>
                      <w:szCs w:val="18"/>
                      <w:lang w:bidi="ar"/>
                    </w:rPr>
                    <w:t>14192</w:t>
                  </w:r>
                </w:p>
              </w:tc>
              <w:tc>
                <w:tcPr>
                  <w:tcW w:w="936" w:type="pct"/>
                  <w:tcBorders>
                    <w:top w:val="nil"/>
                    <w:left w:val="nil"/>
                    <w:bottom w:val="single" w:color="000000" w:sz="8" w:space="0"/>
                    <w:right w:val="single" w:color="000000" w:sz="8" w:space="0"/>
                  </w:tcBorders>
                  <w:noWrap/>
                  <w:vAlign w:val="top"/>
                </w:tcPr>
                <w:p w14:paraId="01EDB081">
                  <w:pPr>
                    <w:jc w:val="center"/>
                    <w:rPr>
                      <w:rFonts w:ascii="宋体" w:hAnsi="宋体" w:cs="宋体"/>
                      <w:color w:val="000000"/>
                      <w:kern w:val="0"/>
                      <w:sz w:val="18"/>
                      <w:szCs w:val="18"/>
                      <w:lang w:bidi="ar"/>
                    </w:rPr>
                  </w:pPr>
                  <w:r>
                    <w:rPr>
                      <w:rFonts w:ascii="宋体" w:hAnsi="宋体" w:cs="宋体"/>
                      <w:color w:val="000000"/>
                      <w:kern w:val="0"/>
                      <w:sz w:val="18"/>
                      <w:szCs w:val="18"/>
                      <w:lang w:bidi="ar"/>
                    </w:rPr>
                    <w:t>14708</w:t>
                  </w:r>
                </w:p>
              </w:tc>
              <w:tc>
                <w:tcPr>
                  <w:tcW w:w="935" w:type="pct"/>
                  <w:tcBorders>
                    <w:top w:val="nil"/>
                    <w:left w:val="nil"/>
                    <w:bottom w:val="single" w:color="000000" w:sz="8" w:space="0"/>
                    <w:right w:val="single" w:color="000000" w:sz="8" w:space="0"/>
                  </w:tcBorders>
                  <w:noWrap/>
                  <w:vAlign w:val="top"/>
                </w:tcPr>
                <w:p w14:paraId="6A5EDA97">
                  <w:pPr>
                    <w:jc w:val="center"/>
                    <w:rPr>
                      <w:rFonts w:ascii="宋体" w:hAnsi="宋体" w:cs="宋体"/>
                      <w:color w:val="000000"/>
                      <w:kern w:val="0"/>
                      <w:sz w:val="18"/>
                      <w:szCs w:val="18"/>
                      <w:lang w:bidi="ar"/>
                    </w:rPr>
                  </w:pPr>
                  <w:r>
                    <w:rPr>
                      <w:rFonts w:ascii="宋体" w:hAnsi="宋体" w:cs="宋体"/>
                      <w:color w:val="000000"/>
                      <w:kern w:val="0"/>
                      <w:sz w:val="18"/>
                      <w:szCs w:val="18"/>
                      <w:lang w:bidi="ar"/>
                    </w:rPr>
                    <w:t>13110</w:t>
                  </w:r>
                </w:p>
              </w:tc>
            </w:tr>
            <w:tr w14:paraId="7F58ED89">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71D34E2A">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货币资金</w:t>
                  </w:r>
                </w:p>
              </w:tc>
              <w:tc>
                <w:tcPr>
                  <w:tcW w:w="936" w:type="pct"/>
                  <w:tcBorders>
                    <w:top w:val="nil"/>
                    <w:left w:val="nil"/>
                    <w:bottom w:val="single" w:color="000000" w:sz="8" w:space="0"/>
                    <w:right w:val="single" w:color="000000" w:sz="8" w:space="0"/>
                  </w:tcBorders>
                  <w:noWrap/>
                  <w:vAlign w:val="top"/>
                </w:tcPr>
                <w:p w14:paraId="7EC8317B">
                  <w:pPr>
                    <w:jc w:val="center"/>
                    <w:rPr>
                      <w:rFonts w:ascii="宋体" w:hAnsi="宋体" w:cs="宋体"/>
                      <w:color w:val="000000"/>
                      <w:kern w:val="0"/>
                      <w:sz w:val="18"/>
                      <w:szCs w:val="18"/>
                      <w:lang w:bidi="ar"/>
                    </w:rPr>
                  </w:pPr>
                  <w:r>
                    <w:rPr>
                      <w:rFonts w:ascii="宋体" w:hAnsi="宋体" w:cs="宋体"/>
                      <w:color w:val="000000"/>
                      <w:kern w:val="0"/>
                      <w:sz w:val="18"/>
                      <w:szCs w:val="18"/>
                      <w:lang w:bidi="ar"/>
                    </w:rPr>
                    <w:t>1522</w:t>
                  </w:r>
                </w:p>
              </w:tc>
              <w:tc>
                <w:tcPr>
                  <w:tcW w:w="936" w:type="pct"/>
                  <w:tcBorders>
                    <w:top w:val="nil"/>
                    <w:left w:val="nil"/>
                    <w:bottom w:val="single" w:color="000000" w:sz="8" w:space="0"/>
                    <w:right w:val="single" w:color="000000" w:sz="8" w:space="0"/>
                  </w:tcBorders>
                  <w:noWrap/>
                  <w:vAlign w:val="top"/>
                </w:tcPr>
                <w:p w14:paraId="2331E89A">
                  <w:pPr>
                    <w:jc w:val="center"/>
                    <w:rPr>
                      <w:rFonts w:ascii="宋体" w:hAnsi="宋体" w:cs="宋体"/>
                      <w:color w:val="000000"/>
                      <w:kern w:val="0"/>
                      <w:sz w:val="18"/>
                      <w:szCs w:val="18"/>
                      <w:lang w:bidi="ar"/>
                    </w:rPr>
                  </w:pPr>
                  <w:r>
                    <w:rPr>
                      <w:rFonts w:ascii="宋体" w:hAnsi="宋体" w:cs="宋体"/>
                      <w:color w:val="000000"/>
                      <w:kern w:val="0"/>
                      <w:sz w:val="18"/>
                      <w:szCs w:val="18"/>
                      <w:lang w:bidi="ar"/>
                    </w:rPr>
                    <w:t>506</w:t>
                  </w:r>
                </w:p>
              </w:tc>
              <w:tc>
                <w:tcPr>
                  <w:tcW w:w="935" w:type="pct"/>
                  <w:tcBorders>
                    <w:top w:val="nil"/>
                    <w:left w:val="nil"/>
                    <w:bottom w:val="single" w:color="000000" w:sz="8" w:space="0"/>
                    <w:right w:val="single" w:color="000000" w:sz="8" w:space="0"/>
                  </w:tcBorders>
                  <w:noWrap/>
                  <w:vAlign w:val="top"/>
                </w:tcPr>
                <w:p w14:paraId="61664275">
                  <w:pPr>
                    <w:jc w:val="center"/>
                    <w:rPr>
                      <w:rFonts w:ascii="宋体" w:hAnsi="宋体" w:cs="宋体"/>
                      <w:color w:val="000000"/>
                      <w:kern w:val="0"/>
                      <w:sz w:val="18"/>
                      <w:szCs w:val="18"/>
                      <w:lang w:bidi="ar"/>
                    </w:rPr>
                  </w:pPr>
                  <w:r>
                    <w:rPr>
                      <w:rFonts w:ascii="宋体" w:hAnsi="宋体" w:cs="宋体"/>
                      <w:color w:val="000000"/>
                      <w:kern w:val="0"/>
                      <w:sz w:val="18"/>
                      <w:szCs w:val="18"/>
                      <w:lang w:bidi="ar"/>
                    </w:rPr>
                    <w:t>286</w:t>
                  </w:r>
                </w:p>
              </w:tc>
            </w:tr>
            <w:tr w14:paraId="6E6FCA51">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587E9F1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应收票据</w:t>
                  </w:r>
                </w:p>
              </w:tc>
              <w:tc>
                <w:tcPr>
                  <w:tcW w:w="936" w:type="pct"/>
                  <w:tcBorders>
                    <w:top w:val="nil"/>
                    <w:left w:val="nil"/>
                    <w:bottom w:val="single" w:color="000000" w:sz="8" w:space="0"/>
                    <w:right w:val="single" w:color="000000" w:sz="8" w:space="0"/>
                  </w:tcBorders>
                  <w:noWrap/>
                  <w:vAlign w:val="top"/>
                </w:tcPr>
                <w:p w14:paraId="13314C44">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6" w:type="pct"/>
                  <w:tcBorders>
                    <w:top w:val="nil"/>
                    <w:left w:val="nil"/>
                    <w:bottom w:val="single" w:color="000000" w:sz="8" w:space="0"/>
                    <w:right w:val="single" w:color="000000" w:sz="8" w:space="0"/>
                  </w:tcBorders>
                  <w:noWrap/>
                  <w:vAlign w:val="top"/>
                </w:tcPr>
                <w:p w14:paraId="08BA16DF">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5" w:type="pct"/>
                  <w:tcBorders>
                    <w:top w:val="nil"/>
                    <w:left w:val="nil"/>
                    <w:bottom w:val="single" w:color="000000" w:sz="8" w:space="0"/>
                    <w:right w:val="single" w:color="000000" w:sz="8" w:space="0"/>
                  </w:tcBorders>
                  <w:noWrap/>
                  <w:vAlign w:val="top"/>
                </w:tcPr>
                <w:p w14:paraId="25E84707">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r>
            <w:tr w14:paraId="24C2E8C4">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59BDD009">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应收账款</w:t>
                  </w:r>
                </w:p>
              </w:tc>
              <w:tc>
                <w:tcPr>
                  <w:tcW w:w="936" w:type="pct"/>
                  <w:tcBorders>
                    <w:top w:val="nil"/>
                    <w:left w:val="nil"/>
                    <w:bottom w:val="single" w:color="000000" w:sz="8" w:space="0"/>
                    <w:right w:val="single" w:color="000000" w:sz="8" w:space="0"/>
                  </w:tcBorders>
                  <w:noWrap/>
                  <w:vAlign w:val="top"/>
                </w:tcPr>
                <w:p w14:paraId="61313609">
                  <w:pPr>
                    <w:jc w:val="center"/>
                    <w:rPr>
                      <w:rFonts w:ascii="宋体" w:hAnsi="宋体" w:cs="宋体"/>
                      <w:color w:val="000000"/>
                      <w:kern w:val="0"/>
                      <w:sz w:val="18"/>
                      <w:szCs w:val="18"/>
                      <w:lang w:bidi="ar"/>
                    </w:rPr>
                  </w:pPr>
                  <w:r>
                    <w:rPr>
                      <w:rFonts w:ascii="宋体" w:hAnsi="宋体" w:cs="宋体"/>
                      <w:color w:val="000000"/>
                      <w:kern w:val="0"/>
                      <w:sz w:val="18"/>
                      <w:szCs w:val="18"/>
                      <w:lang w:bidi="ar"/>
                    </w:rPr>
                    <w:t>6354</w:t>
                  </w:r>
                </w:p>
              </w:tc>
              <w:tc>
                <w:tcPr>
                  <w:tcW w:w="936" w:type="pct"/>
                  <w:tcBorders>
                    <w:top w:val="nil"/>
                    <w:left w:val="nil"/>
                    <w:bottom w:val="single" w:color="000000" w:sz="8" w:space="0"/>
                    <w:right w:val="single" w:color="000000" w:sz="8" w:space="0"/>
                  </w:tcBorders>
                  <w:noWrap/>
                  <w:vAlign w:val="top"/>
                </w:tcPr>
                <w:p w14:paraId="75B81F77">
                  <w:pPr>
                    <w:jc w:val="center"/>
                    <w:rPr>
                      <w:rFonts w:ascii="宋体" w:hAnsi="宋体" w:cs="宋体"/>
                      <w:color w:val="000000"/>
                      <w:kern w:val="0"/>
                      <w:sz w:val="18"/>
                      <w:szCs w:val="18"/>
                      <w:lang w:bidi="ar"/>
                    </w:rPr>
                  </w:pPr>
                  <w:r>
                    <w:rPr>
                      <w:rFonts w:ascii="宋体" w:hAnsi="宋体" w:cs="宋体"/>
                      <w:color w:val="000000"/>
                      <w:kern w:val="0"/>
                      <w:sz w:val="18"/>
                      <w:szCs w:val="18"/>
                      <w:lang w:bidi="ar"/>
                    </w:rPr>
                    <w:t>9253</w:t>
                  </w:r>
                </w:p>
              </w:tc>
              <w:tc>
                <w:tcPr>
                  <w:tcW w:w="935" w:type="pct"/>
                  <w:tcBorders>
                    <w:top w:val="nil"/>
                    <w:left w:val="nil"/>
                    <w:bottom w:val="single" w:color="000000" w:sz="8" w:space="0"/>
                    <w:right w:val="single" w:color="000000" w:sz="8" w:space="0"/>
                  </w:tcBorders>
                  <w:noWrap/>
                  <w:vAlign w:val="top"/>
                </w:tcPr>
                <w:p w14:paraId="59A3B31B">
                  <w:pPr>
                    <w:jc w:val="center"/>
                    <w:rPr>
                      <w:rFonts w:ascii="宋体" w:hAnsi="宋体" w:cs="宋体"/>
                      <w:color w:val="000000"/>
                      <w:kern w:val="0"/>
                      <w:sz w:val="18"/>
                      <w:szCs w:val="18"/>
                      <w:lang w:bidi="ar"/>
                    </w:rPr>
                  </w:pPr>
                  <w:r>
                    <w:rPr>
                      <w:rFonts w:ascii="宋体" w:hAnsi="宋体" w:cs="宋体"/>
                      <w:color w:val="000000"/>
                      <w:kern w:val="0"/>
                      <w:sz w:val="18"/>
                      <w:szCs w:val="18"/>
                      <w:lang w:bidi="ar"/>
                    </w:rPr>
                    <w:t>7430</w:t>
                  </w:r>
                </w:p>
              </w:tc>
            </w:tr>
            <w:tr w14:paraId="05FF8428">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56F5B7BA">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预付账款</w:t>
                  </w:r>
                </w:p>
              </w:tc>
              <w:tc>
                <w:tcPr>
                  <w:tcW w:w="936" w:type="pct"/>
                  <w:tcBorders>
                    <w:top w:val="nil"/>
                    <w:left w:val="nil"/>
                    <w:bottom w:val="single" w:color="000000" w:sz="8" w:space="0"/>
                    <w:right w:val="single" w:color="000000" w:sz="8" w:space="0"/>
                  </w:tcBorders>
                  <w:noWrap/>
                  <w:vAlign w:val="top"/>
                </w:tcPr>
                <w:p w14:paraId="6AE8A12F">
                  <w:pPr>
                    <w:jc w:val="center"/>
                    <w:rPr>
                      <w:rFonts w:ascii="宋体" w:hAnsi="宋体" w:cs="宋体"/>
                      <w:color w:val="000000"/>
                      <w:kern w:val="0"/>
                      <w:sz w:val="18"/>
                      <w:szCs w:val="18"/>
                      <w:lang w:bidi="ar"/>
                    </w:rPr>
                  </w:pPr>
                  <w:r>
                    <w:rPr>
                      <w:rFonts w:ascii="宋体" w:hAnsi="宋体" w:cs="宋体"/>
                      <w:color w:val="000000"/>
                      <w:kern w:val="0"/>
                      <w:sz w:val="18"/>
                      <w:szCs w:val="18"/>
                      <w:lang w:bidi="ar"/>
                    </w:rPr>
                    <w:t>151</w:t>
                  </w:r>
                </w:p>
              </w:tc>
              <w:tc>
                <w:tcPr>
                  <w:tcW w:w="936" w:type="pct"/>
                  <w:tcBorders>
                    <w:top w:val="nil"/>
                    <w:left w:val="nil"/>
                    <w:bottom w:val="single" w:color="000000" w:sz="8" w:space="0"/>
                    <w:right w:val="single" w:color="000000" w:sz="8" w:space="0"/>
                  </w:tcBorders>
                  <w:noWrap/>
                  <w:vAlign w:val="top"/>
                </w:tcPr>
                <w:p w14:paraId="60074C13">
                  <w:pPr>
                    <w:jc w:val="center"/>
                    <w:rPr>
                      <w:rFonts w:ascii="宋体" w:hAnsi="宋体" w:cs="宋体"/>
                      <w:color w:val="000000"/>
                      <w:kern w:val="0"/>
                      <w:sz w:val="18"/>
                      <w:szCs w:val="18"/>
                      <w:lang w:bidi="ar"/>
                    </w:rPr>
                  </w:pPr>
                  <w:r>
                    <w:rPr>
                      <w:rFonts w:ascii="宋体" w:hAnsi="宋体" w:cs="宋体"/>
                      <w:color w:val="000000"/>
                      <w:kern w:val="0"/>
                      <w:sz w:val="18"/>
                      <w:szCs w:val="18"/>
                      <w:lang w:bidi="ar"/>
                    </w:rPr>
                    <w:t>260</w:t>
                  </w:r>
                </w:p>
              </w:tc>
              <w:tc>
                <w:tcPr>
                  <w:tcW w:w="935" w:type="pct"/>
                  <w:tcBorders>
                    <w:top w:val="nil"/>
                    <w:left w:val="nil"/>
                    <w:bottom w:val="single" w:color="000000" w:sz="8" w:space="0"/>
                    <w:right w:val="single" w:color="000000" w:sz="8" w:space="0"/>
                  </w:tcBorders>
                  <w:noWrap/>
                  <w:vAlign w:val="top"/>
                </w:tcPr>
                <w:p w14:paraId="05909457">
                  <w:pPr>
                    <w:jc w:val="center"/>
                    <w:rPr>
                      <w:rFonts w:ascii="宋体" w:hAnsi="宋体" w:cs="宋体"/>
                      <w:color w:val="000000"/>
                      <w:kern w:val="0"/>
                      <w:sz w:val="18"/>
                      <w:szCs w:val="18"/>
                      <w:lang w:bidi="ar"/>
                    </w:rPr>
                  </w:pPr>
                  <w:r>
                    <w:rPr>
                      <w:rFonts w:ascii="宋体" w:hAnsi="宋体" w:cs="宋体"/>
                      <w:color w:val="000000"/>
                      <w:kern w:val="0"/>
                      <w:sz w:val="18"/>
                      <w:szCs w:val="18"/>
                      <w:lang w:bidi="ar"/>
                    </w:rPr>
                    <w:t>428</w:t>
                  </w:r>
                </w:p>
              </w:tc>
            </w:tr>
            <w:tr w14:paraId="2A9708AE">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2AD3A788">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其它应收款</w:t>
                  </w:r>
                </w:p>
              </w:tc>
              <w:tc>
                <w:tcPr>
                  <w:tcW w:w="936" w:type="pct"/>
                  <w:tcBorders>
                    <w:top w:val="nil"/>
                    <w:left w:val="nil"/>
                    <w:bottom w:val="single" w:color="000000" w:sz="8" w:space="0"/>
                    <w:right w:val="single" w:color="000000" w:sz="8" w:space="0"/>
                  </w:tcBorders>
                  <w:noWrap/>
                  <w:vAlign w:val="top"/>
                </w:tcPr>
                <w:p w14:paraId="150ED661">
                  <w:pPr>
                    <w:jc w:val="center"/>
                    <w:rPr>
                      <w:rFonts w:ascii="宋体" w:hAnsi="宋体" w:cs="宋体"/>
                      <w:color w:val="000000"/>
                      <w:kern w:val="0"/>
                      <w:sz w:val="18"/>
                      <w:szCs w:val="18"/>
                      <w:lang w:bidi="ar"/>
                    </w:rPr>
                  </w:pPr>
                  <w:r>
                    <w:rPr>
                      <w:rFonts w:ascii="宋体" w:hAnsi="宋体" w:cs="宋体"/>
                      <w:color w:val="000000"/>
                      <w:kern w:val="0"/>
                      <w:sz w:val="18"/>
                      <w:szCs w:val="18"/>
                      <w:lang w:bidi="ar"/>
                    </w:rPr>
                    <w:t>3621</w:t>
                  </w:r>
                </w:p>
              </w:tc>
              <w:tc>
                <w:tcPr>
                  <w:tcW w:w="936" w:type="pct"/>
                  <w:tcBorders>
                    <w:top w:val="nil"/>
                    <w:left w:val="nil"/>
                    <w:bottom w:val="single" w:color="000000" w:sz="8" w:space="0"/>
                    <w:right w:val="single" w:color="000000" w:sz="8" w:space="0"/>
                  </w:tcBorders>
                  <w:noWrap/>
                  <w:vAlign w:val="top"/>
                </w:tcPr>
                <w:p w14:paraId="18D994EC">
                  <w:pPr>
                    <w:jc w:val="center"/>
                    <w:rPr>
                      <w:rFonts w:ascii="宋体" w:hAnsi="宋体" w:cs="宋体"/>
                      <w:color w:val="000000"/>
                      <w:kern w:val="0"/>
                      <w:sz w:val="18"/>
                      <w:szCs w:val="18"/>
                      <w:lang w:bidi="ar"/>
                    </w:rPr>
                  </w:pPr>
                  <w:r>
                    <w:rPr>
                      <w:rFonts w:ascii="宋体" w:hAnsi="宋体" w:cs="宋体"/>
                      <w:color w:val="000000"/>
                      <w:kern w:val="0"/>
                      <w:sz w:val="18"/>
                      <w:szCs w:val="18"/>
                      <w:lang w:bidi="ar"/>
                    </w:rPr>
                    <w:t>3522</w:t>
                  </w:r>
                </w:p>
              </w:tc>
              <w:tc>
                <w:tcPr>
                  <w:tcW w:w="935" w:type="pct"/>
                  <w:tcBorders>
                    <w:top w:val="nil"/>
                    <w:left w:val="nil"/>
                    <w:bottom w:val="single" w:color="000000" w:sz="8" w:space="0"/>
                    <w:right w:val="single" w:color="000000" w:sz="8" w:space="0"/>
                  </w:tcBorders>
                  <w:noWrap/>
                  <w:vAlign w:val="top"/>
                </w:tcPr>
                <w:p w14:paraId="5715B57D">
                  <w:pPr>
                    <w:jc w:val="center"/>
                    <w:rPr>
                      <w:rFonts w:ascii="宋体" w:hAnsi="宋体" w:cs="宋体"/>
                      <w:color w:val="000000"/>
                      <w:kern w:val="0"/>
                      <w:sz w:val="18"/>
                      <w:szCs w:val="18"/>
                      <w:lang w:bidi="ar"/>
                    </w:rPr>
                  </w:pPr>
                  <w:r>
                    <w:rPr>
                      <w:rFonts w:ascii="宋体" w:hAnsi="宋体" w:cs="宋体"/>
                      <w:color w:val="000000"/>
                      <w:kern w:val="0"/>
                      <w:sz w:val="18"/>
                      <w:szCs w:val="18"/>
                      <w:lang w:bidi="ar"/>
                    </w:rPr>
                    <w:t>2774</w:t>
                  </w:r>
                </w:p>
              </w:tc>
            </w:tr>
            <w:tr w14:paraId="1E8B3249">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3E46DD6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存货</w:t>
                  </w:r>
                </w:p>
              </w:tc>
              <w:tc>
                <w:tcPr>
                  <w:tcW w:w="936" w:type="pct"/>
                  <w:tcBorders>
                    <w:top w:val="nil"/>
                    <w:left w:val="nil"/>
                    <w:bottom w:val="single" w:color="000000" w:sz="8" w:space="0"/>
                    <w:right w:val="single" w:color="000000" w:sz="8" w:space="0"/>
                  </w:tcBorders>
                  <w:noWrap/>
                  <w:vAlign w:val="top"/>
                </w:tcPr>
                <w:p w14:paraId="70084F10">
                  <w:pPr>
                    <w:jc w:val="center"/>
                    <w:rPr>
                      <w:rFonts w:ascii="宋体" w:hAnsi="宋体" w:cs="宋体"/>
                      <w:color w:val="000000"/>
                      <w:kern w:val="0"/>
                      <w:sz w:val="18"/>
                      <w:szCs w:val="18"/>
                      <w:lang w:bidi="ar"/>
                    </w:rPr>
                  </w:pPr>
                  <w:r>
                    <w:rPr>
                      <w:rFonts w:ascii="宋体" w:hAnsi="宋体" w:cs="宋体"/>
                      <w:color w:val="000000"/>
                      <w:kern w:val="0"/>
                      <w:sz w:val="18"/>
                      <w:szCs w:val="18"/>
                      <w:lang w:bidi="ar"/>
                    </w:rPr>
                    <w:t>2545</w:t>
                  </w:r>
                </w:p>
              </w:tc>
              <w:tc>
                <w:tcPr>
                  <w:tcW w:w="936" w:type="pct"/>
                  <w:tcBorders>
                    <w:top w:val="nil"/>
                    <w:left w:val="nil"/>
                    <w:bottom w:val="single" w:color="000000" w:sz="8" w:space="0"/>
                    <w:right w:val="single" w:color="000000" w:sz="8" w:space="0"/>
                  </w:tcBorders>
                  <w:noWrap/>
                  <w:vAlign w:val="top"/>
                </w:tcPr>
                <w:p w14:paraId="60424E60">
                  <w:pPr>
                    <w:jc w:val="center"/>
                    <w:rPr>
                      <w:rFonts w:ascii="宋体" w:hAnsi="宋体" w:cs="宋体"/>
                      <w:color w:val="000000"/>
                      <w:kern w:val="0"/>
                      <w:sz w:val="18"/>
                      <w:szCs w:val="18"/>
                      <w:lang w:bidi="ar"/>
                    </w:rPr>
                  </w:pPr>
                  <w:r>
                    <w:rPr>
                      <w:rFonts w:ascii="宋体" w:hAnsi="宋体" w:cs="宋体"/>
                      <w:color w:val="000000"/>
                      <w:kern w:val="0"/>
                      <w:sz w:val="18"/>
                      <w:szCs w:val="18"/>
                      <w:lang w:bidi="ar"/>
                    </w:rPr>
                    <w:t>1166</w:t>
                  </w:r>
                </w:p>
              </w:tc>
              <w:tc>
                <w:tcPr>
                  <w:tcW w:w="935" w:type="pct"/>
                  <w:tcBorders>
                    <w:top w:val="nil"/>
                    <w:left w:val="nil"/>
                    <w:bottom w:val="single" w:color="000000" w:sz="8" w:space="0"/>
                    <w:right w:val="single" w:color="000000" w:sz="8" w:space="0"/>
                  </w:tcBorders>
                  <w:noWrap/>
                  <w:vAlign w:val="top"/>
                </w:tcPr>
                <w:p w14:paraId="1250CD4B">
                  <w:pPr>
                    <w:jc w:val="center"/>
                    <w:rPr>
                      <w:rFonts w:ascii="宋体" w:hAnsi="宋体" w:cs="宋体"/>
                      <w:color w:val="000000"/>
                      <w:kern w:val="0"/>
                      <w:sz w:val="18"/>
                      <w:szCs w:val="18"/>
                      <w:lang w:bidi="ar"/>
                    </w:rPr>
                  </w:pPr>
                  <w:r>
                    <w:rPr>
                      <w:rFonts w:ascii="宋体" w:hAnsi="宋体" w:cs="宋体"/>
                      <w:color w:val="000000"/>
                      <w:kern w:val="0"/>
                      <w:sz w:val="18"/>
                      <w:szCs w:val="18"/>
                      <w:lang w:bidi="ar"/>
                    </w:rPr>
                    <w:t>2192</w:t>
                  </w:r>
                </w:p>
              </w:tc>
            </w:tr>
            <w:tr w14:paraId="122B0A25">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0877F47C">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非流动资产</w:t>
                  </w:r>
                </w:p>
              </w:tc>
              <w:tc>
                <w:tcPr>
                  <w:tcW w:w="936" w:type="pct"/>
                  <w:tcBorders>
                    <w:top w:val="nil"/>
                    <w:left w:val="nil"/>
                    <w:bottom w:val="single" w:color="000000" w:sz="8" w:space="0"/>
                    <w:right w:val="single" w:color="000000" w:sz="8" w:space="0"/>
                  </w:tcBorders>
                  <w:noWrap/>
                  <w:vAlign w:val="top"/>
                </w:tcPr>
                <w:p w14:paraId="58112C05">
                  <w:pPr>
                    <w:jc w:val="center"/>
                    <w:rPr>
                      <w:rFonts w:ascii="宋体" w:hAnsi="宋体" w:cs="宋体"/>
                      <w:color w:val="000000"/>
                      <w:kern w:val="0"/>
                      <w:sz w:val="18"/>
                      <w:szCs w:val="18"/>
                      <w:lang w:bidi="ar"/>
                    </w:rPr>
                  </w:pPr>
                  <w:r>
                    <w:rPr>
                      <w:rFonts w:ascii="宋体" w:hAnsi="宋体" w:cs="宋体"/>
                      <w:color w:val="000000"/>
                      <w:kern w:val="0"/>
                      <w:sz w:val="18"/>
                      <w:szCs w:val="18"/>
                      <w:lang w:bidi="ar"/>
                    </w:rPr>
                    <w:t>3748</w:t>
                  </w:r>
                </w:p>
              </w:tc>
              <w:tc>
                <w:tcPr>
                  <w:tcW w:w="936" w:type="pct"/>
                  <w:tcBorders>
                    <w:top w:val="nil"/>
                    <w:left w:val="nil"/>
                    <w:bottom w:val="single" w:color="000000" w:sz="8" w:space="0"/>
                    <w:right w:val="single" w:color="000000" w:sz="8" w:space="0"/>
                  </w:tcBorders>
                  <w:noWrap/>
                  <w:vAlign w:val="top"/>
                </w:tcPr>
                <w:p w14:paraId="0D4520C6">
                  <w:pPr>
                    <w:jc w:val="center"/>
                    <w:rPr>
                      <w:rFonts w:ascii="宋体" w:hAnsi="宋体" w:cs="宋体"/>
                      <w:color w:val="000000"/>
                      <w:kern w:val="0"/>
                      <w:sz w:val="18"/>
                      <w:szCs w:val="18"/>
                      <w:lang w:bidi="ar"/>
                    </w:rPr>
                  </w:pPr>
                  <w:r>
                    <w:rPr>
                      <w:rFonts w:ascii="宋体" w:hAnsi="宋体" w:cs="宋体"/>
                      <w:color w:val="000000"/>
                      <w:kern w:val="0"/>
                      <w:sz w:val="18"/>
                      <w:szCs w:val="18"/>
                      <w:lang w:bidi="ar"/>
                    </w:rPr>
                    <w:t>3868</w:t>
                  </w:r>
                </w:p>
              </w:tc>
              <w:tc>
                <w:tcPr>
                  <w:tcW w:w="935" w:type="pct"/>
                  <w:tcBorders>
                    <w:top w:val="nil"/>
                    <w:left w:val="nil"/>
                    <w:bottom w:val="single" w:color="000000" w:sz="8" w:space="0"/>
                    <w:right w:val="single" w:color="000000" w:sz="8" w:space="0"/>
                  </w:tcBorders>
                  <w:noWrap/>
                  <w:vAlign w:val="top"/>
                </w:tcPr>
                <w:p w14:paraId="0E674C3E">
                  <w:pPr>
                    <w:jc w:val="center"/>
                    <w:rPr>
                      <w:rFonts w:ascii="宋体" w:hAnsi="宋体" w:cs="宋体"/>
                      <w:color w:val="000000"/>
                      <w:kern w:val="0"/>
                      <w:sz w:val="18"/>
                      <w:szCs w:val="18"/>
                      <w:lang w:bidi="ar"/>
                    </w:rPr>
                  </w:pPr>
                  <w:r>
                    <w:rPr>
                      <w:rFonts w:ascii="宋体" w:hAnsi="宋体" w:cs="宋体"/>
                      <w:color w:val="000000"/>
                      <w:kern w:val="0"/>
                      <w:sz w:val="18"/>
                      <w:szCs w:val="18"/>
                      <w:lang w:bidi="ar"/>
                    </w:rPr>
                    <w:t>3847</w:t>
                  </w:r>
                </w:p>
              </w:tc>
            </w:tr>
            <w:tr w14:paraId="6C6275F0">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541822E5">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固定资产净值</w:t>
                  </w:r>
                </w:p>
              </w:tc>
              <w:tc>
                <w:tcPr>
                  <w:tcW w:w="936" w:type="pct"/>
                  <w:tcBorders>
                    <w:top w:val="nil"/>
                    <w:left w:val="nil"/>
                    <w:bottom w:val="single" w:color="000000" w:sz="8" w:space="0"/>
                    <w:right w:val="single" w:color="000000" w:sz="8" w:space="0"/>
                  </w:tcBorders>
                  <w:noWrap/>
                  <w:vAlign w:val="top"/>
                </w:tcPr>
                <w:p w14:paraId="42A6736C">
                  <w:pPr>
                    <w:jc w:val="center"/>
                    <w:rPr>
                      <w:rFonts w:ascii="宋体" w:hAnsi="宋体" w:cs="宋体"/>
                      <w:color w:val="000000"/>
                      <w:kern w:val="0"/>
                      <w:sz w:val="18"/>
                      <w:szCs w:val="18"/>
                      <w:lang w:bidi="ar"/>
                    </w:rPr>
                  </w:pPr>
                  <w:r>
                    <w:rPr>
                      <w:rFonts w:ascii="宋体" w:hAnsi="宋体" w:cs="宋体"/>
                      <w:color w:val="000000"/>
                      <w:kern w:val="0"/>
                      <w:sz w:val="18"/>
                      <w:szCs w:val="18"/>
                      <w:lang w:bidi="ar"/>
                    </w:rPr>
                    <w:t>256</w:t>
                  </w:r>
                </w:p>
              </w:tc>
              <w:tc>
                <w:tcPr>
                  <w:tcW w:w="936" w:type="pct"/>
                  <w:tcBorders>
                    <w:top w:val="nil"/>
                    <w:left w:val="nil"/>
                    <w:bottom w:val="single" w:color="000000" w:sz="8" w:space="0"/>
                    <w:right w:val="single" w:color="000000" w:sz="8" w:space="0"/>
                  </w:tcBorders>
                  <w:noWrap/>
                  <w:vAlign w:val="top"/>
                </w:tcPr>
                <w:p w14:paraId="749C5FEF">
                  <w:pPr>
                    <w:jc w:val="center"/>
                    <w:rPr>
                      <w:rFonts w:ascii="宋体" w:hAnsi="宋体" w:cs="宋体"/>
                      <w:color w:val="000000"/>
                      <w:kern w:val="0"/>
                      <w:sz w:val="18"/>
                      <w:szCs w:val="18"/>
                      <w:lang w:bidi="ar"/>
                    </w:rPr>
                  </w:pPr>
                  <w:r>
                    <w:rPr>
                      <w:rFonts w:ascii="宋体" w:hAnsi="宋体" w:cs="宋体"/>
                      <w:color w:val="000000"/>
                      <w:kern w:val="0"/>
                      <w:sz w:val="18"/>
                      <w:szCs w:val="18"/>
                      <w:lang w:bidi="ar"/>
                    </w:rPr>
                    <w:t>169</w:t>
                  </w:r>
                </w:p>
              </w:tc>
              <w:tc>
                <w:tcPr>
                  <w:tcW w:w="935" w:type="pct"/>
                  <w:tcBorders>
                    <w:top w:val="nil"/>
                    <w:left w:val="nil"/>
                    <w:bottom w:val="single" w:color="000000" w:sz="8" w:space="0"/>
                    <w:right w:val="single" w:color="000000" w:sz="8" w:space="0"/>
                  </w:tcBorders>
                  <w:noWrap/>
                  <w:vAlign w:val="top"/>
                </w:tcPr>
                <w:p w14:paraId="22F81CC9">
                  <w:pPr>
                    <w:jc w:val="center"/>
                    <w:rPr>
                      <w:rFonts w:ascii="宋体" w:hAnsi="宋体" w:cs="宋体"/>
                      <w:color w:val="000000"/>
                      <w:kern w:val="0"/>
                      <w:sz w:val="18"/>
                      <w:szCs w:val="18"/>
                      <w:lang w:bidi="ar"/>
                    </w:rPr>
                  </w:pPr>
                  <w:r>
                    <w:rPr>
                      <w:rFonts w:ascii="宋体" w:hAnsi="宋体" w:cs="宋体"/>
                      <w:color w:val="000000"/>
                      <w:kern w:val="0"/>
                      <w:sz w:val="18"/>
                      <w:szCs w:val="18"/>
                      <w:lang w:bidi="ar"/>
                    </w:rPr>
                    <w:t>93</w:t>
                  </w:r>
                </w:p>
              </w:tc>
            </w:tr>
            <w:tr w14:paraId="5837097E">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29B1E9CD">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无形资产</w:t>
                  </w:r>
                </w:p>
              </w:tc>
              <w:tc>
                <w:tcPr>
                  <w:tcW w:w="936" w:type="pct"/>
                  <w:tcBorders>
                    <w:top w:val="nil"/>
                    <w:left w:val="nil"/>
                    <w:bottom w:val="single" w:color="000000" w:sz="8" w:space="0"/>
                    <w:right w:val="single" w:color="000000" w:sz="8" w:space="0"/>
                  </w:tcBorders>
                  <w:noWrap/>
                  <w:vAlign w:val="top"/>
                </w:tcPr>
                <w:p w14:paraId="7FCBD698">
                  <w:pPr>
                    <w:jc w:val="center"/>
                    <w:rPr>
                      <w:rFonts w:ascii="宋体" w:hAnsi="宋体" w:cs="宋体"/>
                      <w:color w:val="000000"/>
                      <w:kern w:val="0"/>
                      <w:sz w:val="18"/>
                      <w:szCs w:val="18"/>
                      <w:lang w:bidi="ar"/>
                    </w:rPr>
                  </w:pPr>
                  <w:r>
                    <w:rPr>
                      <w:rFonts w:ascii="宋体" w:hAnsi="宋体" w:cs="宋体"/>
                      <w:color w:val="000000"/>
                      <w:kern w:val="0"/>
                      <w:sz w:val="18"/>
                      <w:szCs w:val="18"/>
                      <w:lang w:bidi="ar"/>
                    </w:rPr>
                    <w:t>994</w:t>
                  </w:r>
                </w:p>
              </w:tc>
              <w:tc>
                <w:tcPr>
                  <w:tcW w:w="936" w:type="pct"/>
                  <w:tcBorders>
                    <w:top w:val="nil"/>
                    <w:left w:val="nil"/>
                    <w:bottom w:val="single" w:color="000000" w:sz="8" w:space="0"/>
                    <w:right w:val="single" w:color="000000" w:sz="8" w:space="0"/>
                  </w:tcBorders>
                  <w:noWrap/>
                  <w:vAlign w:val="top"/>
                </w:tcPr>
                <w:p w14:paraId="55885040">
                  <w:pPr>
                    <w:jc w:val="center"/>
                    <w:rPr>
                      <w:rFonts w:ascii="宋体" w:hAnsi="宋体" w:cs="宋体"/>
                      <w:color w:val="000000"/>
                      <w:kern w:val="0"/>
                      <w:sz w:val="18"/>
                      <w:szCs w:val="18"/>
                      <w:lang w:bidi="ar"/>
                    </w:rPr>
                  </w:pPr>
                  <w:r>
                    <w:rPr>
                      <w:rFonts w:ascii="宋体" w:hAnsi="宋体" w:cs="宋体"/>
                      <w:color w:val="000000"/>
                      <w:kern w:val="0"/>
                      <w:sz w:val="18"/>
                      <w:szCs w:val="18"/>
                      <w:lang w:bidi="ar"/>
                    </w:rPr>
                    <w:t>537</w:t>
                  </w:r>
                </w:p>
              </w:tc>
              <w:tc>
                <w:tcPr>
                  <w:tcW w:w="935" w:type="pct"/>
                  <w:tcBorders>
                    <w:top w:val="nil"/>
                    <w:left w:val="nil"/>
                    <w:bottom w:val="single" w:color="000000" w:sz="8" w:space="0"/>
                    <w:right w:val="single" w:color="000000" w:sz="8" w:space="0"/>
                  </w:tcBorders>
                  <w:noWrap/>
                  <w:vAlign w:val="top"/>
                </w:tcPr>
                <w:p w14:paraId="0006998B">
                  <w:pPr>
                    <w:jc w:val="center"/>
                    <w:rPr>
                      <w:rFonts w:ascii="宋体" w:hAnsi="宋体" w:cs="宋体"/>
                      <w:color w:val="000000"/>
                      <w:kern w:val="0"/>
                      <w:sz w:val="18"/>
                      <w:szCs w:val="18"/>
                      <w:lang w:bidi="ar"/>
                    </w:rPr>
                  </w:pPr>
                  <w:r>
                    <w:rPr>
                      <w:rFonts w:ascii="宋体" w:hAnsi="宋体" w:cs="宋体"/>
                      <w:color w:val="000000"/>
                      <w:kern w:val="0"/>
                      <w:sz w:val="18"/>
                      <w:szCs w:val="18"/>
                      <w:lang w:bidi="ar"/>
                    </w:rPr>
                    <w:t>156</w:t>
                  </w:r>
                </w:p>
              </w:tc>
            </w:tr>
            <w:tr w14:paraId="57E59024">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3E982ED6">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负债合计</w:t>
                  </w:r>
                </w:p>
              </w:tc>
              <w:tc>
                <w:tcPr>
                  <w:tcW w:w="936" w:type="pct"/>
                  <w:tcBorders>
                    <w:top w:val="nil"/>
                    <w:left w:val="nil"/>
                    <w:bottom w:val="single" w:color="000000" w:sz="8" w:space="0"/>
                    <w:right w:val="single" w:color="000000" w:sz="8" w:space="0"/>
                  </w:tcBorders>
                  <w:noWrap/>
                  <w:vAlign w:val="top"/>
                </w:tcPr>
                <w:p w14:paraId="783EBA6A">
                  <w:pPr>
                    <w:jc w:val="center"/>
                    <w:rPr>
                      <w:rFonts w:ascii="宋体" w:hAnsi="宋体" w:cs="宋体"/>
                      <w:color w:val="000000"/>
                      <w:kern w:val="0"/>
                      <w:sz w:val="18"/>
                      <w:szCs w:val="18"/>
                      <w:lang w:bidi="ar"/>
                    </w:rPr>
                  </w:pPr>
                  <w:r>
                    <w:rPr>
                      <w:rFonts w:ascii="宋体" w:hAnsi="宋体" w:cs="宋体"/>
                      <w:color w:val="000000"/>
                      <w:kern w:val="0"/>
                      <w:sz w:val="18"/>
                      <w:szCs w:val="18"/>
                      <w:lang w:bidi="ar"/>
                    </w:rPr>
                    <w:t>9014</w:t>
                  </w:r>
                </w:p>
              </w:tc>
              <w:tc>
                <w:tcPr>
                  <w:tcW w:w="936" w:type="pct"/>
                  <w:tcBorders>
                    <w:top w:val="nil"/>
                    <w:left w:val="nil"/>
                    <w:bottom w:val="single" w:color="000000" w:sz="8" w:space="0"/>
                    <w:right w:val="single" w:color="000000" w:sz="8" w:space="0"/>
                  </w:tcBorders>
                  <w:noWrap/>
                  <w:vAlign w:val="top"/>
                </w:tcPr>
                <w:p w14:paraId="61018998">
                  <w:pPr>
                    <w:jc w:val="center"/>
                    <w:rPr>
                      <w:rFonts w:ascii="宋体" w:hAnsi="宋体" w:cs="宋体"/>
                      <w:color w:val="000000"/>
                      <w:kern w:val="0"/>
                      <w:sz w:val="18"/>
                      <w:szCs w:val="18"/>
                      <w:lang w:bidi="ar"/>
                    </w:rPr>
                  </w:pPr>
                  <w:r>
                    <w:rPr>
                      <w:rFonts w:ascii="宋体" w:hAnsi="宋体" w:cs="宋体"/>
                      <w:color w:val="000000"/>
                      <w:kern w:val="0"/>
                      <w:sz w:val="18"/>
                      <w:szCs w:val="18"/>
                      <w:lang w:bidi="ar"/>
                    </w:rPr>
                    <w:t>9320</w:t>
                  </w:r>
                </w:p>
              </w:tc>
              <w:tc>
                <w:tcPr>
                  <w:tcW w:w="935" w:type="pct"/>
                  <w:tcBorders>
                    <w:top w:val="nil"/>
                    <w:left w:val="nil"/>
                    <w:bottom w:val="single" w:color="000000" w:sz="8" w:space="0"/>
                    <w:right w:val="single" w:color="000000" w:sz="8" w:space="0"/>
                  </w:tcBorders>
                  <w:noWrap/>
                  <w:vAlign w:val="top"/>
                </w:tcPr>
                <w:p w14:paraId="0314711A">
                  <w:pPr>
                    <w:jc w:val="center"/>
                    <w:rPr>
                      <w:rFonts w:ascii="宋体" w:hAnsi="宋体" w:cs="宋体"/>
                      <w:color w:val="000000"/>
                      <w:kern w:val="0"/>
                      <w:sz w:val="18"/>
                      <w:szCs w:val="18"/>
                      <w:lang w:bidi="ar"/>
                    </w:rPr>
                  </w:pPr>
                  <w:r>
                    <w:rPr>
                      <w:rFonts w:ascii="宋体" w:hAnsi="宋体" w:cs="宋体"/>
                      <w:color w:val="000000"/>
                      <w:kern w:val="0"/>
                      <w:sz w:val="18"/>
                      <w:szCs w:val="18"/>
                      <w:lang w:bidi="ar"/>
                    </w:rPr>
                    <w:t>7207</w:t>
                  </w:r>
                </w:p>
              </w:tc>
            </w:tr>
            <w:tr w14:paraId="3AFF7DFF">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0264841E">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流动负债</w:t>
                  </w:r>
                </w:p>
              </w:tc>
              <w:tc>
                <w:tcPr>
                  <w:tcW w:w="936" w:type="pct"/>
                  <w:tcBorders>
                    <w:top w:val="nil"/>
                    <w:left w:val="nil"/>
                    <w:bottom w:val="single" w:color="000000" w:sz="8" w:space="0"/>
                    <w:right w:val="single" w:color="000000" w:sz="8" w:space="0"/>
                  </w:tcBorders>
                  <w:noWrap/>
                  <w:vAlign w:val="top"/>
                </w:tcPr>
                <w:p w14:paraId="5B0DE770">
                  <w:pPr>
                    <w:jc w:val="center"/>
                    <w:rPr>
                      <w:rFonts w:ascii="宋体" w:hAnsi="宋体" w:cs="宋体"/>
                      <w:color w:val="000000"/>
                      <w:kern w:val="0"/>
                      <w:sz w:val="18"/>
                      <w:szCs w:val="18"/>
                      <w:lang w:bidi="ar"/>
                    </w:rPr>
                  </w:pPr>
                  <w:r>
                    <w:rPr>
                      <w:rFonts w:ascii="宋体" w:hAnsi="宋体" w:cs="宋体"/>
                      <w:color w:val="000000"/>
                      <w:kern w:val="0"/>
                      <w:sz w:val="18"/>
                      <w:szCs w:val="18"/>
                      <w:lang w:bidi="ar"/>
                    </w:rPr>
                    <w:t>9014</w:t>
                  </w:r>
                </w:p>
              </w:tc>
              <w:tc>
                <w:tcPr>
                  <w:tcW w:w="936" w:type="pct"/>
                  <w:tcBorders>
                    <w:top w:val="nil"/>
                    <w:left w:val="nil"/>
                    <w:bottom w:val="single" w:color="000000" w:sz="8" w:space="0"/>
                    <w:right w:val="single" w:color="000000" w:sz="8" w:space="0"/>
                  </w:tcBorders>
                  <w:noWrap/>
                  <w:vAlign w:val="top"/>
                </w:tcPr>
                <w:p w14:paraId="1D6ABE72">
                  <w:pPr>
                    <w:jc w:val="center"/>
                    <w:rPr>
                      <w:rFonts w:ascii="宋体" w:hAnsi="宋体" w:cs="宋体"/>
                      <w:color w:val="000000"/>
                      <w:kern w:val="0"/>
                      <w:sz w:val="18"/>
                      <w:szCs w:val="18"/>
                      <w:lang w:bidi="ar"/>
                    </w:rPr>
                  </w:pPr>
                  <w:r>
                    <w:rPr>
                      <w:rFonts w:ascii="宋体" w:hAnsi="宋体" w:cs="宋体"/>
                      <w:color w:val="000000"/>
                      <w:kern w:val="0"/>
                      <w:sz w:val="18"/>
                      <w:szCs w:val="18"/>
                      <w:lang w:bidi="ar"/>
                    </w:rPr>
                    <w:t>9320</w:t>
                  </w:r>
                </w:p>
              </w:tc>
              <w:tc>
                <w:tcPr>
                  <w:tcW w:w="935" w:type="pct"/>
                  <w:tcBorders>
                    <w:top w:val="nil"/>
                    <w:left w:val="nil"/>
                    <w:bottom w:val="single" w:color="000000" w:sz="8" w:space="0"/>
                    <w:right w:val="single" w:color="000000" w:sz="8" w:space="0"/>
                  </w:tcBorders>
                  <w:noWrap/>
                  <w:vAlign w:val="top"/>
                </w:tcPr>
                <w:p w14:paraId="5F84409D">
                  <w:pPr>
                    <w:jc w:val="center"/>
                    <w:rPr>
                      <w:rFonts w:ascii="宋体" w:hAnsi="宋体" w:cs="宋体"/>
                      <w:color w:val="000000"/>
                      <w:kern w:val="0"/>
                      <w:sz w:val="18"/>
                      <w:szCs w:val="18"/>
                      <w:lang w:bidi="ar"/>
                    </w:rPr>
                  </w:pPr>
                  <w:r>
                    <w:rPr>
                      <w:rFonts w:ascii="宋体" w:hAnsi="宋体" w:cs="宋体"/>
                      <w:color w:val="000000"/>
                      <w:kern w:val="0"/>
                      <w:sz w:val="18"/>
                      <w:szCs w:val="18"/>
                      <w:lang w:bidi="ar"/>
                    </w:rPr>
                    <w:t>7207</w:t>
                  </w:r>
                </w:p>
              </w:tc>
            </w:tr>
            <w:tr w14:paraId="269B0C58">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75F854AC">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短期借款</w:t>
                  </w:r>
                </w:p>
              </w:tc>
              <w:tc>
                <w:tcPr>
                  <w:tcW w:w="936" w:type="pct"/>
                  <w:tcBorders>
                    <w:top w:val="nil"/>
                    <w:left w:val="nil"/>
                    <w:bottom w:val="single" w:color="000000" w:sz="8" w:space="0"/>
                    <w:right w:val="single" w:color="000000" w:sz="8" w:space="0"/>
                  </w:tcBorders>
                  <w:noWrap/>
                  <w:vAlign w:val="top"/>
                </w:tcPr>
                <w:p w14:paraId="28F5DC48">
                  <w:pPr>
                    <w:jc w:val="center"/>
                    <w:rPr>
                      <w:rFonts w:ascii="宋体" w:hAnsi="宋体" w:cs="宋体"/>
                      <w:color w:val="000000"/>
                      <w:kern w:val="0"/>
                      <w:sz w:val="18"/>
                      <w:szCs w:val="18"/>
                      <w:lang w:bidi="ar"/>
                    </w:rPr>
                  </w:pPr>
                  <w:r>
                    <w:rPr>
                      <w:rFonts w:ascii="宋体" w:hAnsi="宋体" w:cs="宋体"/>
                      <w:color w:val="000000"/>
                      <w:kern w:val="0"/>
                      <w:sz w:val="18"/>
                      <w:szCs w:val="18"/>
                      <w:lang w:bidi="ar"/>
                    </w:rPr>
                    <w:t>4000</w:t>
                  </w:r>
                </w:p>
              </w:tc>
              <w:tc>
                <w:tcPr>
                  <w:tcW w:w="936" w:type="pct"/>
                  <w:tcBorders>
                    <w:top w:val="nil"/>
                    <w:left w:val="nil"/>
                    <w:bottom w:val="single" w:color="000000" w:sz="8" w:space="0"/>
                    <w:right w:val="single" w:color="000000" w:sz="8" w:space="0"/>
                  </w:tcBorders>
                  <w:noWrap/>
                  <w:vAlign w:val="top"/>
                </w:tcPr>
                <w:p w14:paraId="4CD43F6A">
                  <w:pPr>
                    <w:jc w:val="center"/>
                    <w:rPr>
                      <w:rFonts w:ascii="宋体" w:hAnsi="宋体" w:cs="宋体"/>
                      <w:color w:val="000000"/>
                      <w:kern w:val="0"/>
                      <w:sz w:val="18"/>
                      <w:szCs w:val="18"/>
                      <w:lang w:bidi="ar"/>
                    </w:rPr>
                  </w:pPr>
                  <w:r>
                    <w:rPr>
                      <w:rFonts w:ascii="宋体" w:hAnsi="宋体" w:cs="宋体"/>
                      <w:color w:val="000000"/>
                      <w:kern w:val="0"/>
                      <w:sz w:val="18"/>
                      <w:szCs w:val="18"/>
                      <w:lang w:bidi="ar"/>
                    </w:rPr>
                    <w:t>4990</w:t>
                  </w:r>
                </w:p>
              </w:tc>
              <w:tc>
                <w:tcPr>
                  <w:tcW w:w="935" w:type="pct"/>
                  <w:tcBorders>
                    <w:top w:val="nil"/>
                    <w:left w:val="nil"/>
                    <w:bottom w:val="single" w:color="000000" w:sz="8" w:space="0"/>
                    <w:right w:val="single" w:color="000000" w:sz="8" w:space="0"/>
                  </w:tcBorders>
                  <w:noWrap/>
                  <w:vAlign w:val="top"/>
                </w:tcPr>
                <w:p w14:paraId="664374F9">
                  <w:pPr>
                    <w:jc w:val="center"/>
                    <w:rPr>
                      <w:rFonts w:ascii="宋体" w:hAnsi="宋体" w:cs="宋体"/>
                      <w:color w:val="000000"/>
                      <w:kern w:val="0"/>
                      <w:sz w:val="18"/>
                      <w:szCs w:val="18"/>
                      <w:lang w:bidi="ar"/>
                    </w:rPr>
                  </w:pPr>
                  <w:r>
                    <w:rPr>
                      <w:rFonts w:ascii="宋体" w:hAnsi="宋体" w:cs="宋体"/>
                      <w:color w:val="000000"/>
                      <w:kern w:val="0"/>
                      <w:sz w:val="18"/>
                      <w:szCs w:val="18"/>
                      <w:lang w:bidi="ar"/>
                    </w:rPr>
                    <w:t>4730</w:t>
                  </w:r>
                </w:p>
              </w:tc>
            </w:tr>
            <w:tr w14:paraId="2D9A8BEE">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0EA1230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应付票据</w:t>
                  </w:r>
                </w:p>
              </w:tc>
              <w:tc>
                <w:tcPr>
                  <w:tcW w:w="936" w:type="pct"/>
                  <w:tcBorders>
                    <w:top w:val="nil"/>
                    <w:left w:val="nil"/>
                    <w:bottom w:val="single" w:color="000000" w:sz="8" w:space="0"/>
                    <w:right w:val="single" w:color="000000" w:sz="8" w:space="0"/>
                  </w:tcBorders>
                  <w:noWrap/>
                  <w:vAlign w:val="top"/>
                </w:tcPr>
                <w:p w14:paraId="471DC2F1">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6" w:type="pct"/>
                  <w:tcBorders>
                    <w:top w:val="nil"/>
                    <w:left w:val="nil"/>
                    <w:bottom w:val="single" w:color="000000" w:sz="8" w:space="0"/>
                    <w:right w:val="single" w:color="000000" w:sz="8" w:space="0"/>
                  </w:tcBorders>
                  <w:noWrap/>
                  <w:vAlign w:val="top"/>
                </w:tcPr>
                <w:p w14:paraId="5339E9BF">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5" w:type="pct"/>
                  <w:tcBorders>
                    <w:top w:val="nil"/>
                    <w:left w:val="nil"/>
                    <w:bottom w:val="single" w:color="000000" w:sz="8" w:space="0"/>
                    <w:right w:val="single" w:color="000000" w:sz="8" w:space="0"/>
                  </w:tcBorders>
                  <w:noWrap/>
                  <w:vAlign w:val="top"/>
                </w:tcPr>
                <w:p w14:paraId="36E48CB1">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r>
            <w:tr w14:paraId="75DDD8E5">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16CD3BD6">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应付账款</w:t>
                  </w:r>
                </w:p>
              </w:tc>
              <w:tc>
                <w:tcPr>
                  <w:tcW w:w="936" w:type="pct"/>
                  <w:tcBorders>
                    <w:top w:val="nil"/>
                    <w:left w:val="nil"/>
                    <w:bottom w:val="single" w:color="000000" w:sz="8" w:space="0"/>
                    <w:right w:val="single" w:color="000000" w:sz="8" w:space="0"/>
                  </w:tcBorders>
                  <w:noWrap/>
                  <w:vAlign w:val="top"/>
                </w:tcPr>
                <w:p w14:paraId="21BD4257">
                  <w:pPr>
                    <w:jc w:val="center"/>
                    <w:rPr>
                      <w:rFonts w:ascii="宋体" w:hAnsi="宋体" w:cs="宋体"/>
                      <w:color w:val="000000"/>
                      <w:kern w:val="0"/>
                      <w:sz w:val="18"/>
                      <w:szCs w:val="18"/>
                      <w:lang w:bidi="ar"/>
                    </w:rPr>
                  </w:pPr>
                  <w:r>
                    <w:rPr>
                      <w:rFonts w:ascii="宋体" w:hAnsi="宋体" w:cs="宋体"/>
                      <w:color w:val="000000"/>
                      <w:kern w:val="0"/>
                      <w:sz w:val="18"/>
                      <w:szCs w:val="18"/>
                      <w:lang w:bidi="ar"/>
                    </w:rPr>
                    <w:t>1847</w:t>
                  </w:r>
                </w:p>
              </w:tc>
              <w:tc>
                <w:tcPr>
                  <w:tcW w:w="936" w:type="pct"/>
                  <w:tcBorders>
                    <w:top w:val="nil"/>
                    <w:left w:val="nil"/>
                    <w:bottom w:val="single" w:color="000000" w:sz="8" w:space="0"/>
                    <w:right w:val="single" w:color="000000" w:sz="8" w:space="0"/>
                  </w:tcBorders>
                  <w:noWrap/>
                  <w:vAlign w:val="top"/>
                </w:tcPr>
                <w:p w14:paraId="685253DB">
                  <w:pPr>
                    <w:jc w:val="center"/>
                    <w:rPr>
                      <w:rFonts w:ascii="宋体" w:hAnsi="宋体" w:cs="宋体"/>
                      <w:color w:val="000000"/>
                      <w:kern w:val="0"/>
                      <w:sz w:val="18"/>
                      <w:szCs w:val="18"/>
                      <w:lang w:bidi="ar"/>
                    </w:rPr>
                  </w:pPr>
                  <w:r>
                    <w:rPr>
                      <w:rFonts w:ascii="宋体" w:hAnsi="宋体" w:cs="宋体"/>
                      <w:color w:val="000000"/>
                      <w:kern w:val="0"/>
                      <w:sz w:val="18"/>
                      <w:szCs w:val="18"/>
                      <w:lang w:bidi="ar"/>
                    </w:rPr>
                    <w:t>2333</w:t>
                  </w:r>
                </w:p>
              </w:tc>
              <w:tc>
                <w:tcPr>
                  <w:tcW w:w="935" w:type="pct"/>
                  <w:tcBorders>
                    <w:top w:val="nil"/>
                    <w:left w:val="nil"/>
                    <w:bottom w:val="single" w:color="000000" w:sz="8" w:space="0"/>
                    <w:right w:val="single" w:color="000000" w:sz="8" w:space="0"/>
                  </w:tcBorders>
                  <w:noWrap/>
                  <w:vAlign w:val="top"/>
                </w:tcPr>
                <w:p w14:paraId="3128A496">
                  <w:pPr>
                    <w:jc w:val="center"/>
                    <w:rPr>
                      <w:rFonts w:ascii="宋体" w:hAnsi="宋体" w:cs="宋体"/>
                      <w:color w:val="000000"/>
                      <w:kern w:val="0"/>
                      <w:sz w:val="18"/>
                      <w:szCs w:val="18"/>
                      <w:lang w:bidi="ar"/>
                    </w:rPr>
                  </w:pPr>
                  <w:r>
                    <w:rPr>
                      <w:rFonts w:ascii="宋体" w:hAnsi="宋体" w:cs="宋体"/>
                      <w:color w:val="000000"/>
                      <w:kern w:val="0"/>
                      <w:sz w:val="18"/>
                      <w:szCs w:val="18"/>
                      <w:lang w:bidi="ar"/>
                    </w:rPr>
                    <w:t>1026</w:t>
                  </w:r>
                </w:p>
              </w:tc>
            </w:tr>
            <w:tr w14:paraId="114C47FE">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747C912E">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应付税金</w:t>
                  </w:r>
                </w:p>
              </w:tc>
              <w:tc>
                <w:tcPr>
                  <w:tcW w:w="936" w:type="pct"/>
                  <w:tcBorders>
                    <w:top w:val="nil"/>
                    <w:left w:val="nil"/>
                    <w:bottom w:val="single" w:color="000000" w:sz="8" w:space="0"/>
                    <w:right w:val="single" w:color="000000" w:sz="8" w:space="0"/>
                  </w:tcBorders>
                  <w:noWrap/>
                  <w:vAlign w:val="top"/>
                </w:tcPr>
                <w:p w14:paraId="39A95317">
                  <w:pPr>
                    <w:jc w:val="center"/>
                    <w:rPr>
                      <w:rFonts w:ascii="宋体" w:hAnsi="宋体" w:cs="宋体"/>
                      <w:color w:val="000000"/>
                      <w:kern w:val="0"/>
                      <w:sz w:val="18"/>
                      <w:szCs w:val="18"/>
                      <w:lang w:bidi="ar"/>
                    </w:rPr>
                  </w:pPr>
                  <w:r>
                    <w:rPr>
                      <w:rFonts w:ascii="宋体" w:hAnsi="宋体" w:cs="宋体"/>
                      <w:color w:val="000000"/>
                      <w:kern w:val="0"/>
                      <w:sz w:val="18"/>
                      <w:szCs w:val="18"/>
                      <w:lang w:bidi="ar"/>
                    </w:rPr>
                    <w:t>265</w:t>
                  </w:r>
                </w:p>
              </w:tc>
              <w:tc>
                <w:tcPr>
                  <w:tcW w:w="936" w:type="pct"/>
                  <w:tcBorders>
                    <w:top w:val="nil"/>
                    <w:left w:val="nil"/>
                    <w:bottom w:val="single" w:color="000000" w:sz="8" w:space="0"/>
                    <w:right w:val="single" w:color="000000" w:sz="8" w:space="0"/>
                  </w:tcBorders>
                  <w:noWrap/>
                  <w:vAlign w:val="top"/>
                </w:tcPr>
                <w:p w14:paraId="6FD40484">
                  <w:pPr>
                    <w:jc w:val="center"/>
                    <w:rPr>
                      <w:rFonts w:ascii="宋体" w:hAnsi="宋体" w:cs="宋体"/>
                      <w:color w:val="000000"/>
                      <w:kern w:val="0"/>
                      <w:sz w:val="18"/>
                      <w:szCs w:val="18"/>
                      <w:lang w:bidi="ar"/>
                    </w:rPr>
                  </w:pPr>
                  <w:r>
                    <w:rPr>
                      <w:rFonts w:ascii="宋体" w:hAnsi="宋体" w:cs="宋体"/>
                      <w:color w:val="000000"/>
                      <w:kern w:val="0"/>
                      <w:sz w:val="18"/>
                      <w:szCs w:val="18"/>
                      <w:lang w:bidi="ar"/>
                    </w:rPr>
                    <w:t>282</w:t>
                  </w:r>
                </w:p>
              </w:tc>
              <w:tc>
                <w:tcPr>
                  <w:tcW w:w="935" w:type="pct"/>
                  <w:tcBorders>
                    <w:top w:val="nil"/>
                    <w:left w:val="nil"/>
                    <w:bottom w:val="single" w:color="000000" w:sz="8" w:space="0"/>
                    <w:right w:val="single" w:color="000000" w:sz="8" w:space="0"/>
                  </w:tcBorders>
                  <w:noWrap/>
                  <w:vAlign w:val="top"/>
                </w:tcPr>
                <w:p w14:paraId="68BBFAF4">
                  <w:pPr>
                    <w:jc w:val="center"/>
                    <w:rPr>
                      <w:rFonts w:ascii="宋体" w:hAnsi="宋体" w:cs="宋体"/>
                      <w:color w:val="000000"/>
                      <w:kern w:val="0"/>
                      <w:sz w:val="18"/>
                      <w:szCs w:val="18"/>
                      <w:lang w:bidi="ar"/>
                    </w:rPr>
                  </w:pPr>
                  <w:r>
                    <w:rPr>
                      <w:rFonts w:ascii="宋体" w:hAnsi="宋体" w:cs="宋体"/>
                      <w:color w:val="000000"/>
                      <w:kern w:val="0"/>
                      <w:sz w:val="18"/>
                      <w:szCs w:val="18"/>
                      <w:lang w:bidi="ar"/>
                    </w:rPr>
                    <w:t>231</w:t>
                  </w:r>
                </w:p>
              </w:tc>
            </w:tr>
            <w:tr w14:paraId="0B767F55">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739C3E77">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其它应交款</w:t>
                  </w:r>
                </w:p>
              </w:tc>
              <w:tc>
                <w:tcPr>
                  <w:tcW w:w="936" w:type="pct"/>
                  <w:tcBorders>
                    <w:top w:val="nil"/>
                    <w:left w:val="nil"/>
                    <w:bottom w:val="single" w:color="000000" w:sz="8" w:space="0"/>
                    <w:right w:val="single" w:color="000000" w:sz="8" w:space="0"/>
                  </w:tcBorders>
                  <w:noWrap/>
                  <w:vAlign w:val="top"/>
                </w:tcPr>
                <w:p w14:paraId="7201F3F6">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6" w:type="pct"/>
                  <w:tcBorders>
                    <w:top w:val="nil"/>
                    <w:left w:val="nil"/>
                    <w:bottom w:val="single" w:color="000000" w:sz="8" w:space="0"/>
                    <w:right w:val="single" w:color="000000" w:sz="8" w:space="0"/>
                  </w:tcBorders>
                  <w:noWrap/>
                  <w:vAlign w:val="top"/>
                </w:tcPr>
                <w:p w14:paraId="6F9691FD">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5" w:type="pct"/>
                  <w:tcBorders>
                    <w:top w:val="nil"/>
                    <w:left w:val="nil"/>
                    <w:bottom w:val="single" w:color="000000" w:sz="8" w:space="0"/>
                    <w:right w:val="single" w:color="000000" w:sz="8" w:space="0"/>
                  </w:tcBorders>
                  <w:noWrap/>
                  <w:vAlign w:val="top"/>
                </w:tcPr>
                <w:p w14:paraId="02A7BE73">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r>
            <w:tr w14:paraId="5B21C88A">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033E7393">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长期借款</w:t>
                  </w:r>
                </w:p>
              </w:tc>
              <w:tc>
                <w:tcPr>
                  <w:tcW w:w="936" w:type="pct"/>
                  <w:tcBorders>
                    <w:top w:val="nil"/>
                    <w:left w:val="nil"/>
                    <w:bottom w:val="single" w:color="000000" w:sz="8" w:space="0"/>
                    <w:right w:val="single" w:color="000000" w:sz="8" w:space="0"/>
                  </w:tcBorders>
                  <w:noWrap/>
                  <w:vAlign w:val="top"/>
                </w:tcPr>
                <w:p w14:paraId="71BD84EE">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6" w:type="pct"/>
                  <w:tcBorders>
                    <w:top w:val="nil"/>
                    <w:left w:val="nil"/>
                    <w:bottom w:val="single" w:color="000000" w:sz="8" w:space="0"/>
                    <w:right w:val="single" w:color="000000" w:sz="8" w:space="0"/>
                  </w:tcBorders>
                  <w:noWrap/>
                  <w:vAlign w:val="top"/>
                </w:tcPr>
                <w:p w14:paraId="5CF51E2A">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c>
                <w:tcPr>
                  <w:tcW w:w="935" w:type="pct"/>
                  <w:tcBorders>
                    <w:top w:val="nil"/>
                    <w:left w:val="nil"/>
                    <w:bottom w:val="single" w:color="000000" w:sz="8" w:space="0"/>
                    <w:right w:val="single" w:color="000000" w:sz="8" w:space="0"/>
                  </w:tcBorders>
                  <w:noWrap/>
                  <w:vAlign w:val="top"/>
                </w:tcPr>
                <w:p w14:paraId="41ADAE6E">
                  <w:pPr>
                    <w:jc w:val="center"/>
                    <w:rPr>
                      <w:rFonts w:ascii="宋体" w:hAnsi="宋体" w:cs="宋体"/>
                      <w:color w:val="000000"/>
                      <w:kern w:val="0"/>
                      <w:sz w:val="18"/>
                      <w:szCs w:val="18"/>
                      <w:lang w:bidi="ar"/>
                    </w:rPr>
                  </w:pPr>
                  <w:r>
                    <w:rPr>
                      <w:rFonts w:hint="eastAsia" w:ascii="宋体" w:hAnsi="宋体" w:cs="宋体"/>
                      <w:color w:val="000000"/>
                      <w:kern w:val="0"/>
                      <w:sz w:val="18"/>
                      <w:szCs w:val="18"/>
                      <w:lang w:bidi="ar"/>
                    </w:rPr>
                    <w:t>0</w:t>
                  </w:r>
                </w:p>
              </w:tc>
            </w:tr>
            <w:tr w14:paraId="27A539A7">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4781A0C2">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股东权益合计</w:t>
                  </w:r>
                </w:p>
              </w:tc>
              <w:tc>
                <w:tcPr>
                  <w:tcW w:w="936" w:type="pct"/>
                  <w:tcBorders>
                    <w:top w:val="nil"/>
                    <w:left w:val="nil"/>
                    <w:bottom w:val="single" w:color="000000" w:sz="8" w:space="0"/>
                    <w:right w:val="single" w:color="000000" w:sz="8" w:space="0"/>
                  </w:tcBorders>
                  <w:noWrap/>
                  <w:vAlign w:val="top"/>
                </w:tcPr>
                <w:p w14:paraId="0417AE9A">
                  <w:pPr>
                    <w:jc w:val="center"/>
                    <w:rPr>
                      <w:rFonts w:ascii="宋体" w:hAnsi="宋体" w:cs="宋体"/>
                      <w:color w:val="000000"/>
                      <w:kern w:val="0"/>
                      <w:sz w:val="18"/>
                      <w:szCs w:val="18"/>
                      <w:lang w:bidi="ar"/>
                    </w:rPr>
                  </w:pPr>
                  <w:r>
                    <w:rPr>
                      <w:rFonts w:ascii="宋体" w:hAnsi="宋体" w:cs="宋体"/>
                      <w:color w:val="000000"/>
                      <w:kern w:val="0"/>
                      <w:sz w:val="18"/>
                      <w:szCs w:val="18"/>
                      <w:lang w:bidi="ar"/>
                    </w:rPr>
                    <w:t>8927</w:t>
                  </w:r>
                </w:p>
              </w:tc>
              <w:tc>
                <w:tcPr>
                  <w:tcW w:w="936" w:type="pct"/>
                  <w:tcBorders>
                    <w:top w:val="nil"/>
                    <w:left w:val="nil"/>
                    <w:bottom w:val="single" w:color="000000" w:sz="8" w:space="0"/>
                    <w:right w:val="single" w:color="000000" w:sz="8" w:space="0"/>
                  </w:tcBorders>
                  <w:noWrap/>
                  <w:vAlign w:val="top"/>
                </w:tcPr>
                <w:p w14:paraId="54871005">
                  <w:pPr>
                    <w:jc w:val="center"/>
                    <w:rPr>
                      <w:rFonts w:ascii="宋体" w:hAnsi="宋体" w:cs="宋体"/>
                      <w:color w:val="000000"/>
                      <w:kern w:val="0"/>
                      <w:sz w:val="18"/>
                      <w:szCs w:val="18"/>
                      <w:lang w:bidi="ar"/>
                    </w:rPr>
                  </w:pPr>
                  <w:r>
                    <w:rPr>
                      <w:rFonts w:ascii="宋体" w:hAnsi="宋体" w:cs="宋体"/>
                      <w:color w:val="000000"/>
                      <w:kern w:val="0"/>
                      <w:sz w:val="18"/>
                      <w:szCs w:val="18"/>
                      <w:lang w:bidi="ar"/>
                    </w:rPr>
                    <w:t>9256</w:t>
                  </w:r>
                </w:p>
              </w:tc>
              <w:tc>
                <w:tcPr>
                  <w:tcW w:w="935" w:type="pct"/>
                  <w:tcBorders>
                    <w:top w:val="nil"/>
                    <w:left w:val="nil"/>
                    <w:bottom w:val="single" w:color="000000" w:sz="8" w:space="0"/>
                    <w:right w:val="single" w:color="000000" w:sz="8" w:space="0"/>
                  </w:tcBorders>
                  <w:noWrap/>
                  <w:vAlign w:val="top"/>
                </w:tcPr>
                <w:p w14:paraId="3BAC4012">
                  <w:pPr>
                    <w:jc w:val="center"/>
                    <w:rPr>
                      <w:rFonts w:ascii="宋体" w:hAnsi="宋体" w:cs="宋体"/>
                      <w:color w:val="000000"/>
                      <w:kern w:val="0"/>
                      <w:sz w:val="18"/>
                      <w:szCs w:val="18"/>
                      <w:lang w:bidi="ar"/>
                    </w:rPr>
                  </w:pPr>
                  <w:r>
                    <w:rPr>
                      <w:rFonts w:ascii="宋体" w:hAnsi="宋体" w:cs="宋体"/>
                      <w:color w:val="000000"/>
                      <w:kern w:val="0"/>
                      <w:sz w:val="18"/>
                      <w:szCs w:val="18"/>
                      <w:lang w:bidi="ar"/>
                    </w:rPr>
                    <w:t>9749</w:t>
                  </w:r>
                </w:p>
              </w:tc>
            </w:tr>
            <w:tr w14:paraId="680F1F6E">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0BC88704">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实收资本</w:t>
                  </w:r>
                </w:p>
              </w:tc>
              <w:tc>
                <w:tcPr>
                  <w:tcW w:w="936" w:type="pct"/>
                  <w:tcBorders>
                    <w:top w:val="nil"/>
                    <w:left w:val="nil"/>
                    <w:bottom w:val="single" w:color="000000" w:sz="8" w:space="0"/>
                    <w:right w:val="single" w:color="000000" w:sz="8" w:space="0"/>
                  </w:tcBorders>
                  <w:noWrap/>
                  <w:vAlign w:val="top"/>
                </w:tcPr>
                <w:p w14:paraId="5E5A5641">
                  <w:pPr>
                    <w:jc w:val="center"/>
                    <w:rPr>
                      <w:rFonts w:ascii="宋体" w:hAnsi="宋体" w:cs="宋体"/>
                      <w:color w:val="000000"/>
                      <w:kern w:val="0"/>
                      <w:sz w:val="18"/>
                      <w:szCs w:val="18"/>
                      <w:lang w:bidi="ar"/>
                    </w:rPr>
                  </w:pPr>
                  <w:r>
                    <w:rPr>
                      <w:rFonts w:ascii="宋体" w:hAnsi="宋体" w:cs="宋体"/>
                      <w:color w:val="000000"/>
                      <w:kern w:val="0"/>
                      <w:sz w:val="18"/>
                      <w:szCs w:val="18"/>
                      <w:lang w:bidi="ar"/>
                    </w:rPr>
                    <w:t>4100</w:t>
                  </w:r>
                </w:p>
              </w:tc>
              <w:tc>
                <w:tcPr>
                  <w:tcW w:w="936" w:type="pct"/>
                  <w:tcBorders>
                    <w:top w:val="nil"/>
                    <w:left w:val="nil"/>
                    <w:bottom w:val="single" w:color="000000" w:sz="8" w:space="0"/>
                    <w:right w:val="single" w:color="000000" w:sz="8" w:space="0"/>
                  </w:tcBorders>
                  <w:noWrap/>
                  <w:vAlign w:val="top"/>
                </w:tcPr>
                <w:p w14:paraId="72E1FED5">
                  <w:pPr>
                    <w:jc w:val="center"/>
                    <w:rPr>
                      <w:rFonts w:ascii="宋体" w:hAnsi="宋体" w:cs="宋体"/>
                      <w:color w:val="000000"/>
                      <w:kern w:val="0"/>
                      <w:sz w:val="18"/>
                      <w:szCs w:val="18"/>
                      <w:lang w:bidi="ar"/>
                    </w:rPr>
                  </w:pPr>
                  <w:r>
                    <w:rPr>
                      <w:rFonts w:ascii="宋体" w:hAnsi="宋体" w:cs="宋体"/>
                      <w:color w:val="000000"/>
                      <w:kern w:val="0"/>
                      <w:sz w:val="18"/>
                      <w:szCs w:val="18"/>
                      <w:lang w:bidi="ar"/>
                    </w:rPr>
                    <w:t>4100</w:t>
                  </w:r>
                </w:p>
              </w:tc>
              <w:tc>
                <w:tcPr>
                  <w:tcW w:w="935" w:type="pct"/>
                  <w:tcBorders>
                    <w:top w:val="nil"/>
                    <w:left w:val="nil"/>
                    <w:bottom w:val="single" w:color="000000" w:sz="8" w:space="0"/>
                    <w:right w:val="single" w:color="000000" w:sz="8" w:space="0"/>
                  </w:tcBorders>
                  <w:noWrap/>
                  <w:vAlign w:val="top"/>
                </w:tcPr>
                <w:p w14:paraId="44D20DE4">
                  <w:pPr>
                    <w:jc w:val="center"/>
                    <w:rPr>
                      <w:rFonts w:ascii="宋体" w:hAnsi="宋体" w:cs="宋体"/>
                      <w:color w:val="000000"/>
                      <w:kern w:val="0"/>
                      <w:sz w:val="18"/>
                      <w:szCs w:val="18"/>
                      <w:lang w:bidi="ar"/>
                    </w:rPr>
                  </w:pPr>
                  <w:r>
                    <w:rPr>
                      <w:rFonts w:ascii="宋体" w:hAnsi="宋体" w:cs="宋体"/>
                      <w:color w:val="000000"/>
                      <w:kern w:val="0"/>
                      <w:sz w:val="18"/>
                      <w:szCs w:val="18"/>
                      <w:lang w:bidi="ar"/>
                    </w:rPr>
                    <w:t>4100</w:t>
                  </w:r>
                </w:p>
              </w:tc>
            </w:tr>
            <w:tr w14:paraId="108425BB">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3035DA96">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资本公积</w:t>
                  </w:r>
                </w:p>
              </w:tc>
              <w:tc>
                <w:tcPr>
                  <w:tcW w:w="936" w:type="pct"/>
                  <w:tcBorders>
                    <w:top w:val="nil"/>
                    <w:left w:val="nil"/>
                    <w:bottom w:val="single" w:color="000000" w:sz="8" w:space="0"/>
                    <w:right w:val="single" w:color="000000" w:sz="8" w:space="0"/>
                  </w:tcBorders>
                  <w:noWrap/>
                  <w:vAlign w:val="top"/>
                </w:tcPr>
                <w:p w14:paraId="01912FFE">
                  <w:pPr>
                    <w:jc w:val="center"/>
                    <w:rPr>
                      <w:rFonts w:ascii="宋体" w:hAnsi="宋体" w:cs="宋体"/>
                      <w:color w:val="000000"/>
                      <w:kern w:val="0"/>
                      <w:sz w:val="18"/>
                      <w:szCs w:val="18"/>
                      <w:lang w:bidi="ar"/>
                    </w:rPr>
                  </w:pPr>
                  <w:r>
                    <w:rPr>
                      <w:rFonts w:ascii="宋体" w:hAnsi="宋体" w:cs="宋体"/>
                      <w:color w:val="000000"/>
                      <w:kern w:val="0"/>
                      <w:sz w:val="18"/>
                      <w:szCs w:val="18"/>
                      <w:lang w:bidi="ar"/>
                    </w:rPr>
                    <w:t>3298</w:t>
                  </w:r>
                </w:p>
              </w:tc>
              <w:tc>
                <w:tcPr>
                  <w:tcW w:w="936" w:type="pct"/>
                  <w:tcBorders>
                    <w:top w:val="nil"/>
                    <w:left w:val="nil"/>
                    <w:bottom w:val="single" w:color="000000" w:sz="8" w:space="0"/>
                    <w:right w:val="single" w:color="000000" w:sz="8" w:space="0"/>
                  </w:tcBorders>
                  <w:noWrap/>
                  <w:vAlign w:val="top"/>
                </w:tcPr>
                <w:p w14:paraId="623337FE">
                  <w:pPr>
                    <w:jc w:val="center"/>
                    <w:rPr>
                      <w:rFonts w:ascii="宋体" w:hAnsi="宋体" w:cs="宋体"/>
                      <w:color w:val="000000"/>
                      <w:kern w:val="0"/>
                      <w:sz w:val="18"/>
                      <w:szCs w:val="18"/>
                      <w:lang w:bidi="ar"/>
                    </w:rPr>
                  </w:pPr>
                  <w:r>
                    <w:rPr>
                      <w:rFonts w:ascii="宋体" w:hAnsi="宋体" w:cs="宋体"/>
                      <w:color w:val="000000"/>
                      <w:kern w:val="0"/>
                      <w:sz w:val="18"/>
                      <w:szCs w:val="18"/>
                      <w:lang w:bidi="ar"/>
                    </w:rPr>
                    <w:t>3298</w:t>
                  </w:r>
                </w:p>
              </w:tc>
              <w:tc>
                <w:tcPr>
                  <w:tcW w:w="935" w:type="pct"/>
                  <w:tcBorders>
                    <w:top w:val="nil"/>
                    <w:left w:val="nil"/>
                    <w:bottom w:val="single" w:color="000000" w:sz="8" w:space="0"/>
                    <w:right w:val="single" w:color="000000" w:sz="8" w:space="0"/>
                  </w:tcBorders>
                  <w:noWrap/>
                  <w:vAlign w:val="top"/>
                </w:tcPr>
                <w:p w14:paraId="55E07720">
                  <w:pPr>
                    <w:jc w:val="center"/>
                    <w:rPr>
                      <w:rFonts w:ascii="宋体" w:hAnsi="宋体" w:cs="宋体"/>
                      <w:color w:val="000000"/>
                      <w:kern w:val="0"/>
                      <w:sz w:val="18"/>
                      <w:szCs w:val="18"/>
                      <w:lang w:bidi="ar"/>
                    </w:rPr>
                  </w:pPr>
                  <w:r>
                    <w:rPr>
                      <w:rFonts w:ascii="宋体" w:hAnsi="宋体" w:cs="宋体"/>
                      <w:color w:val="000000"/>
                      <w:kern w:val="0"/>
                      <w:sz w:val="18"/>
                      <w:szCs w:val="18"/>
                      <w:lang w:bidi="ar"/>
                    </w:rPr>
                    <w:t>3298</w:t>
                  </w:r>
                </w:p>
              </w:tc>
            </w:tr>
            <w:tr w14:paraId="5E102FDB">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681BF3F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盈余公积</w:t>
                  </w:r>
                </w:p>
              </w:tc>
              <w:tc>
                <w:tcPr>
                  <w:tcW w:w="936" w:type="pct"/>
                  <w:tcBorders>
                    <w:top w:val="nil"/>
                    <w:left w:val="nil"/>
                    <w:bottom w:val="single" w:color="000000" w:sz="8" w:space="0"/>
                    <w:right w:val="single" w:color="000000" w:sz="8" w:space="0"/>
                  </w:tcBorders>
                  <w:noWrap/>
                  <w:vAlign w:val="top"/>
                </w:tcPr>
                <w:p w14:paraId="434F7556">
                  <w:pPr>
                    <w:jc w:val="center"/>
                    <w:rPr>
                      <w:rFonts w:ascii="宋体" w:hAnsi="宋体" w:cs="宋体"/>
                      <w:color w:val="000000"/>
                      <w:kern w:val="0"/>
                      <w:sz w:val="18"/>
                      <w:szCs w:val="18"/>
                      <w:lang w:bidi="ar"/>
                    </w:rPr>
                  </w:pPr>
                  <w:r>
                    <w:rPr>
                      <w:rFonts w:ascii="宋体" w:hAnsi="宋体" w:cs="宋体"/>
                      <w:color w:val="000000"/>
                      <w:kern w:val="0"/>
                      <w:sz w:val="18"/>
                      <w:szCs w:val="18"/>
                      <w:lang w:bidi="ar"/>
                    </w:rPr>
                    <w:t>199</w:t>
                  </w:r>
                </w:p>
              </w:tc>
              <w:tc>
                <w:tcPr>
                  <w:tcW w:w="936" w:type="pct"/>
                  <w:tcBorders>
                    <w:top w:val="nil"/>
                    <w:left w:val="nil"/>
                    <w:bottom w:val="single" w:color="000000" w:sz="8" w:space="0"/>
                    <w:right w:val="single" w:color="000000" w:sz="8" w:space="0"/>
                  </w:tcBorders>
                  <w:noWrap/>
                  <w:vAlign w:val="top"/>
                </w:tcPr>
                <w:p w14:paraId="52D83511">
                  <w:pPr>
                    <w:jc w:val="center"/>
                    <w:rPr>
                      <w:rFonts w:ascii="宋体" w:hAnsi="宋体" w:cs="宋体"/>
                      <w:color w:val="000000"/>
                      <w:kern w:val="0"/>
                      <w:sz w:val="18"/>
                      <w:szCs w:val="18"/>
                      <w:lang w:bidi="ar"/>
                    </w:rPr>
                  </w:pPr>
                  <w:r>
                    <w:rPr>
                      <w:rFonts w:ascii="宋体" w:hAnsi="宋体" w:cs="宋体"/>
                      <w:color w:val="000000"/>
                      <w:kern w:val="0"/>
                      <w:sz w:val="18"/>
                      <w:szCs w:val="18"/>
                      <w:lang w:bidi="ar"/>
                    </w:rPr>
                    <w:t>232</w:t>
                  </w:r>
                </w:p>
              </w:tc>
              <w:tc>
                <w:tcPr>
                  <w:tcW w:w="935" w:type="pct"/>
                  <w:tcBorders>
                    <w:top w:val="nil"/>
                    <w:left w:val="nil"/>
                    <w:bottom w:val="single" w:color="000000" w:sz="8" w:space="0"/>
                    <w:right w:val="single" w:color="000000" w:sz="8" w:space="0"/>
                  </w:tcBorders>
                  <w:noWrap/>
                  <w:vAlign w:val="top"/>
                </w:tcPr>
                <w:p w14:paraId="295321DA">
                  <w:pPr>
                    <w:jc w:val="center"/>
                    <w:rPr>
                      <w:rFonts w:ascii="宋体" w:hAnsi="宋体" w:cs="宋体"/>
                      <w:color w:val="000000"/>
                      <w:kern w:val="0"/>
                      <w:sz w:val="18"/>
                      <w:szCs w:val="18"/>
                      <w:lang w:bidi="ar"/>
                    </w:rPr>
                  </w:pPr>
                  <w:r>
                    <w:rPr>
                      <w:rFonts w:ascii="宋体" w:hAnsi="宋体" w:cs="宋体"/>
                      <w:color w:val="000000"/>
                      <w:kern w:val="0"/>
                      <w:sz w:val="18"/>
                      <w:szCs w:val="18"/>
                      <w:lang w:bidi="ar"/>
                    </w:rPr>
                    <w:t>232</w:t>
                  </w:r>
                </w:p>
              </w:tc>
            </w:tr>
            <w:tr w14:paraId="02D65CBD">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2E8D9BF2">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未分配利润</w:t>
                  </w:r>
                </w:p>
              </w:tc>
              <w:tc>
                <w:tcPr>
                  <w:tcW w:w="936" w:type="pct"/>
                  <w:tcBorders>
                    <w:top w:val="nil"/>
                    <w:left w:val="nil"/>
                    <w:bottom w:val="single" w:color="000000" w:sz="8" w:space="0"/>
                    <w:right w:val="single" w:color="000000" w:sz="8" w:space="0"/>
                  </w:tcBorders>
                  <w:noWrap/>
                  <w:vAlign w:val="top"/>
                </w:tcPr>
                <w:p w14:paraId="16C76617">
                  <w:pPr>
                    <w:jc w:val="center"/>
                    <w:rPr>
                      <w:rFonts w:ascii="宋体" w:hAnsi="宋体" w:cs="宋体"/>
                      <w:color w:val="000000"/>
                      <w:kern w:val="0"/>
                      <w:sz w:val="18"/>
                      <w:szCs w:val="18"/>
                      <w:lang w:bidi="ar"/>
                    </w:rPr>
                  </w:pPr>
                  <w:r>
                    <w:rPr>
                      <w:rFonts w:ascii="宋体" w:hAnsi="宋体" w:cs="宋体"/>
                      <w:color w:val="000000"/>
                      <w:kern w:val="0"/>
                      <w:sz w:val="18"/>
                      <w:szCs w:val="18"/>
                      <w:lang w:bidi="ar"/>
                    </w:rPr>
                    <w:t>1329</w:t>
                  </w:r>
                </w:p>
              </w:tc>
              <w:tc>
                <w:tcPr>
                  <w:tcW w:w="936" w:type="pct"/>
                  <w:tcBorders>
                    <w:top w:val="nil"/>
                    <w:left w:val="nil"/>
                    <w:bottom w:val="single" w:color="000000" w:sz="8" w:space="0"/>
                    <w:right w:val="single" w:color="000000" w:sz="8" w:space="0"/>
                  </w:tcBorders>
                  <w:noWrap/>
                  <w:vAlign w:val="top"/>
                </w:tcPr>
                <w:p w14:paraId="5CA7CF19">
                  <w:pPr>
                    <w:jc w:val="center"/>
                    <w:rPr>
                      <w:rFonts w:ascii="宋体" w:hAnsi="宋体" w:cs="宋体"/>
                      <w:color w:val="000000"/>
                      <w:kern w:val="0"/>
                      <w:sz w:val="18"/>
                      <w:szCs w:val="18"/>
                      <w:lang w:bidi="ar"/>
                    </w:rPr>
                  </w:pPr>
                  <w:r>
                    <w:rPr>
                      <w:rFonts w:ascii="宋体" w:hAnsi="宋体" w:cs="宋体"/>
                      <w:color w:val="000000"/>
                      <w:kern w:val="0"/>
                      <w:sz w:val="18"/>
                      <w:szCs w:val="18"/>
                      <w:lang w:bidi="ar"/>
                    </w:rPr>
                    <w:t>1625</w:t>
                  </w:r>
                </w:p>
              </w:tc>
              <w:tc>
                <w:tcPr>
                  <w:tcW w:w="935" w:type="pct"/>
                  <w:tcBorders>
                    <w:top w:val="nil"/>
                    <w:left w:val="nil"/>
                    <w:bottom w:val="single" w:color="000000" w:sz="8" w:space="0"/>
                    <w:right w:val="single" w:color="000000" w:sz="8" w:space="0"/>
                  </w:tcBorders>
                  <w:noWrap/>
                  <w:vAlign w:val="top"/>
                </w:tcPr>
                <w:p w14:paraId="6A6B3D40">
                  <w:pPr>
                    <w:jc w:val="center"/>
                    <w:rPr>
                      <w:rFonts w:ascii="宋体" w:hAnsi="宋体" w:cs="宋体"/>
                      <w:color w:val="000000"/>
                      <w:kern w:val="0"/>
                      <w:sz w:val="18"/>
                      <w:szCs w:val="18"/>
                      <w:lang w:bidi="ar"/>
                    </w:rPr>
                  </w:pPr>
                  <w:r>
                    <w:rPr>
                      <w:rFonts w:ascii="宋体" w:hAnsi="宋体" w:cs="宋体"/>
                      <w:color w:val="000000"/>
                      <w:kern w:val="0"/>
                      <w:sz w:val="18"/>
                      <w:szCs w:val="18"/>
                      <w:lang w:bidi="ar"/>
                    </w:rPr>
                    <w:t>2119</w:t>
                  </w:r>
                </w:p>
              </w:tc>
            </w:tr>
            <w:tr w14:paraId="1EE0F930">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5C747C12">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主营业务收入</w:t>
                  </w:r>
                </w:p>
              </w:tc>
              <w:tc>
                <w:tcPr>
                  <w:tcW w:w="936" w:type="pct"/>
                  <w:tcBorders>
                    <w:top w:val="nil"/>
                    <w:left w:val="nil"/>
                    <w:bottom w:val="single" w:color="000000" w:sz="8" w:space="0"/>
                    <w:right w:val="single" w:color="000000" w:sz="8" w:space="0"/>
                  </w:tcBorders>
                  <w:noWrap/>
                  <w:vAlign w:val="top"/>
                </w:tcPr>
                <w:p w14:paraId="6B4E9DA1">
                  <w:pPr>
                    <w:jc w:val="center"/>
                    <w:rPr>
                      <w:rFonts w:ascii="宋体" w:hAnsi="宋体" w:cs="宋体"/>
                      <w:color w:val="000000"/>
                      <w:kern w:val="0"/>
                      <w:sz w:val="18"/>
                      <w:szCs w:val="18"/>
                      <w:lang w:bidi="ar"/>
                    </w:rPr>
                  </w:pPr>
                  <w:r>
                    <w:rPr>
                      <w:rFonts w:ascii="宋体" w:hAnsi="宋体" w:cs="宋体"/>
                      <w:color w:val="000000"/>
                      <w:kern w:val="0"/>
                      <w:sz w:val="18"/>
                      <w:szCs w:val="18"/>
                      <w:lang w:bidi="ar"/>
                    </w:rPr>
                    <w:t>12130</w:t>
                  </w:r>
                </w:p>
              </w:tc>
              <w:tc>
                <w:tcPr>
                  <w:tcW w:w="936" w:type="pct"/>
                  <w:tcBorders>
                    <w:top w:val="nil"/>
                    <w:left w:val="nil"/>
                    <w:bottom w:val="single" w:color="000000" w:sz="8" w:space="0"/>
                    <w:right w:val="single" w:color="000000" w:sz="8" w:space="0"/>
                  </w:tcBorders>
                  <w:noWrap/>
                  <w:vAlign w:val="top"/>
                </w:tcPr>
                <w:p w14:paraId="29E94DE2">
                  <w:pPr>
                    <w:jc w:val="center"/>
                    <w:rPr>
                      <w:rFonts w:ascii="宋体" w:hAnsi="宋体" w:cs="宋体"/>
                      <w:color w:val="000000"/>
                      <w:kern w:val="0"/>
                      <w:sz w:val="18"/>
                      <w:szCs w:val="18"/>
                      <w:lang w:bidi="ar"/>
                    </w:rPr>
                  </w:pPr>
                  <w:r>
                    <w:rPr>
                      <w:rFonts w:ascii="宋体" w:hAnsi="宋体" w:cs="宋体"/>
                      <w:color w:val="000000"/>
                      <w:kern w:val="0"/>
                      <w:sz w:val="18"/>
                      <w:szCs w:val="18"/>
                      <w:lang w:bidi="ar"/>
                    </w:rPr>
                    <w:t>8712</w:t>
                  </w:r>
                </w:p>
              </w:tc>
              <w:tc>
                <w:tcPr>
                  <w:tcW w:w="935" w:type="pct"/>
                  <w:tcBorders>
                    <w:top w:val="nil"/>
                    <w:left w:val="nil"/>
                    <w:bottom w:val="single" w:color="000000" w:sz="8" w:space="0"/>
                    <w:right w:val="single" w:color="000000" w:sz="8" w:space="0"/>
                  </w:tcBorders>
                  <w:noWrap/>
                  <w:vAlign w:val="top"/>
                </w:tcPr>
                <w:p w14:paraId="473F68ED">
                  <w:pPr>
                    <w:jc w:val="center"/>
                    <w:rPr>
                      <w:rFonts w:ascii="宋体" w:hAnsi="宋体" w:cs="宋体"/>
                      <w:color w:val="000000"/>
                      <w:kern w:val="0"/>
                      <w:sz w:val="18"/>
                      <w:szCs w:val="18"/>
                      <w:lang w:bidi="ar"/>
                    </w:rPr>
                  </w:pPr>
                  <w:r>
                    <w:rPr>
                      <w:rFonts w:ascii="宋体" w:hAnsi="宋体" w:cs="宋体"/>
                      <w:color w:val="000000"/>
                      <w:kern w:val="0"/>
                      <w:sz w:val="18"/>
                      <w:szCs w:val="18"/>
                      <w:lang w:bidi="ar"/>
                    </w:rPr>
                    <w:t>10010</w:t>
                  </w:r>
                </w:p>
              </w:tc>
            </w:tr>
            <w:tr w14:paraId="59145841">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52C8AAF5">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减：主营业务成本</w:t>
                  </w:r>
                </w:p>
              </w:tc>
              <w:tc>
                <w:tcPr>
                  <w:tcW w:w="936" w:type="pct"/>
                  <w:tcBorders>
                    <w:top w:val="nil"/>
                    <w:left w:val="nil"/>
                    <w:bottom w:val="single" w:color="000000" w:sz="8" w:space="0"/>
                    <w:right w:val="single" w:color="000000" w:sz="8" w:space="0"/>
                  </w:tcBorders>
                  <w:noWrap/>
                  <w:vAlign w:val="top"/>
                </w:tcPr>
                <w:p w14:paraId="58748F78">
                  <w:pPr>
                    <w:jc w:val="center"/>
                    <w:rPr>
                      <w:rFonts w:ascii="宋体" w:hAnsi="宋体" w:cs="宋体"/>
                      <w:color w:val="000000"/>
                      <w:kern w:val="0"/>
                      <w:sz w:val="18"/>
                      <w:szCs w:val="18"/>
                      <w:lang w:bidi="ar"/>
                    </w:rPr>
                  </w:pPr>
                  <w:r>
                    <w:rPr>
                      <w:rFonts w:ascii="宋体" w:hAnsi="宋体" w:cs="宋体"/>
                      <w:color w:val="000000"/>
                      <w:kern w:val="0"/>
                      <w:sz w:val="18"/>
                      <w:szCs w:val="18"/>
                      <w:lang w:bidi="ar"/>
                    </w:rPr>
                    <w:t>8819</w:t>
                  </w:r>
                </w:p>
              </w:tc>
              <w:tc>
                <w:tcPr>
                  <w:tcW w:w="936" w:type="pct"/>
                  <w:tcBorders>
                    <w:top w:val="nil"/>
                    <w:left w:val="nil"/>
                    <w:bottom w:val="single" w:color="000000" w:sz="8" w:space="0"/>
                    <w:right w:val="single" w:color="000000" w:sz="8" w:space="0"/>
                  </w:tcBorders>
                  <w:noWrap/>
                  <w:vAlign w:val="top"/>
                </w:tcPr>
                <w:p w14:paraId="6EBCE4BA">
                  <w:pPr>
                    <w:jc w:val="center"/>
                    <w:rPr>
                      <w:rFonts w:ascii="宋体" w:hAnsi="宋体" w:cs="宋体"/>
                      <w:color w:val="000000"/>
                      <w:kern w:val="0"/>
                      <w:sz w:val="18"/>
                      <w:szCs w:val="18"/>
                      <w:lang w:bidi="ar"/>
                    </w:rPr>
                  </w:pPr>
                  <w:r>
                    <w:rPr>
                      <w:rFonts w:ascii="宋体" w:hAnsi="宋体" w:cs="宋体"/>
                      <w:color w:val="000000"/>
                      <w:kern w:val="0"/>
                      <w:sz w:val="18"/>
                      <w:szCs w:val="18"/>
                      <w:lang w:bidi="ar"/>
                    </w:rPr>
                    <w:t>5332</w:t>
                  </w:r>
                </w:p>
              </w:tc>
              <w:tc>
                <w:tcPr>
                  <w:tcW w:w="935" w:type="pct"/>
                  <w:tcBorders>
                    <w:top w:val="nil"/>
                    <w:left w:val="nil"/>
                    <w:bottom w:val="single" w:color="000000" w:sz="8" w:space="0"/>
                    <w:right w:val="single" w:color="000000" w:sz="8" w:space="0"/>
                  </w:tcBorders>
                  <w:noWrap/>
                  <w:vAlign w:val="top"/>
                </w:tcPr>
                <w:p w14:paraId="672106CB">
                  <w:pPr>
                    <w:jc w:val="center"/>
                    <w:rPr>
                      <w:rFonts w:ascii="宋体" w:hAnsi="宋体" w:cs="宋体"/>
                      <w:color w:val="000000"/>
                      <w:kern w:val="0"/>
                      <w:sz w:val="18"/>
                      <w:szCs w:val="18"/>
                      <w:lang w:bidi="ar"/>
                    </w:rPr>
                  </w:pPr>
                  <w:r>
                    <w:rPr>
                      <w:rFonts w:ascii="宋体" w:hAnsi="宋体" w:cs="宋体"/>
                      <w:color w:val="000000"/>
                      <w:kern w:val="0"/>
                      <w:sz w:val="18"/>
                      <w:szCs w:val="18"/>
                      <w:lang w:bidi="ar"/>
                    </w:rPr>
                    <w:t>6204</w:t>
                  </w:r>
                </w:p>
              </w:tc>
            </w:tr>
            <w:tr w14:paraId="6B8ECE20">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0A912B7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主营业务税金及附加</w:t>
                  </w:r>
                </w:p>
              </w:tc>
              <w:tc>
                <w:tcPr>
                  <w:tcW w:w="936" w:type="pct"/>
                  <w:tcBorders>
                    <w:top w:val="nil"/>
                    <w:left w:val="nil"/>
                    <w:bottom w:val="single" w:color="000000" w:sz="8" w:space="0"/>
                    <w:right w:val="single" w:color="000000" w:sz="8" w:space="0"/>
                  </w:tcBorders>
                  <w:noWrap/>
                  <w:vAlign w:val="top"/>
                </w:tcPr>
                <w:p w14:paraId="10BC7DAF">
                  <w:pPr>
                    <w:jc w:val="center"/>
                    <w:rPr>
                      <w:rFonts w:ascii="宋体" w:hAnsi="宋体" w:cs="宋体"/>
                      <w:color w:val="000000"/>
                      <w:kern w:val="0"/>
                      <w:sz w:val="18"/>
                      <w:szCs w:val="18"/>
                      <w:lang w:bidi="ar"/>
                    </w:rPr>
                  </w:pPr>
                  <w:r>
                    <w:rPr>
                      <w:rFonts w:ascii="宋体" w:hAnsi="宋体" w:cs="宋体"/>
                      <w:color w:val="000000"/>
                      <w:kern w:val="0"/>
                      <w:sz w:val="18"/>
                      <w:szCs w:val="18"/>
                      <w:lang w:bidi="ar"/>
                    </w:rPr>
                    <w:t>74</w:t>
                  </w:r>
                </w:p>
              </w:tc>
              <w:tc>
                <w:tcPr>
                  <w:tcW w:w="936" w:type="pct"/>
                  <w:tcBorders>
                    <w:top w:val="nil"/>
                    <w:left w:val="nil"/>
                    <w:bottom w:val="single" w:color="000000" w:sz="8" w:space="0"/>
                    <w:right w:val="single" w:color="000000" w:sz="8" w:space="0"/>
                  </w:tcBorders>
                  <w:noWrap/>
                  <w:vAlign w:val="top"/>
                </w:tcPr>
                <w:p w14:paraId="02B3D6D3">
                  <w:pPr>
                    <w:jc w:val="center"/>
                    <w:rPr>
                      <w:rFonts w:ascii="宋体" w:hAnsi="宋体" w:cs="宋体"/>
                      <w:color w:val="000000"/>
                      <w:kern w:val="0"/>
                      <w:sz w:val="18"/>
                      <w:szCs w:val="18"/>
                      <w:lang w:bidi="ar"/>
                    </w:rPr>
                  </w:pPr>
                  <w:r>
                    <w:rPr>
                      <w:rFonts w:ascii="宋体" w:hAnsi="宋体" w:cs="宋体"/>
                      <w:color w:val="000000"/>
                      <w:kern w:val="0"/>
                      <w:sz w:val="18"/>
                      <w:szCs w:val="18"/>
                      <w:lang w:bidi="ar"/>
                    </w:rPr>
                    <w:t>75</w:t>
                  </w:r>
                </w:p>
              </w:tc>
              <w:tc>
                <w:tcPr>
                  <w:tcW w:w="935" w:type="pct"/>
                  <w:tcBorders>
                    <w:top w:val="nil"/>
                    <w:left w:val="nil"/>
                    <w:bottom w:val="single" w:color="000000" w:sz="8" w:space="0"/>
                    <w:right w:val="single" w:color="000000" w:sz="8" w:space="0"/>
                  </w:tcBorders>
                  <w:noWrap/>
                  <w:vAlign w:val="top"/>
                </w:tcPr>
                <w:p w14:paraId="0A33BE40">
                  <w:pPr>
                    <w:jc w:val="center"/>
                    <w:rPr>
                      <w:rFonts w:ascii="宋体" w:hAnsi="宋体" w:cs="宋体"/>
                      <w:color w:val="000000"/>
                      <w:kern w:val="0"/>
                      <w:sz w:val="18"/>
                      <w:szCs w:val="18"/>
                      <w:lang w:bidi="ar"/>
                    </w:rPr>
                  </w:pPr>
                  <w:r>
                    <w:rPr>
                      <w:rFonts w:ascii="宋体" w:hAnsi="宋体" w:cs="宋体"/>
                      <w:color w:val="000000"/>
                      <w:kern w:val="0"/>
                      <w:sz w:val="18"/>
                      <w:szCs w:val="18"/>
                      <w:lang w:bidi="ar"/>
                    </w:rPr>
                    <w:t>77</w:t>
                  </w:r>
                </w:p>
              </w:tc>
            </w:tr>
            <w:tr w14:paraId="11499E05">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38C7BED2">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主营业务利润</w:t>
                  </w:r>
                </w:p>
              </w:tc>
              <w:tc>
                <w:tcPr>
                  <w:tcW w:w="936" w:type="pct"/>
                  <w:tcBorders>
                    <w:top w:val="nil"/>
                    <w:left w:val="nil"/>
                    <w:bottom w:val="single" w:color="000000" w:sz="8" w:space="0"/>
                    <w:right w:val="single" w:color="000000" w:sz="8" w:space="0"/>
                  </w:tcBorders>
                  <w:noWrap/>
                  <w:vAlign w:val="top"/>
                </w:tcPr>
                <w:p w14:paraId="222E3375">
                  <w:pPr>
                    <w:jc w:val="center"/>
                    <w:rPr>
                      <w:rFonts w:ascii="宋体" w:hAnsi="宋体" w:cs="宋体"/>
                      <w:color w:val="000000"/>
                      <w:kern w:val="0"/>
                      <w:sz w:val="18"/>
                      <w:szCs w:val="18"/>
                      <w:lang w:bidi="ar"/>
                    </w:rPr>
                  </w:pPr>
                  <w:r>
                    <w:rPr>
                      <w:rFonts w:ascii="宋体" w:hAnsi="宋体" w:cs="宋体"/>
                      <w:color w:val="000000"/>
                      <w:kern w:val="0"/>
                      <w:sz w:val="18"/>
                      <w:szCs w:val="18"/>
                      <w:lang w:bidi="ar"/>
                    </w:rPr>
                    <w:t>3237</w:t>
                  </w:r>
                </w:p>
              </w:tc>
              <w:tc>
                <w:tcPr>
                  <w:tcW w:w="936" w:type="pct"/>
                  <w:tcBorders>
                    <w:top w:val="nil"/>
                    <w:left w:val="nil"/>
                    <w:bottom w:val="single" w:color="000000" w:sz="8" w:space="0"/>
                    <w:right w:val="single" w:color="000000" w:sz="8" w:space="0"/>
                  </w:tcBorders>
                  <w:noWrap/>
                  <w:vAlign w:val="top"/>
                </w:tcPr>
                <w:p w14:paraId="2CC34FB6">
                  <w:pPr>
                    <w:jc w:val="center"/>
                    <w:rPr>
                      <w:rFonts w:ascii="宋体" w:hAnsi="宋体" w:cs="宋体"/>
                      <w:color w:val="000000"/>
                      <w:kern w:val="0"/>
                      <w:sz w:val="18"/>
                      <w:szCs w:val="18"/>
                      <w:lang w:bidi="ar"/>
                    </w:rPr>
                  </w:pPr>
                  <w:r>
                    <w:rPr>
                      <w:rFonts w:ascii="宋体" w:hAnsi="宋体" w:cs="宋体"/>
                      <w:color w:val="000000"/>
                      <w:kern w:val="0"/>
                      <w:sz w:val="18"/>
                      <w:szCs w:val="18"/>
                      <w:lang w:bidi="ar"/>
                    </w:rPr>
                    <w:t>3306</w:t>
                  </w:r>
                </w:p>
              </w:tc>
              <w:tc>
                <w:tcPr>
                  <w:tcW w:w="935" w:type="pct"/>
                  <w:tcBorders>
                    <w:top w:val="nil"/>
                    <w:left w:val="nil"/>
                    <w:bottom w:val="single" w:color="000000" w:sz="8" w:space="0"/>
                    <w:right w:val="single" w:color="000000" w:sz="8" w:space="0"/>
                  </w:tcBorders>
                  <w:noWrap/>
                  <w:vAlign w:val="top"/>
                </w:tcPr>
                <w:p w14:paraId="731EB172">
                  <w:pPr>
                    <w:jc w:val="center"/>
                    <w:rPr>
                      <w:rFonts w:ascii="宋体" w:hAnsi="宋体" w:cs="宋体"/>
                      <w:color w:val="000000"/>
                      <w:kern w:val="0"/>
                      <w:sz w:val="18"/>
                      <w:szCs w:val="18"/>
                      <w:lang w:bidi="ar"/>
                    </w:rPr>
                  </w:pPr>
                  <w:r>
                    <w:rPr>
                      <w:rFonts w:ascii="宋体" w:hAnsi="宋体" w:cs="宋体"/>
                      <w:color w:val="000000"/>
                      <w:kern w:val="0"/>
                      <w:sz w:val="18"/>
                      <w:szCs w:val="18"/>
                      <w:lang w:bidi="ar"/>
                    </w:rPr>
                    <w:t>3729</w:t>
                  </w:r>
                </w:p>
              </w:tc>
            </w:tr>
            <w:tr w14:paraId="34F57C55">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57611E30">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营业费用</w:t>
                  </w:r>
                </w:p>
              </w:tc>
              <w:tc>
                <w:tcPr>
                  <w:tcW w:w="936" w:type="pct"/>
                  <w:tcBorders>
                    <w:top w:val="nil"/>
                    <w:left w:val="nil"/>
                    <w:bottom w:val="single" w:color="000000" w:sz="8" w:space="0"/>
                    <w:right w:val="single" w:color="000000" w:sz="8" w:space="0"/>
                  </w:tcBorders>
                  <w:noWrap/>
                  <w:vAlign w:val="top"/>
                </w:tcPr>
                <w:p w14:paraId="07A8E3C7">
                  <w:pPr>
                    <w:jc w:val="center"/>
                    <w:rPr>
                      <w:rFonts w:ascii="宋体" w:hAnsi="宋体" w:cs="宋体"/>
                      <w:color w:val="000000"/>
                      <w:kern w:val="0"/>
                      <w:sz w:val="18"/>
                      <w:szCs w:val="18"/>
                      <w:lang w:bidi="ar"/>
                    </w:rPr>
                  </w:pPr>
                  <w:r>
                    <w:rPr>
                      <w:rFonts w:ascii="宋体" w:hAnsi="宋体" w:cs="宋体"/>
                      <w:color w:val="000000"/>
                      <w:kern w:val="0"/>
                      <w:sz w:val="18"/>
                      <w:szCs w:val="18"/>
                      <w:lang w:bidi="ar"/>
                    </w:rPr>
                    <w:t>1230</w:t>
                  </w:r>
                </w:p>
              </w:tc>
              <w:tc>
                <w:tcPr>
                  <w:tcW w:w="936" w:type="pct"/>
                  <w:tcBorders>
                    <w:top w:val="nil"/>
                    <w:left w:val="nil"/>
                    <w:bottom w:val="single" w:color="000000" w:sz="8" w:space="0"/>
                    <w:right w:val="single" w:color="000000" w:sz="8" w:space="0"/>
                  </w:tcBorders>
                  <w:noWrap/>
                  <w:vAlign w:val="top"/>
                </w:tcPr>
                <w:p w14:paraId="1BB3432F">
                  <w:pPr>
                    <w:jc w:val="center"/>
                    <w:rPr>
                      <w:rFonts w:ascii="宋体" w:hAnsi="宋体" w:cs="宋体"/>
                      <w:color w:val="000000"/>
                      <w:kern w:val="0"/>
                      <w:sz w:val="18"/>
                      <w:szCs w:val="18"/>
                      <w:lang w:bidi="ar"/>
                    </w:rPr>
                  </w:pPr>
                  <w:r>
                    <w:rPr>
                      <w:rFonts w:ascii="宋体" w:hAnsi="宋体" w:cs="宋体"/>
                      <w:color w:val="000000"/>
                      <w:kern w:val="0"/>
                      <w:sz w:val="18"/>
                      <w:szCs w:val="18"/>
                      <w:lang w:bidi="ar"/>
                    </w:rPr>
                    <w:t>887</w:t>
                  </w:r>
                </w:p>
              </w:tc>
              <w:tc>
                <w:tcPr>
                  <w:tcW w:w="935" w:type="pct"/>
                  <w:tcBorders>
                    <w:top w:val="nil"/>
                    <w:left w:val="nil"/>
                    <w:bottom w:val="single" w:color="000000" w:sz="8" w:space="0"/>
                    <w:right w:val="single" w:color="000000" w:sz="8" w:space="0"/>
                  </w:tcBorders>
                  <w:noWrap/>
                  <w:vAlign w:val="top"/>
                </w:tcPr>
                <w:p w14:paraId="66D781B4">
                  <w:pPr>
                    <w:jc w:val="center"/>
                    <w:rPr>
                      <w:rFonts w:ascii="宋体" w:hAnsi="宋体" w:cs="宋体"/>
                      <w:color w:val="000000"/>
                      <w:kern w:val="0"/>
                      <w:sz w:val="18"/>
                      <w:szCs w:val="18"/>
                      <w:lang w:bidi="ar"/>
                    </w:rPr>
                  </w:pPr>
                  <w:r>
                    <w:rPr>
                      <w:rFonts w:ascii="宋体" w:hAnsi="宋体" w:cs="宋体"/>
                      <w:color w:val="000000"/>
                      <w:kern w:val="0"/>
                      <w:sz w:val="18"/>
                      <w:szCs w:val="18"/>
                      <w:lang w:bidi="ar"/>
                    </w:rPr>
                    <w:t>1208</w:t>
                  </w:r>
                </w:p>
              </w:tc>
            </w:tr>
            <w:tr w14:paraId="69CDD3B2">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35A30ADF">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管理费用</w:t>
                  </w:r>
                </w:p>
              </w:tc>
              <w:tc>
                <w:tcPr>
                  <w:tcW w:w="936" w:type="pct"/>
                  <w:tcBorders>
                    <w:top w:val="nil"/>
                    <w:left w:val="nil"/>
                    <w:bottom w:val="single" w:color="000000" w:sz="8" w:space="0"/>
                    <w:right w:val="single" w:color="000000" w:sz="8" w:space="0"/>
                  </w:tcBorders>
                  <w:noWrap/>
                  <w:vAlign w:val="top"/>
                </w:tcPr>
                <w:p w14:paraId="436B4E64">
                  <w:pPr>
                    <w:jc w:val="center"/>
                    <w:rPr>
                      <w:rFonts w:ascii="宋体" w:hAnsi="宋体" w:cs="宋体"/>
                      <w:color w:val="000000"/>
                      <w:kern w:val="0"/>
                      <w:sz w:val="18"/>
                      <w:szCs w:val="18"/>
                      <w:lang w:bidi="ar"/>
                    </w:rPr>
                  </w:pPr>
                  <w:r>
                    <w:rPr>
                      <w:rFonts w:ascii="宋体" w:hAnsi="宋体" w:cs="宋体"/>
                      <w:color w:val="000000"/>
                      <w:kern w:val="0"/>
                      <w:sz w:val="18"/>
                      <w:szCs w:val="18"/>
                      <w:lang w:bidi="ar"/>
                    </w:rPr>
                    <w:t>535</w:t>
                  </w:r>
                </w:p>
              </w:tc>
              <w:tc>
                <w:tcPr>
                  <w:tcW w:w="936" w:type="pct"/>
                  <w:tcBorders>
                    <w:top w:val="nil"/>
                    <w:left w:val="nil"/>
                    <w:bottom w:val="single" w:color="000000" w:sz="8" w:space="0"/>
                    <w:right w:val="single" w:color="000000" w:sz="8" w:space="0"/>
                  </w:tcBorders>
                  <w:noWrap/>
                  <w:vAlign w:val="top"/>
                </w:tcPr>
                <w:p w14:paraId="5F4C61D9">
                  <w:pPr>
                    <w:jc w:val="center"/>
                    <w:rPr>
                      <w:rFonts w:ascii="宋体" w:hAnsi="宋体" w:cs="宋体"/>
                      <w:color w:val="000000"/>
                      <w:kern w:val="0"/>
                      <w:sz w:val="18"/>
                      <w:szCs w:val="18"/>
                      <w:lang w:bidi="ar"/>
                    </w:rPr>
                  </w:pPr>
                  <w:r>
                    <w:rPr>
                      <w:rFonts w:ascii="宋体" w:hAnsi="宋体" w:cs="宋体"/>
                      <w:color w:val="000000"/>
                      <w:kern w:val="0"/>
                      <w:sz w:val="18"/>
                      <w:szCs w:val="18"/>
                      <w:lang w:bidi="ar"/>
                    </w:rPr>
                    <w:t>619</w:t>
                  </w:r>
                </w:p>
              </w:tc>
              <w:tc>
                <w:tcPr>
                  <w:tcW w:w="935" w:type="pct"/>
                  <w:tcBorders>
                    <w:top w:val="nil"/>
                    <w:left w:val="nil"/>
                    <w:bottom w:val="single" w:color="000000" w:sz="8" w:space="0"/>
                    <w:right w:val="single" w:color="000000" w:sz="8" w:space="0"/>
                  </w:tcBorders>
                  <w:noWrap/>
                  <w:vAlign w:val="top"/>
                </w:tcPr>
                <w:p w14:paraId="253CD637">
                  <w:pPr>
                    <w:jc w:val="center"/>
                    <w:rPr>
                      <w:rFonts w:ascii="宋体" w:hAnsi="宋体" w:cs="宋体"/>
                      <w:color w:val="000000"/>
                      <w:kern w:val="0"/>
                      <w:sz w:val="18"/>
                      <w:szCs w:val="18"/>
                      <w:lang w:bidi="ar"/>
                    </w:rPr>
                  </w:pPr>
                  <w:r>
                    <w:rPr>
                      <w:rFonts w:ascii="宋体" w:hAnsi="宋体" w:cs="宋体"/>
                      <w:color w:val="000000"/>
                      <w:kern w:val="0"/>
                      <w:sz w:val="18"/>
                      <w:szCs w:val="18"/>
                      <w:lang w:bidi="ar"/>
                    </w:rPr>
                    <w:t>1116</w:t>
                  </w:r>
                </w:p>
              </w:tc>
            </w:tr>
            <w:tr w14:paraId="521B37B9">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00643B5B">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财务费用</w:t>
                  </w:r>
                </w:p>
              </w:tc>
              <w:tc>
                <w:tcPr>
                  <w:tcW w:w="936" w:type="pct"/>
                  <w:tcBorders>
                    <w:top w:val="nil"/>
                    <w:left w:val="nil"/>
                    <w:bottom w:val="single" w:color="000000" w:sz="8" w:space="0"/>
                    <w:right w:val="single" w:color="000000" w:sz="8" w:space="0"/>
                  </w:tcBorders>
                  <w:noWrap/>
                  <w:vAlign w:val="top"/>
                </w:tcPr>
                <w:p w14:paraId="4E5EE6EE">
                  <w:pPr>
                    <w:jc w:val="center"/>
                    <w:rPr>
                      <w:rFonts w:ascii="宋体" w:hAnsi="宋体" w:cs="宋体"/>
                      <w:color w:val="000000"/>
                      <w:kern w:val="0"/>
                      <w:sz w:val="18"/>
                      <w:szCs w:val="18"/>
                      <w:lang w:bidi="ar"/>
                    </w:rPr>
                  </w:pPr>
                  <w:r>
                    <w:rPr>
                      <w:rFonts w:ascii="宋体" w:hAnsi="宋体" w:cs="宋体"/>
                      <w:color w:val="000000"/>
                      <w:kern w:val="0"/>
                      <w:sz w:val="18"/>
                      <w:szCs w:val="18"/>
                      <w:lang w:bidi="ar"/>
                    </w:rPr>
                    <w:t>131</w:t>
                  </w:r>
                </w:p>
              </w:tc>
              <w:tc>
                <w:tcPr>
                  <w:tcW w:w="936" w:type="pct"/>
                  <w:tcBorders>
                    <w:top w:val="nil"/>
                    <w:left w:val="nil"/>
                    <w:bottom w:val="single" w:color="000000" w:sz="8" w:space="0"/>
                    <w:right w:val="single" w:color="000000" w:sz="8" w:space="0"/>
                  </w:tcBorders>
                  <w:noWrap/>
                  <w:vAlign w:val="top"/>
                </w:tcPr>
                <w:p w14:paraId="743100CE">
                  <w:pPr>
                    <w:jc w:val="center"/>
                    <w:rPr>
                      <w:rFonts w:ascii="宋体" w:hAnsi="宋体" w:cs="宋体"/>
                      <w:color w:val="000000"/>
                      <w:kern w:val="0"/>
                      <w:sz w:val="18"/>
                      <w:szCs w:val="18"/>
                      <w:lang w:bidi="ar"/>
                    </w:rPr>
                  </w:pPr>
                  <w:r>
                    <w:rPr>
                      <w:rFonts w:ascii="宋体" w:hAnsi="宋体" w:cs="宋体"/>
                      <w:color w:val="000000"/>
                      <w:kern w:val="0"/>
                      <w:sz w:val="18"/>
                      <w:szCs w:val="18"/>
                      <w:lang w:bidi="ar"/>
                    </w:rPr>
                    <w:t>202</w:t>
                  </w:r>
                </w:p>
              </w:tc>
              <w:tc>
                <w:tcPr>
                  <w:tcW w:w="935" w:type="pct"/>
                  <w:tcBorders>
                    <w:top w:val="nil"/>
                    <w:left w:val="nil"/>
                    <w:bottom w:val="single" w:color="000000" w:sz="8" w:space="0"/>
                    <w:right w:val="single" w:color="000000" w:sz="8" w:space="0"/>
                  </w:tcBorders>
                  <w:noWrap/>
                  <w:vAlign w:val="top"/>
                </w:tcPr>
                <w:p w14:paraId="0F0F1B1D">
                  <w:pPr>
                    <w:jc w:val="center"/>
                    <w:rPr>
                      <w:rFonts w:ascii="宋体" w:hAnsi="宋体" w:cs="宋体"/>
                      <w:color w:val="000000"/>
                      <w:kern w:val="0"/>
                      <w:sz w:val="18"/>
                      <w:szCs w:val="18"/>
                      <w:lang w:bidi="ar"/>
                    </w:rPr>
                  </w:pPr>
                  <w:r>
                    <w:rPr>
                      <w:rFonts w:ascii="宋体" w:hAnsi="宋体" w:cs="宋体"/>
                      <w:color w:val="000000"/>
                      <w:kern w:val="0"/>
                      <w:sz w:val="18"/>
                      <w:szCs w:val="18"/>
                      <w:lang w:bidi="ar"/>
                    </w:rPr>
                    <w:t>167</w:t>
                  </w:r>
                </w:p>
              </w:tc>
            </w:tr>
            <w:tr w14:paraId="3A04DD6F">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24E40344">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营业利润</w:t>
                  </w:r>
                </w:p>
              </w:tc>
              <w:tc>
                <w:tcPr>
                  <w:tcW w:w="936" w:type="pct"/>
                  <w:tcBorders>
                    <w:top w:val="nil"/>
                    <w:left w:val="nil"/>
                    <w:bottom w:val="single" w:color="000000" w:sz="8" w:space="0"/>
                    <w:right w:val="single" w:color="000000" w:sz="8" w:space="0"/>
                  </w:tcBorders>
                  <w:noWrap/>
                  <w:vAlign w:val="top"/>
                </w:tcPr>
                <w:p w14:paraId="69ABE0B5">
                  <w:pPr>
                    <w:jc w:val="center"/>
                    <w:rPr>
                      <w:rFonts w:ascii="宋体" w:hAnsi="宋体" w:cs="宋体"/>
                      <w:color w:val="000000"/>
                      <w:kern w:val="0"/>
                      <w:sz w:val="18"/>
                      <w:szCs w:val="18"/>
                      <w:lang w:bidi="ar"/>
                    </w:rPr>
                  </w:pPr>
                  <w:r>
                    <w:rPr>
                      <w:rFonts w:ascii="宋体" w:hAnsi="宋体" w:cs="宋体"/>
                      <w:color w:val="000000"/>
                      <w:kern w:val="0"/>
                      <w:sz w:val="18"/>
                      <w:szCs w:val="18"/>
                      <w:lang w:bidi="ar"/>
                    </w:rPr>
                    <w:t>502</w:t>
                  </w:r>
                </w:p>
              </w:tc>
              <w:tc>
                <w:tcPr>
                  <w:tcW w:w="936" w:type="pct"/>
                  <w:tcBorders>
                    <w:top w:val="nil"/>
                    <w:left w:val="nil"/>
                    <w:bottom w:val="single" w:color="000000" w:sz="8" w:space="0"/>
                    <w:right w:val="single" w:color="000000" w:sz="8" w:space="0"/>
                  </w:tcBorders>
                  <w:noWrap/>
                  <w:vAlign w:val="top"/>
                </w:tcPr>
                <w:p w14:paraId="10CD9703">
                  <w:pPr>
                    <w:jc w:val="center"/>
                    <w:rPr>
                      <w:rFonts w:ascii="宋体" w:hAnsi="宋体" w:cs="宋体"/>
                      <w:color w:val="000000"/>
                      <w:kern w:val="0"/>
                      <w:sz w:val="18"/>
                      <w:szCs w:val="18"/>
                      <w:lang w:bidi="ar"/>
                    </w:rPr>
                  </w:pPr>
                  <w:r>
                    <w:rPr>
                      <w:rFonts w:ascii="宋体" w:hAnsi="宋体" w:cs="宋体"/>
                      <w:color w:val="000000"/>
                      <w:kern w:val="0"/>
                      <w:sz w:val="18"/>
                      <w:szCs w:val="18"/>
                      <w:lang w:bidi="ar"/>
                    </w:rPr>
                    <w:t>400</w:t>
                  </w:r>
                </w:p>
              </w:tc>
              <w:tc>
                <w:tcPr>
                  <w:tcW w:w="935" w:type="pct"/>
                  <w:tcBorders>
                    <w:top w:val="nil"/>
                    <w:left w:val="nil"/>
                    <w:bottom w:val="single" w:color="000000" w:sz="8" w:space="0"/>
                    <w:right w:val="single" w:color="000000" w:sz="8" w:space="0"/>
                  </w:tcBorders>
                  <w:noWrap/>
                  <w:vAlign w:val="top"/>
                </w:tcPr>
                <w:p w14:paraId="56E2D87D">
                  <w:pPr>
                    <w:jc w:val="center"/>
                    <w:rPr>
                      <w:rFonts w:ascii="宋体" w:hAnsi="宋体" w:cs="宋体"/>
                      <w:color w:val="000000"/>
                      <w:kern w:val="0"/>
                      <w:sz w:val="18"/>
                      <w:szCs w:val="18"/>
                      <w:lang w:bidi="ar"/>
                    </w:rPr>
                  </w:pPr>
                  <w:r>
                    <w:rPr>
                      <w:rFonts w:ascii="宋体" w:hAnsi="宋体" w:cs="宋体"/>
                      <w:color w:val="000000"/>
                      <w:kern w:val="0"/>
                      <w:sz w:val="18"/>
                      <w:szCs w:val="18"/>
                      <w:lang w:bidi="ar"/>
                    </w:rPr>
                    <w:t>476</w:t>
                  </w:r>
                </w:p>
              </w:tc>
            </w:tr>
            <w:tr w14:paraId="504B63D6">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4E9C2C74">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减：所得税</w:t>
                  </w:r>
                </w:p>
              </w:tc>
              <w:tc>
                <w:tcPr>
                  <w:tcW w:w="936" w:type="pct"/>
                  <w:tcBorders>
                    <w:top w:val="nil"/>
                    <w:left w:val="nil"/>
                    <w:bottom w:val="single" w:color="000000" w:sz="8" w:space="0"/>
                    <w:right w:val="single" w:color="000000" w:sz="8" w:space="0"/>
                  </w:tcBorders>
                  <w:noWrap/>
                  <w:vAlign w:val="top"/>
                </w:tcPr>
                <w:p w14:paraId="44FCD32D">
                  <w:pPr>
                    <w:jc w:val="center"/>
                    <w:rPr>
                      <w:rFonts w:ascii="宋体" w:hAnsi="宋体" w:cs="宋体"/>
                      <w:color w:val="000000"/>
                      <w:kern w:val="0"/>
                      <w:sz w:val="18"/>
                      <w:szCs w:val="18"/>
                      <w:lang w:bidi="ar"/>
                    </w:rPr>
                  </w:pPr>
                  <w:r>
                    <w:rPr>
                      <w:rFonts w:ascii="宋体" w:hAnsi="宋体" w:cs="宋体"/>
                      <w:color w:val="000000"/>
                      <w:kern w:val="0"/>
                      <w:sz w:val="18"/>
                      <w:szCs w:val="18"/>
                      <w:lang w:bidi="ar"/>
                    </w:rPr>
                    <w:t>108</w:t>
                  </w:r>
                </w:p>
              </w:tc>
              <w:tc>
                <w:tcPr>
                  <w:tcW w:w="936" w:type="pct"/>
                  <w:tcBorders>
                    <w:top w:val="nil"/>
                    <w:left w:val="nil"/>
                    <w:bottom w:val="single" w:color="000000" w:sz="8" w:space="0"/>
                    <w:right w:val="single" w:color="000000" w:sz="8" w:space="0"/>
                  </w:tcBorders>
                  <w:noWrap/>
                  <w:vAlign w:val="top"/>
                </w:tcPr>
                <w:p w14:paraId="1709B926">
                  <w:pPr>
                    <w:jc w:val="center"/>
                    <w:rPr>
                      <w:rFonts w:ascii="宋体" w:hAnsi="宋体" w:cs="宋体"/>
                      <w:color w:val="000000"/>
                      <w:kern w:val="0"/>
                      <w:sz w:val="18"/>
                      <w:szCs w:val="18"/>
                      <w:lang w:bidi="ar"/>
                    </w:rPr>
                  </w:pPr>
                  <w:r>
                    <w:rPr>
                      <w:rFonts w:ascii="宋体" w:hAnsi="宋体" w:cs="宋体"/>
                      <w:color w:val="000000"/>
                      <w:kern w:val="0"/>
                      <w:sz w:val="18"/>
                      <w:szCs w:val="18"/>
                      <w:lang w:bidi="ar"/>
                    </w:rPr>
                    <w:t>56</w:t>
                  </w:r>
                </w:p>
              </w:tc>
              <w:tc>
                <w:tcPr>
                  <w:tcW w:w="935" w:type="pct"/>
                  <w:tcBorders>
                    <w:top w:val="nil"/>
                    <w:left w:val="nil"/>
                    <w:bottom w:val="single" w:color="000000" w:sz="8" w:space="0"/>
                    <w:right w:val="single" w:color="000000" w:sz="8" w:space="0"/>
                  </w:tcBorders>
                  <w:noWrap/>
                  <w:vAlign w:val="top"/>
                </w:tcPr>
                <w:p w14:paraId="78FF9DB4">
                  <w:pPr>
                    <w:jc w:val="center"/>
                    <w:rPr>
                      <w:rFonts w:ascii="宋体" w:hAnsi="宋体" w:cs="宋体"/>
                      <w:color w:val="000000"/>
                      <w:kern w:val="0"/>
                      <w:sz w:val="18"/>
                      <w:szCs w:val="18"/>
                      <w:lang w:bidi="ar"/>
                    </w:rPr>
                  </w:pPr>
                  <w:r>
                    <w:rPr>
                      <w:rFonts w:ascii="宋体" w:hAnsi="宋体" w:cs="宋体"/>
                      <w:color w:val="000000"/>
                      <w:kern w:val="0"/>
                      <w:sz w:val="18"/>
                      <w:szCs w:val="18"/>
                      <w:lang w:bidi="ar"/>
                    </w:rPr>
                    <w:t>0</w:t>
                  </w:r>
                </w:p>
              </w:tc>
            </w:tr>
            <w:tr w14:paraId="5F7C87B5">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ign w:val="center"/>
                </w:tcPr>
                <w:p w14:paraId="68A133A5">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净利润</w:t>
                  </w:r>
                </w:p>
              </w:tc>
              <w:tc>
                <w:tcPr>
                  <w:tcW w:w="936" w:type="pct"/>
                  <w:tcBorders>
                    <w:top w:val="nil"/>
                    <w:left w:val="nil"/>
                    <w:bottom w:val="single" w:color="000000" w:sz="8" w:space="0"/>
                    <w:right w:val="single" w:color="000000" w:sz="8" w:space="0"/>
                  </w:tcBorders>
                  <w:noWrap/>
                  <w:vAlign w:val="top"/>
                </w:tcPr>
                <w:p w14:paraId="29459745">
                  <w:pPr>
                    <w:jc w:val="center"/>
                    <w:rPr>
                      <w:rFonts w:ascii="宋体" w:hAnsi="宋体" w:cs="宋体"/>
                      <w:color w:val="000000"/>
                      <w:kern w:val="0"/>
                      <w:sz w:val="18"/>
                      <w:szCs w:val="18"/>
                      <w:lang w:bidi="ar"/>
                    </w:rPr>
                  </w:pPr>
                  <w:r>
                    <w:rPr>
                      <w:rFonts w:ascii="宋体" w:hAnsi="宋体" w:cs="宋体"/>
                      <w:color w:val="000000"/>
                      <w:kern w:val="0"/>
                      <w:sz w:val="18"/>
                      <w:szCs w:val="18"/>
                      <w:lang w:bidi="ar"/>
                    </w:rPr>
                    <w:t>393</w:t>
                  </w:r>
                </w:p>
              </w:tc>
              <w:tc>
                <w:tcPr>
                  <w:tcW w:w="936" w:type="pct"/>
                  <w:tcBorders>
                    <w:top w:val="nil"/>
                    <w:left w:val="nil"/>
                    <w:bottom w:val="single" w:color="000000" w:sz="8" w:space="0"/>
                    <w:right w:val="single" w:color="000000" w:sz="8" w:space="0"/>
                  </w:tcBorders>
                  <w:noWrap/>
                  <w:vAlign w:val="top"/>
                </w:tcPr>
                <w:p w14:paraId="47B083DC">
                  <w:pPr>
                    <w:jc w:val="center"/>
                    <w:rPr>
                      <w:rFonts w:ascii="宋体" w:hAnsi="宋体" w:cs="宋体"/>
                      <w:color w:val="000000"/>
                      <w:kern w:val="0"/>
                      <w:sz w:val="18"/>
                      <w:szCs w:val="18"/>
                      <w:lang w:bidi="ar"/>
                    </w:rPr>
                  </w:pPr>
                  <w:r>
                    <w:rPr>
                      <w:rFonts w:ascii="宋体" w:hAnsi="宋体" w:cs="宋体"/>
                      <w:color w:val="000000"/>
                      <w:kern w:val="0"/>
                      <w:sz w:val="18"/>
                      <w:szCs w:val="18"/>
                      <w:lang w:bidi="ar"/>
                    </w:rPr>
                    <w:t>329</w:t>
                  </w:r>
                </w:p>
              </w:tc>
              <w:tc>
                <w:tcPr>
                  <w:tcW w:w="935" w:type="pct"/>
                  <w:tcBorders>
                    <w:top w:val="nil"/>
                    <w:left w:val="nil"/>
                    <w:bottom w:val="single" w:color="000000" w:sz="8" w:space="0"/>
                    <w:right w:val="single" w:color="000000" w:sz="8" w:space="0"/>
                  </w:tcBorders>
                  <w:noWrap/>
                  <w:vAlign w:val="top"/>
                </w:tcPr>
                <w:p w14:paraId="71A1597A">
                  <w:pPr>
                    <w:jc w:val="center"/>
                    <w:rPr>
                      <w:rFonts w:ascii="宋体" w:hAnsi="宋体" w:cs="宋体"/>
                      <w:color w:val="000000"/>
                      <w:kern w:val="0"/>
                      <w:sz w:val="18"/>
                      <w:szCs w:val="18"/>
                      <w:lang w:bidi="ar"/>
                    </w:rPr>
                  </w:pPr>
                  <w:r>
                    <w:rPr>
                      <w:rFonts w:ascii="宋体" w:hAnsi="宋体" w:cs="宋体"/>
                      <w:color w:val="000000"/>
                      <w:kern w:val="0"/>
                      <w:sz w:val="18"/>
                      <w:szCs w:val="18"/>
                      <w:lang w:bidi="ar"/>
                    </w:rPr>
                    <w:t>494</w:t>
                  </w:r>
                </w:p>
              </w:tc>
            </w:tr>
            <w:tr w14:paraId="689F0E3A">
              <w:tblPrEx>
                <w:tblCellMar>
                  <w:top w:w="0" w:type="dxa"/>
                  <w:left w:w="108" w:type="dxa"/>
                  <w:bottom w:w="0" w:type="dxa"/>
                  <w:right w:w="108" w:type="dxa"/>
                </w:tblCellMar>
              </w:tblPrEx>
              <w:trPr>
                <w:trHeight w:val="510" w:hRule="atLeast"/>
                <w:jc w:val="center"/>
              </w:trPr>
              <w:tc>
                <w:tcPr>
                  <w:tcW w:w="2193" w:type="pct"/>
                  <w:tcBorders>
                    <w:top w:val="nil"/>
                    <w:left w:val="single" w:color="000000" w:sz="8" w:space="0"/>
                    <w:bottom w:val="single" w:color="000000" w:sz="8" w:space="0"/>
                    <w:right w:val="single" w:color="000000" w:sz="8" w:space="0"/>
                  </w:tcBorders>
                  <w:noWrap w:val="0"/>
                  <w:vAlign w:val="top"/>
                </w:tcPr>
                <w:p w14:paraId="793A41A3">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资产负债率</w:t>
                  </w:r>
                </w:p>
              </w:tc>
              <w:tc>
                <w:tcPr>
                  <w:tcW w:w="936" w:type="pct"/>
                  <w:tcBorders>
                    <w:top w:val="nil"/>
                    <w:left w:val="nil"/>
                    <w:bottom w:val="single" w:color="000000" w:sz="8" w:space="0"/>
                    <w:right w:val="single" w:color="000000" w:sz="8" w:space="0"/>
                  </w:tcBorders>
                  <w:noWrap/>
                  <w:vAlign w:val="top"/>
                </w:tcPr>
                <w:p w14:paraId="4EA17F0C">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50</w:t>
                  </w:r>
                </w:p>
              </w:tc>
              <w:tc>
                <w:tcPr>
                  <w:tcW w:w="936" w:type="pct"/>
                  <w:tcBorders>
                    <w:top w:val="nil"/>
                    <w:left w:val="nil"/>
                    <w:bottom w:val="single" w:color="000000" w:sz="8" w:space="0"/>
                    <w:right w:val="single" w:color="000000" w:sz="8" w:space="0"/>
                  </w:tcBorders>
                  <w:noWrap/>
                  <w:vAlign w:val="top"/>
                </w:tcPr>
                <w:p w14:paraId="1FF6E61F">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50</w:t>
                  </w:r>
                </w:p>
              </w:tc>
              <w:tc>
                <w:tcPr>
                  <w:tcW w:w="935" w:type="pct"/>
                  <w:tcBorders>
                    <w:top w:val="nil"/>
                    <w:left w:val="nil"/>
                    <w:bottom w:val="single" w:color="000000" w:sz="8" w:space="0"/>
                    <w:right w:val="single" w:color="000000" w:sz="8" w:space="0"/>
                  </w:tcBorders>
                  <w:noWrap/>
                  <w:vAlign w:val="top"/>
                </w:tcPr>
                <w:p w14:paraId="46329A3D">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43</w:t>
                  </w:r>
                </w:p>
              </w:tc>
            </w:tr>
            <w:tr w14:paraId="7CDB2F78">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0"/>
                  <w:vAlign w:val="top"/>
                </w:tcPr>
                <w:p w14:paraId="72AF773B">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流动比率</w:t>
                  </w:r>
                </w:p>
              </w:tc>
              <w:tc>
                <w:tcPr>
                  <w:tcW w:w="936" w:type="pct"/>
                  <w:tcBorders>
                    <w:top w:val="nil"/>
                    <w:left w:val="nil"/>
                    <w:bottom w:val="single" w:color="000000" w:sz="8" w:space="0"/>
                    <w:right w:val="single" w:color="000000" w:sz="8" w:space="0"/>
                  </w:tcBorders>
                  <w:noWrap/>
                  <w:vAlign w:val="top"/>
                </w:tcPr>
                <w:p w14:paraId="429F5790">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1.6</w:t>
                  </w:r>
                </w:p>
              </w:tc>
              <w:tc>
                <w:tcPr>
                  <w:tcW w:w="936" w:type="pct"/>
                  <w:tcBorders>
                    <w:top w:val="nil"/>
                    <w:left w:val="nil"/>
                    <w:bottom w:val="single" w:color="000000" w:sz="8" w:space="0"/>
                    <w:right w:val="single" w:color="000000" w:sz="8" w:space="0"/>
                  </w:tcBorders>
                  <w:noWrap/>
                  <w:vAlign w:val="top"/>
                </w:tcPr>
                <w:p w14:paraId="6A726553">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1.6</w:t>
                  </w:r>
                </w:p>
              </w:tc>
              <w:tc>
                <w:tcPr>
                  <w:tcW w:w="935" w:type="pct"/>
                  <w:tcBorders>
                    <w:top w:val="nil"/>
                    <w:left w:val="nil"/>
                    <w:bottom w:val="single" w:color="000000" w:sz="8" w:space="0"/>
                    <w:right w:val="single" w:color="000000" w:sz="8" w:space="0"/>
                  </w:tcBorders>
                  <w:noWrap/>
                  <w:vAlign w:val="top"/>
                </w:tcPr>
                <w:p w14:paraId="77A47FC2">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1.8</w:t>
                  </w:r>
                </w:p>
              </w:tc>
            </w:tr>
            <w:tr w14:paraId="5CA79646">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000000" w:sz="8" w:space="0"/>
                    <w:right w:val="single" w:color="000000" w:sz="8" w:space="0"/>
                  </w:tcBorders>
                  <w:noWrap w:val="0"/>
                  <w:vAlign w:val="top"/>
                </w:tcPr>
                <w:p w14:paraId="6C22DCCD">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速动比率</w:t>
                  </w:r>
                </w:p>
              </w:tc>
              <w:tc>
                <w:tcPr>
                  <w:tcW w:w="936" w:type="pct"/>
                  <w:tcBorders>
                    <w:top w:val="nil"/>
                    <w:left w:val="nil"/>
                    <w:bottom w:val="single" w:color="000000" w:sz="8" w:space="0"/>
                    <w:right w:val="single" w:color="000000" w:sz="8" w:space="0"/>
                  </w:tcBorders>
                  <w:noWrap/>
                  <w:vAlign w:val="top"/>
                </w:tcPr>
                <w:p w14:paraId="5E9FA2BD">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1.3</w:t>
                  </w:r>
                </w:p>
              </w:tc>
              <w:tc>
                <w:tcPr>
                  <w:tcW w:w="936" w:type="pct"/>
                  <w:tcBorders>
                    <w:top w:val="nil"/>
                    <w:left w:val="nil"/>
                    <w:bottom w:val="single" w:color="000000" w:sz="8" w:space="0"/>
                    <w:right w:val="single" w:color="000000" w:sz="8" w:space="0"/>
                  </w:tcBorders>
                  <w:noWrap/>
                  <w:vAlign w:val="top"/>
                </w:tcPr>
                <w:p w14:paraId="68C2AC3C">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1.4</w:t>
                  </w:r>
                </w:p>
              </w:tc>
              <w:tc>
                <w:tcPr>
                  <w:tcW w:w="935" w:type="pct"/>
                  <w:tcBorders>
                    <w:top w:val="nil"/>
                    <w:left w:val="nil"/>
                    <w:bottom w:val="single" w:color="000000" w:sz="8" w:space="0"/>
                    <w:right w:val="single" w:color="000000" w:sz="8" w:space="0"/>
                  </w:tcBorders>
                  <w:noWrap/>
                  <w:vAlign w:val="top"/>
                </w:tcPr>
                <w:p w14:paraId="6A8E60D8">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1.5</w:t>
                  </w:r>
                </w:p>
              </w:tc>
            </w:tr>
            <w:tr w14:paraId="0CC51E59">
              <w:tblPrEx>
                <w:tblCellMar>
                  <w:top w:w="0" w:type="dxa"/>
                  <w:left w:w="108" w:type="dxa"/>
                  <w:bottom w:w="0" w:type="dxa"/>
                  <w:right w:w="108" w:type="dxa"/>
                </w:tblCellMar>
              </w:tblPrEx>
              <w:trPr>
                <w:trHeight w:val="510" w:hRule="atLeast"/>
                <w:jc w:val="center"/>
              </w:trPr>
              <w:tc>
                <w:tcPr>
                  <w:tcW w:w="2193" w:type="pct"/>
                  <w:tcBorders>
                    <w:top w:val="nil"/>
                    <w:left w:val="single" w:color="000000" w:sz="8" w:space="0"/>
                    <w:bottom w:val="single" w:color="000000" w:sz="8" w:space="0"/>
                    <w:right w:val="single" w:color="000000" w:sz="8" w:space="0"/>
                  </w:tcBorders>
                  <w:noWrap w:val="0"/>
                  <w:vAlign w:val="top"/>
                </w:tcPr>
                <w:p w14:paraId="41CCD4E9">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应收账款周转天数</w:t>
                  </w:r>
                </w:p>
              </w:tc>
              <w:tc>
                <w:tcPr>
                  <w:tcW w:w="936" w:type="pct"/>
                  <w:tcBorders>
                    <w:top w:val="nil"/>
                    <w:left w:val="nil"/>
                    <w:bottom w:val="single" w:color="000000" w:sz="8" w:space="0"/>
                    <w:right w:val="single" w:color="000000" w:sz="8" w:space="0"/>
                  </w:tcBorders>
                  <w:noWrap/>
                  <w:vAlign w:val="top"/>
                </w:tcPr>
                <w:p w14:paraId="507B2F1C">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162</w:t>
                  </w:r>
                </w:p>
              </w:tc>
              <w:tc>
                <w:tcPr>
                  <w:tcW w:w="936" w:type="pct"/>
                  <w:tcBorders>
                    <w:top w:val="nil"/>
                    <w:left w:val="nil"/>
                    <w:bottom w:val="single" w:color="000000" w:sz="8" w:space="0"/>
                    <w:right w:val="single" w:color="000000" w:sz="8" w:space="0"/>
                  </w:tcBorders>
                  <w:noWrap/>
                  <w:vAlign w:val="top"/>
                </w:tcPr>
                <w:p w14:paraId="019A7511">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327</w:t>
                  </w:r>
                </w:p>
              </w:tc>
              <w:tc>
                <w:tcPr>
                  <w:tcW w:w="935" w:type="pct"/>
                  <w:tcBorders>
                    <w:top w:val="nil"/>
                    <w:left w:val="nil"/>
                    <w:bottom w:val="single" w:color="000000" w:sz="8" w:space="0"/>
                    <w:right w:val="single" w:color="000000" w:sz="8" w:space="0"/>
                  </w:tcBorders>
                  <w:noWrap/>
                  <w:vAlign w:val="top"/>
                </w:tcPr>
                <w:p w14:paraId="4E4AC487">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304</w:t>
                  </w:r>
                </w:p>
              </w:tc>
            </w:tr>
            <w:tr w14:paraId="5E88302E">
              <w:tblPrEx>
                <w:tblCellMar>
                  <w:top w:w="0" w:type="dxa"/>
                  <w:left w:w="108" w:type="dxa"/>
                  <w:bottom w:w="0" w:type="dxa"/>
                  <w:right w:w="108" w:type="dxa"/>
                </w:tblCellMar>
              </w:tblPrEx>
              <w:trPr>
                <w:trHeight w:val="510" w:hRule="atLeast"/>
                <w:jc w:val="center"/>
              </w:trPr>
              <w:tc>
                <w:tcPr>
                  <w:tcW w:w="2193" w:type="pct"/>
                  <w:tcBorders>
                    <w:top w:val="nil"/>
                    <w:left w:val="single" w:color="000000" w:sz="8" w:space="0"/>
                    <w:bottom w:val="single" w:color="000000" w:sz="8" w:space="0"/>
                    <w:right w:val="single" w:color="000000" w:sz="8" w:space="0"/>
                  </w:tcBorders>
                  <w:noWrap w:val="0"/>
                  <w:vAlign w:val="top"/>
                </w:tcPr>
                <w:p w14:paraId="42E72F91">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存货周转天数</w:t>
                  </w:r>
                </w:p>
              </w:tc>
              <w:tc>
                <w:tcPr>
                  <w:tcW w:w="936" w:type="pct"/>
                  <w:tcBorders>
                    <w:top w:val="nil"/>
                    <w:left w:val="nil"/>
                    <w:bottom w:val="single" w:color="000000" w:sz="8" w:space="0"/>
                    <w:right w:val="single" w:color="000000" w:sz="8" w:space="0"/>
                  </w:tcBorders>
                  <w:noWrap/>
                  <w:vAlign w:val="top"/>
                </w:tcPr>
                <w:p w14:paraId="21571E0D">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162</w:t>
                  </w:r>
                </w:p>
              </w:tc>
              <w:tc>
                <w:tcPr>
                  <w:tcW w:w="936" w:type="pct"/>
                  <w:tcBorders>
                    <w:top w:val="nil"/>
                    <w:left w:val="nil"/>
                    <w:bottom w:val="single" w:color="000000" w:sz="8" w:space="0"/>
                    <w:right w:val="single" w:color="000000" w:sz="8" w:space="0"/>
                  </w:tcBorders>
                  <w:noWrap/>
                  <w:vAlign w:val="top"/>
                </w:tcPr>
                <w:p w14:paraId="0F4579A0">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127</w:t>
                  </w:r>
                </w:p>
              </w:tc>
              <w:tc>
                <w:tcPr>
                  <w:tcW w:w="935" w:type="pct"/>
                  <w:tcBorders>
                    <w:top w:val="nil"/>
                    <w:left w:val="nil"/>
                    <w:bottom w:val="single" w:color="000000" w:sz="8" w:space="0"/>
                    <w:right w:val="single" w:color="000000" w:sz="8" w:space="0"/>
                  </w:tcBorders>
                  <w:noWrap/>
                  <w:vAlign w:val="top"/>
                </w:tcPr>
                <w:p w14:paraId="637704A0">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99</w:t>
                  </w:r>
                </w:p>
              </w:tc>
            </w:tr>
            <w:tr w14:paraId="7126188D">
              <w:tblPrEx>
                <w:tblCellMar>
                  <w:top w:w="0" w:type="dxa"/>
                  <w:left w:w="108" w:type="dxa"/>
                  <w:bottom w:w="0" w:type="dxa"/>
                  <w:right w:w="108" w:type="dxa"/>
                </w:tblCellMar>
              </w:tblPrEx>
              <w:trPr>
                <w:trHeight w:val="510" w:hRule="atLeast"/>
                <w:jc w:val="center"/>
              </w:trPr>
              <w:tc>
                <w:tcPr>
                  <w:tcW w:w="2193" w:type="pct"/>
                  <w:tcBorders>
                    <w:top w:val="nil"/>
                    <w:left w:val="single" w:color="000000" w:sz="8" w:space="0"/>
                    <w:bottom w:val="single" w:color="000000" w:sz="8" w:space="0"/>
                    <w:right w:val="single" w:color="000000" w:sz="8" w:space="0"/>
                  </w:tcBorders>
                  <w:noWrap w:val="0"/>
                  <w:vAlign w:val="top"/>
                </w:tcPr>
                <w:p w14:paraId="6A96C35E">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预付账款周转天数</w:t>
                  </w:r>
                </w:p>
              </w:tc>
              <w:tc>
                <w:tcPr>
                  <w:tcW w:w="936" w:type="pct"/>
                  <w:tcBorders>
                    <w:top w:val="nil"/>
                    <w:left w:val="nil"/>
                    <w:bottom w:val="single" w:color="000000" w:sz="8" w:space="0"/>
                    <w:right w:val="single" w:color="000000" w:sz="8" w:space="0"/>
                  </w:tcBorders>
                  <w:noWrap/>
                  <w:vAlign w:val="top"/>
                </w:tcPr>
                <w:p w14:paraId="40F8C437">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6</w:t>
                  </w:r>
                </w:p>
              </w:tc>
              <w:tc>
                <w:tcPr>
                  <w:tcW w:w="936" w:type="pct"/>
                  <w:tcBorders>
                    <w:top w:val="nil"/>
                    <w:left w:val="nil"/>
                    <w:bottom w:val="single" w:color="000000" w:sz="8" w:space="0"/>
                    <w:right w:val="single" w:color="000000" w:sz="8" w:space="0"/>
                  </w:tcBorders>
                  <w:noWrap/>
                  <w:vAlign w:val="top"/>
                </w:tcPr>
                <w:p w14:paraId="0499C9FA">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14</w:t>
                  </w:r>
                </w:p>
              </w:tc>
              <w:tc>
                <w:tcPr>
                  <w:tcW w:w="935" w:type="pct"/>
                  <w:tcBorders>
                    <w:top w:val="nil"/>
                    <w:left w:val="nil"/>
                    <w:bottom w:val="single" w:color="000000" w:sz="8" w:space="0"/>
                    <w:right w:val="single" w:color="000000" w:sz="8" w:space="0"/>
                  </w:tcBorders>
                  <w:noWrap/>
                  <w:vAlign w:val="top"/>
                </w:tcPr>
                <w:p w14:paraId="4A605A32">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20</w:t>
                  </w:r>
                </w:p>
              </w:tc>
            </w:tr>
            <w:tr w14:paraId="70E66D2D">
              <w:tblPrEx>
                <w:tblCellMar>
                  <w:top w:w="0" w:type="dxa"/>
                  <w:left w:w="108" w:type="dxa"/>
                  <w:bottom w:w="0" w:type="dxa"/>
                  <w:right w:w="108" w:type="dxa"/>
                </w:tblCellMar>
              </w:tblPrEx>
              <w:trPr>
                <w:trHeight w:val="510" w:hRule="atLeast"/>
                <w:jc w:val="center"/>
              </w:trPr>
              <w:tc>
                <w:tcPr>
                  <w:tcW w:w="2193" w:type="pct"/>
                  <w:tcBorders>
                    <w:top w:val="nil"/>
                    <w:left w:val="single" w:color="000000" w:sz="8" w:space="0"/>
                    <w:bottom w:val="single" w:color="000000" w:sz="8" w:space="0"/>
                    <w:right w:val="single" w:color="000000" w:sz="8" w:space="0"/>
                  </w:tcBorders>
                  <w:noWrap w:val="0"/>
                  <w:vAlign w:val="top"/>
                </w:tcPr>
                <w:p w14:paraId="01255A2D">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应付帐款周转天数</w:t>
                  </w:r>
                </w:p>
              </w:tc>
              <w:tc>
                <w:tcPr>
                  <w:tcW w:w="936" w:type="pct"/>
                  <w:tcBorders>
                    <w:top w:val="nil"/>
                    <w:left w:val="nil"/>
                    <w:bottom w:val="single" w:color="000000" w:sz="8" w:space="0"/>
                    <w:right w:val="single" w:color="000000" w:sz="8" w:space="0"/>
                  </w:tcBorders>
                  <w:noWrap/>
                  <w:vAlign w:val="top"/>
                </w:tcPr>
                <w:p w14:paraId="3F4A81DD">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69</w:t>
                  </w:r>
                </w:p>
              </w:tc>
              <w:tc>
                <w:tcPr>
                  <w:tcW w:w="936" w:type="pct"/>
                  <w:tcBorders>
                    <w:top w:val="nil"/>
                    <w:left w:val="nil"/>
                    <w:bottom w:val="single" w:color="000000" w:sz="8" w:space="0"/>
                    <w:right w:val="single" w:color="000000" w:sz="8" w:space="0"/>
                  </w:tcBorders>
                  <w:noWrap/>
                  <w:vAlign w:val="top"/>
                </w:tcPr>
                <w:p w14:paraId="2BF22156">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143</w:t>
                  </w:r>
                </w:p>
              </w:tc>
              <w:tc>
                <w:tcPr>
                  <w:tcW w:w="935" w:type="pct"/>
                  <w:tcBorders>
                    <w:top w:val="nil"/>
                    <w:left w:val="nil"/>
                    <w:bottom w:val="single" w:color="000000" w:sz="8" w:space="0"/>
                    <w:right w:val="single" w:color="000000" w:sz="8" w:space="0"/>
                  </w:tcBorders>
                  <w:noWrap/>
                  <w:vAlign w:val="top"/>
                </w:tcPr>
                <w:p w14:paraId="45E1DC54">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99</w:t>
                  </w:r>
                </w:p>
              </w:tc>
            </w:tr>
            <w:tr w14:paraId="65C0804F">
              <w:tblPrEx>
                <w:tblCellMar>
                  <w:top w:w="0" w:type="dxa"/>
                  <w:left w:w="108" w:type="dxa"/>
                  <w:bottom w:w="0" w:type="dxa"/>
                  <w:right w:w="108" w:type="dxa"/>
                </w:tblCellMar>
              </w:tblPrEx>
              <w:trPr>
                <w:trHeight w:val="285" w:hRule="atLeast"/>
                <w:jc w:val="center"/>
              </w:trPr>
              <w:tc>
                <w:tcPr>
                  <w:tcW w:w="2193" w:type="pct"/>
                  <w:tcBorders>
                    <w:top w:val="nil"/>
                    <w:left w:val="single" w:color="000000" w:sz="8" w:space="0"/>
                    <w:bottom w:val="single" w:color="auto" w:sz="4" w:space="0"/>
                    <w:right w:val="single" w:color="000000" w:sz="8" w:space="0"/>
                  </w:tcBorders>
                  <w:noWrap w:val="0"/>
                  <w:vAlign w:val="top"/>
                </w:tcPr>
                <w:p w14:paraId="7A46A7A0">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毛利润率</w:t>
                  </w:r>
                </w:p>
              </w:tc>
              <w:tc>
                <w:tcPr>
                  <w:tcW w:w="936" w:type="pct"/>
                  <w:tcBorders>
                    <w:top w:val="nil"/>
                    <w:left w:val="nil"/>
                    <w:bottom w:val="single" w:color="auto" w:sz="4" w:space="0"/>
                    <w:right w:val="single" w:color="000000" w:sz="8" w:space="0"/>
                  </w:tcBorders>
                  <w:noWrap/>
                  <w:vAlign w:val="top"/>
                </w:tcPr>
                <w:p w14:paraId="7C6808BD">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27</w:t>
                  </w:r>
                </w:p>
              </w:tc>
              <w:tc>
                <w:tcPr>
                  <w:tcW w:w="936" w:type="pct"/>
                  <w:tcBorders>
                    <w:top w:val="nil"/>
                    <w:left w:val="nil"/>
                    <w:bottom w:val="single" w:color="auto" w:sz="4" w:space="0"/>
                    <w:right w:val="single" w:color="000000" w:sz="8" w:space="0"/>
                  </w:tcBorders>
                  <w:noWrap/>
                  <w:vAlign w:val="top"/>
                </w:tcPr>
                <w:p w14:paraId="56C15C87">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39</w:t>
                  </w:r>
                </w:p>
              </w:tc>
              <w:tc>
                <w:tcPr>
                  <w:tcW w:w="935" w:type="pct"/>
                  <w:tcBorders>
                    <w:top w:val="nil"/>
                    <w:left w:val="nil"/>
                    <w:bottom w:val="single" w:color="auto" w:sz="4" w:space="0"/>
                    <w:right w:val="single" w:color="000000" w:sz="8" w:space="0"/>
                  </w:tcBorders>
                  <w:noWrap/>
                  <w:vAlign w:val="top"/>
                </w:tcPr>
                <w:p w14:paraId="16864850">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38</w:t>
                  </w:r>
                </w:p>
              </w:tc>
            </w:tr>
            <w:tr w14:paraId="6DCF9453">
              <w:tblPrEx>
                <w:tblCellMar>
                  <w:top w:w="0" w:type="dxa"/>
                  <w:left w:w="108" w:type="dxa"/>
                  <w:bottom w:w="0" w:type="dxa"/>
                  <w:right w:w="108" w:type="dxa"/>
                </w:tblCellMar>
              </w:tblPrEx>
              <w:trPr>
                <w:trHeight w:val="285" w:hRule="atLeast"/>
                <w:jc w:val="center"/>
              </w:trPr>
              <w:tc>
                <w:tcPr>
                  <w:tcW w:w="2193" w:type="pct"/>
                  <w:tcBorders>
                    <w:top w:val="single" w:color="auto" w:sz="4" w:space="0"/>
                    <w:left w:val="single" w:color="auto" w:sz="4" w:space="0"/>
                    <w:bottom w:val="single" w:color="auto" w:sz="4" w:space="0"/>
                    <w:right w:val="single" w:color="auto" w:sz="4" w:space="0"/>
                  </w:tcBorders>
                  <w:noWrap w:val="0"/>
                  <w:vAlign w:val="top"/>
                </w:tcPr>
                <w:p w14:paraId="76D79A77">
                  <w:pPr>
                    <w:widowControl/>
                    <w:spacing w:line="360" w:lineRule="auto"/>
                    <w:jc w:val="center"/>
                    <w:textAlignment w:val="center"/>
                    <w:rPr>
                      <w:rFonts w:hint="eastAsia" w:ascii="宋体" w:hAnsi="宋体" w:cs="宋体"/>
                      <w:color w:val="000000"/>
                      <w:kern w:val="0"/>
                      <w:sz w:val="18"/>
                      <w:szCs w:val="18"/>
                      <w:lang w:bidi="ar"/>
                    </w:rPr>
                  </w:pPr>
                  <w:r>
                    <w:rPr>
                      <w:rFonts w:hint="eastAsia" w:ascii="宋体" w:hAnsi="宋体" w:cs="宋体"/>
                      <w:color w:val="000000"/>
                      <w:kern w:val="0"/>
                      <w:sz w:val="18"/>
                      <w:szCs w:val="18"/>
                      <w:lang w:bidi="ar"/>
                    </w:rPr>
                    <w:t>净利润率</w:t>
                  </w:r>
                </w:p>
              </w:tc>
              <w:tc>
                <w:tcPr>
                  <w:tcW w:w="936" w:type="pct"/>
                  <w:tcBorders>
                    <w:top w:val="single" w:color="auto" w:sz="4" w:space="0"/>
                    <w:left w:val="single" w:color="auto" w:sz="4" w:space="0"/>
                    <w:bottom w:val="single" w:color="auto" w:sz="4" w:space="0"/>
                    <w:right w:val="single" w:color="auto" w:sz="4" w:space="0"/>
                  </w:tcBorders>
                  <w:noWrap/>
                  <w:vAlign w:val="top"/>
                </w:tcPr>
                <w:p w14:paraId="513E6FE8">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3</w:t>
                  </w:r>
                </w:p>
              </w:tc>
              <w:tc>
                <w:tcPr>
                  <w:tcW w:w="936" w:type="pct"/>
                  <w:tcBorders>
                    <w:top w:val="single" w:color="auto" w:sz="4" w:space="0"/>
                    <w:left w:val="single" w:color="auto" w:sz="4" w:space="0"/>
                    <w:bottom w:val="single" w:color="auto" w:sz="4" w:space="0"/>
                    <w:right w:val="single" w:color="auto" w:sz="4" w:space="0"/>
                  </w:tcBorders>
                  <w:noWrap/>
                  <w:vAlign w:val="top"/>
                </w:tcPr>
                <w:p w14:paraId="04F172F6">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4</w:t>
                  </w:r>
                </w:p>
              </w:tc>
              <w:tc>
                <w:tcPr>
                  <w:tcW w:w="935" w:type="pct"/>
                  <w:tcBorders>
                    <w:top w:val="single" w:color="auto" w:sz="4" w:space="0"/>
                    <w:left w:val="single" w:color="auto" w:sz="4" w:space="0"/>
                    <w:bottom w:val="single" w:color="auto" w:sz="4" w:space="0"/>
                    <w:right w:val="single" w:color="auto" w:sz="4" w:space="0"/>
                  </w:tcBorders>
                  <w:noWrap/>
                  <w:vAlign w:val="top"/>
                </w:tcPr>
                <w:p w14:paraId="0F907770">
                  <w:pPr>
                    <w:jc w:val="center"/>
                    <w:textAlignment w:val="center"/>
                    <w:rPr>
                      <w:rFonts w:ascii="宋体" w:hAnsi="宋体" w:cs="宋体"/>
                      <w:color w:val="000000"/>
                      <w:kern w:val="0"/>
                      <w:sz w:val="18"/>
                      <w:szCs w:val="18"/>
                      <w:lang w:bidi="ar"/>
                    </w:rPr>
                  </w:pPr>
                  <w:r>
                    <w:rPr>
                      <w:rFonts w:ascii="宋体" w:hAnsi="宋体" w:cs="宋体"/>
                      <w:color w:val="000000"/>
                      <w:kern w:val="0"/>
                      <w:sz w:val="18"/>
                      <w:szCs w:val="18"/>
                      <w:lang w:bidi="ar"/>
                    </w:rPr>
                    <w:t>5</w:t>
                  </w:r>
                </w:p>
              </w:tc>
            </w:tr>
          </w:tbl>
          <w:p w14:paraId="358220B1">
            <w:pPr>
              <w:autoSpaceDE w:val="0"/>
              <w:autoSpaceDN w:val="0"/>
              <w:adjustRightInd w:val="0"/>
              <w:snapToGrid w:val="0"/>
              <w:spacing w:before="62" w:beforeLines="20"/>
              <w:ind w:firstLine="420" w:firstLineChars="200"/>
              <w:jc w:val="left"/>
              <w:rPr>
                <w:rFonts w:hint="eastAsia" w:ascii="宋体" w:hAnsi="宋体" w:cs="宋体"/>
                <w:bCs/>
                <w:snapToGrid w:val="0"/>
                <w:color w:val="FF0000"/>
                <w:kern w:val="0"/>
                <w:szCs w:val="21"/>
                <w:lang w:val="zh-CN"/>
              </w:rPr>
            </w:pPr>
            <w:r>
              <w:rPr>
                <w:rFonts w:hint="eastAsia" w:ascii="宋体" w:hAnsi="宋体" w:cs="宋体"/>
                <w:bCs/>
                <w:snapToGrid w:val="0"/>
                <w:color w:val="000000"/>
                <w:kern w:val="0"/>
                <w:szCs w:val="21"/>
              </w:rPr>
              <w:t>注：以下财务数据明细</w:t>
            </w:r>
            <w:r>
              <w:rPr>
                <w:rFonts w:hint="eastAsia" w:ascii="宋体" w:hAnsi="宋体" w:cs="宋体"/>
                <w:bCs/>
                <w:snapToGrid w:val="0"/>
                <w:kern w:val="0"/>
                <w:szCs w:val="21"/>
              </w:rPr>
              <w:t>为</w:t>
            </w:r>
            <w:r>
              <w:rPr>
                <w:rFonts w:hint="eastAsia" w:ascii="宋体" w:hAnsi="宋体" w:cs="宋体"/>
                <w:bCs/>
                <w:snapToGrid w:val="0"/>
                <w:kern w:val="0"/>
                <w:szCs w:val="21"/>
                <w:u w:val="single"/>
              </w:rPr>
              <w:t>2025年12月</w:t>
            </w:r>
            <w:r>
              <w:rPr>
                <w:rFonts w:hint="eastAsia" w:ascii="宋体" w:hAnsi="宋体" w:cs="宋体"/>
                <w:bCs/>
                <w:snapToGrid w:val="0"/>
                <w:kern w:val="0"/>
                <w:szCs w:val="21"/>
              </w:rPr>
              <w:t>数</w:t>
            </w:r>
            <w:r>
              <w:rPr>
                <w:rFonts w:hint="eastAsia" w:ascii="宋体" w:hAnsi="宋体" w:cs="宋体"/>
                <w:bCs/>
                <w:snapToGrid w:val="0"/>
                <w:color w:val="000000"/>
                <w:kern w:val="0"/>
                <w:szCs w:val="21"/>
              </w:rPr>
              <w:t>据</w:t>
            </w:r>
          </w:p>
          <w:p w14:paraId="665A6C11">
            <w:pPr>
              <w:autoSpaceDE w:val="0"/>
              <w:autoSpaceDN w:val="0"/>
              <w:adjustRightInd w:val="0"/>
              <w:snapToGrid w:val="0"/>
              <w:spacing w:before="62" w:beforeLines="20"/>
              <w:ind w:firstLine="420" w:firstLineChars="200"/>
              <w:jc w:val="left"/>
              <w:rPr>
                <w:rFonts w:ascii="宋体" w:hAnsi="宋体" w:cs="宋体"/>
                <w:snapToGrid w:val="0"/>
                <w:color w:val="000000"/>
                <w:kern w:val="0"/>
                <w:szCs w:val="21"/>
                <w:u w:val="single"/>
                <w:lang w:val="zh-CN"/>
              </w:rPr>
            </w:pPr>
            <w:r>
              <w:rPr>
                <w:rFonts w:hint="eastAsia" w:ascii="宋体" w:hAnsi="宋体" w:cs="宋体"/>
                <w:bCs/>
                <w:snapToGrid w:val="0"/>
                <w:color w:val="000000"/>
                <w:kern w:val="0"/>
                <w:szCs w:val="21"/>
                <w:lang w:val="zh-CN"/>
              </w:rPr>
              <w:t>（1）应收</w:t>
            </w:r>
            <w:r>
              <w:rPr>
                <w:rFonts w:hint="eastAsia" w:ascii="宋体" w:hAnsi="宋体" w:cs="宋体"/>
                <w:snapToGrid w:val="0"/>
                <w:color w:val="000000"/>
                <w:kern w:val="0"/>
                <w:szCs w:val="21"/>
              </w:rPr>
              <w:t>账款</w:t>
            </w:r>
            <w:r>
              <w:rPr>
                <w:rFonts w:hint="eastAsia" w:ascii="宋体" w:hAnsi="宋体" w:cs="宋体"/>
                <w:snapToGrid w:val="0"/>
                <w:color w:val="000000"/>
                <w:kern w:val="0"/>
                <w:szCs w:val="21"/>
                <w:u w:val="single"/>
                <w:lang w:val="zh-CN"/>
              </w:rPr>
              <w:t>7430</w:t>
            </w:r>
            <w:r>
              <w:rPr>
                <w:rFonts w:hint="eastAsia" w:ascii="宋体" w:hAnsi="宋体" w:cs="宋体"/>
                <w:snapToGrid w:val="0"/>
                <w:color w:val="000000"/>
                <w:kern w:val="0"/>
                <w:szCs w:val="21"/>
                <w:lang w:val="zh-CN"/>
              </w:rPr>
              <w:t>万元，主要构成及</w:t>
            </w:r>
            <w:r>
              <w:rPr>
                <w:rFonts w:hint="eastAsia" w:ascii="宋体" w:hAnsi="宋体" w:cs="宋体"/>
                <w:snapToGrid w:val="0"/>
                <w:color w:val="000000"/>
                <w:kern w:val="0"/>
                <w:szCs w:val="21"/>
              </w:rPr>
              <w:t>趋势</w:t>
            </w:r>
            <w:r>
              <w:rPr>
                <w:rFonts w:hint="eastAsia" w:ascii="宋体" w:hAnsi="宋体" w:cs="宋体"/>
                <w:snapToGrid w:val="0"/>
                <w:color w:val="000000"/>
                <w:kern w:val="0"/>
                <w:szCs w:val="21"/>
                <w:lang w:val="zh-CN"/>
              </w:rPr>
              <w:t>变动情况：</w:t>
            </w:r>
            <w:r>
              <w:rPr>
                <w:rFonts w:hint="eastAsia" w:ascii="宋体" w:hAnsi="宋体" w:cs="宋体"/>
                <w:snapToGrid w:val="0"/>
                <w:color w:val="000000"/>
                <w:kern w:val="0"/>
                <w:szCs w:val="21"/>
                <w:u w:val="single"/>
                <w:lang w:val="zh-CN"/>
              </w:rPr>
              <w:t>应收账款约占2025年末总资产的43.8%，仍是资产端最核心科目，公司资金仍较多沉淀在赊销形成的应收款中。</w:t>
            </w:r>
          </w:p>
          <w:tbl>
            <w:tblPr>
              <w:tblStyle w:val="13"/>
              <w:tblW w:w="7272" w:type="dxa"/>
              <w:jc w:val="center"/>
              <w:tblLayout w:type="autofit"/>
              <w:tblCellMar>
                <w:top w:w="0" w:type="dxa"/>
                <w:left w:w="108" w:type="dxa"/>
                <w:bottom w:w="0" w:type="dxa"/>
                <w:right w:w="108" w:type="dxa"/>
              </w:tblCellMar>
            </w:tblPr>
            <w:tblGrid>
              <w:gridCol w:w="3636"/>
              <w:gridCol w:w="3636"/>
            </w:tblGrid>
            <w:tr w14:paraId="35072E24">
              <w:tblPrEx>
                <w:tblCellMar>
                  <w:top w:w="0" w:type="dxa"/>
                  <w:left w:w="108" w:type="dxa"/>
                  <w:bottom w:w="0" w:type="dxa"/>
                  <w:right w:w="108" w:type="dxa"/>
                </w:tblCellMar>
              </w:tblPrEx>
              <w:trPr>
                <w:trHeight w:val="340" w:hRule="atLeast"/>
                <w:jc w:val="center"/>
              </w:trPr>
              <w:tc>
                <w:tcPr>
                  <w:tcW w:w="3636" w:type="dxa"/>
                  <w:tcBorders>
                    <w:top w:val="single" w:color="auto" w:sz="4" w:space="0"/>
                    <w:left w:val="single" w:color="auto" w:sz="4" w:space="0"/>
                    <w:bottom w:val="single" w:color="auto" w:sz="4" w:space="0"/>
                    <w:right w:val="single" w:color="auto" w:sz="4" w:space="0"/>
                  </w:tcBorders>
                  <w:noWrap w:val="0"/>
                  <w:vAlign w:val="center"/>
                </w:tcPr>
                <w:p w14:paraId="7F801112">
                  <w:pPr>
                    <w:widowControl/>
                    <w:kinsoku w:val="0"/>
                    <w:autoSpaceDE w:val="0"/>
                    <w:autoSpaceDN w:val="0"/>
                    <w:adjustRightInd w:val="0"/>
                    <w:snapToGrid w:val="0"/>
                    <w:jc w:val="center"/>
                    <w:textAlignment w:val="baseline"/>
                    <w:rPr>
                      <w:rFonts w:ascii="宋体" w:hAnsi="宋体" w:cs="宋体"/>
                      <w:b/>
                      <w:bCs/>
                      <w:snapToGrid w:val="0"/>
                      <w:color w:val="000000"/>
                      <w:kern w:val="0"/>
                      <w:sz w:val="18"/>
                      <w:szCs w:val="18"/>
                      <w:lang w:val="zh-CN"/>
                    </w:rPr>
                  </w:pPr>
                  <w:r>
                    <w:rPr>
                      <w:rFonts w:hint="eastAsia" w:ascii="宋体" w:hAnsi="宋体" w:cs="宋体"/>
                      <w:b/>
                      <w:bCs/>
                      <w:snapToGrid w:val="0"/>
                      <w:color w:val="000000"/>
                      <w:kern w:val="0"/>
                      <w:sz w:val="18"/>
                      <w:szCs w:val="18"/>
                      <w:lang w:val="zh-CN"/>
                    </w:rPr>
                    <w:t>前五大应收账款科目明细</w:t>
                  </w:r>
                </w:p>
              </w:tc>
              <w:tc>
                <w:tcPr>
                  <w:tcW w:w="3636" w:type="dxa"/>
                  <w:tcBorders>
                    <w:top w:val="single" w:color="auto" w:sz="4" w:space="0"/>
                    <w:left w:val="nil"/>
                    <w:bottom w:val="single" w:color="auto" w:sz="4" w:space="0"/>
                    <w:right w:val="single" w:color="auto" w:sz="4" w:space="0"/>
                  </w:tcBorders>
                  <w:noWrap w:val="0"/>
                  <w:vAlign w:val="center"/>
                </w:tcPr>
                <w:p w14:paraId="5B22C26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lang w:val="zh-CN"/>
                    </w:rPr>
                  </w:pPr>
                  <w:r>
                    <w:rPr>
                      <w:rFonts w:hint="eastAsia" w:ascii="宋体" w:hAnsi="宋体" w:cs="宋体"/>
                      <w:b/>
                      <w:bCs/>
                      <w:snapToGrid w:val="0"/>
                      <w:color w:val="000000"/>
                      <w:kern w:val="0"/>
                      <w:sz w:val="18"/>
                      <w:szCs w:val="18"/>
                      <w:lang w:val="zh-CN"/>
                    </w:rPr>
                    <w:t>金额（万元）</w:t>
                  </w:r>
                </w:p>
              </w:tc>
            </w:tr>
            <w:tr w14:paraId="613F3671">
              <w:tblPrEx>
                <w:tblCellMar>
                  <w:top w:w="0" w:type="dxa"/>
                  <w:left w:w="108" w:type="dxa"/>
                  <w:bottom w:w="0" w:type="dxa"/>
                  <w:right w:w="108" w:type="dxa"/>
                </w:tblCellMar>
              </w:tblPrEx>
              <w:trPr>
                <w:trHeight w:val="340" w:hRule="atLeast"/>
                <w:jc w:val="center"/>
              </w:trPr>
              <w:tc>
                <w:tcPr>
                  <w:tcW w:w="3636" w:type="dxa"/>
                  <w:tcBorders>
                    <w:top w:val="nil"/>
                    <w:left w:val="single" w:color="auto" w:sz="4" w:space="0"/>
                    <w:bottom w:val="single" w:color="auto" w:sz="4" w:space="0"/>
                    <w:right w:val="single" w:color="auto" w:sz="4" w:space="0"/>
                  </w:tcBorders>
                  <w:noWrap w:val="0"/>
                  <w:vAlign w:val="center"/>
                </w:tcPr>
                <w:p w14:paraId="37BFD3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福建省翔远电子科技有限公司</w:t>
                  </w:r>
                </w:p>
              </w:tc>
              <w:tc>
                <w:tcPr>
                  <w:tcW w:w="3636" w:type="dxa"/>
                  <w:tcBorders>
                    <w:top w:val="nil"/>
                    <w:left w:val="nil"/>
                    <w:bottom w:val="single" w:color="auto" w:sz="4" w:space="0"/>
                    <w:right w:val="single" w:color="auto" w:sz="4" w:space="0"/>
                  </w:tcBorders>
                  <w:noWrap/>
                  <w:vAlign w:val="bottom"/>
                </w:tcPr>
                <w:p w14:paraId="7095B1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1122</w:t>
                  </w:r>
                </w:p>
              </w:tc>
            </w:tr>
            <w:tr w14:paraId="41F5A40E">
              <w:tblPrEx>
                <w:tblCellMar>
                  <w:top w:w="0" w:type="dxa"/>
                  <w:left w:w="108" w:type="dxa"/>
                  <w:bottom w:w="0" w:type="dxa"/>
                  <w:right w:w="108" w:type="dxa"/>
                </w:tblCellMar>
              </w:tblPrEx>
              <w:trPr>
                <w:trHeight w:val="340" w:hRule="atLeast"/>
                <w:jc w:val="center"/>
              </w:trPr>
              <w:tc>
                <w:tcPr>
                  <w:tcW w:w="3636" w:type="dxa"/>
                  <w:tcBorders>
                    <w:top w:val="nil"/>
                    <w:left w:val="single" w:color="auto" w:sz="4" w:space="0"/>
                    <w:bottom w:val="single" w:color="auto" w:sz="4" w:space="0"/>
                    <w:right w:val="single" w:color="auto" w:sz="4" w:space="0"/>
                  </w:tcBorders>
                  <w:noWrap w:val="0"/>
                  <w:vAlign w:val="center"/>
                </w:tcPr>
                <w:p w14:paraId="760CAB0A">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涵江水利局</w:t>
                  </w:r>
                </w:p>
              </w:tc>
              <w:tc>
                <w:tcPr>
                  <w:tcW w:w="3636" w:type="dxa"/>
                  <w:tcBorders>
                    <w:top w:val="nil"/>
                    <w:left w:val="nil"/>
                    <w:bottom w:val="single" w:color="auto" w:sz="4" w:space="0"/>
                    <w:right w:val="single" w:color="auto" w:sz="4" w:space="0"/>
                  </w:tcBorders>
                  <w:noWrap/>
                  <w:vAlign w:val="bottom"/>
                </w:tcPr>
                <w:p w14:paraId="67A2C9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1066</w:t>
                  </w:r>
                </w:p>
              </w:tc>
            </w:tr>
            <w:tr w14:paraId="4A586B33">
              <w:tblPrEx>
                <w:tblCellMar>
                  <w:top w:w="0" w:type="dxa"/>
                  <w:left w:w="108" w:type="dxa"/>
                  <w:bottom w:w="0" w:type="dxa"/>
                  <w:right w:w="108" w:type="dxa"/>
                </w:tblCellMar>
              </w:tblPrEx>
              <w:trPr>
                <w:trHeight w:val="340" w:hRule="atLeast"/>
                <w:jc w:val="center"/>
              </w:trPr>
              <w:tc>
                <w:tcPr>
                  <w:tcW w:w="3636" w:type="dxa"/>
                  <w:tcBorders>
                    <w:top w:val="nil"/>
                    <w:left w:val="single" w:color="auto" w:sz="4" w:space="0"/>
                    <w:bottom w:val="single" w:color="auto" w:sz="4" w:space="0"/>
                    <w:right w:val="single" w:color="auto" w:sz="4" w:space="0"/>
                  </w:tcBorders>
                  <w:noWrap w:val="0"/>
                  <w:vAlign w:val="center"/>
                </w:tcPr>
                <w:p w14:paraId="2628D121">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中移建设有限公司黑龙江分公司</w:t>
                  </w:r>
                </w:p>
              </w:tc>
              <w:tc>
                <w:tcPr>
                  <w:tcW w:w="3636" w:type="dxa"/>
                  <w:tcBorders>
                    <w:top w:val="nil"/>
                    <w:left w:val="nil"/>
                    <w:bottom w:val="single" w:color="auto" w:sz="4" w:space="0"/>
                    <w:right w:val="single" w:color="auto" w:sz="4" w:space="0"/>
                  </w:tcBorders>
                  <w:noWrap/>
                  <w:vAlign w:val="bottom"/>
                </w:tcPr>
                <w:p w14:paraId="55C21F7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373</w:t>
                  </w:r>
                </w:p>
              </w:tc>
            </w:tr>
            <w:tr w14:paraId="763269BD">
              <w:tblPrEx>
                <w:tblCellMar>
                  <w:top w:w="0" w:type="dxa"/>
                  <w:left w:w="108" w:type="dxa"/>
                  <w:bottom w:w="0" w:type="dxa"/>
                  <w:right w:w="108" w:type="dxa"/>
                </w:tblCellMar>
              </w:tblPrEx>
              <w:trPr>
                <w:trHeight w:val="340" w:hRule="atLeast"/>
                <w:jc w:val="center"/>
              </w:trPr>
              <w:tc>
                <w:tcPr>
                  <w:tcW w:w="3636" w:type="dxa"/>
                  <w:tcBorders>
                    <w:top w:val="nil"/>
                    <w:left w:val="single" w:color="auto" w:sz="4" w:space="0"/>
                    <w:bottom w:val="single" w:color="auto" w:sz="4" w:space="0"/>
                    <w:right w:val="single" w:color="auto" w:sz="4" w:space="0"/>
                  </w:tcBorders>
                  <w:noWrap w:val="0"/>
                  <w:vAlign w:val="center"/>
                </w:tcPr>
                <w:p w14:paraId="5B4A28F7">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三明市水利水电工程有限公司顺昌分公司</w:t>
                  </w:r>
                </w:p>
              </w:tc>
              <w:tc>
                <w:tcPr>
                  <w:tcW w:w="3636" w:type="dxa"/>
                  <w:tcBorders>
                    <w:top w:val="nil"/>
                    <w:left w:val="nil"/>
                    <w:bottom w:val="single" w:color="auto" w:sz="4" w:space="0"/>
                    <w:right w:val="single" w:color="auto" w:sz="4" w:space="0"/>
                  </w:tcBorders>
                  <w:noWrap/>
                  <w:vAlign w:val="bottom"/>
                </w:tcPr>
                <w:p w14:paraId="2DB404C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198</w:t>
                  </w:r>
                </w:p>
              </w:tc>
            </w:tr>
            <w:tr w14:paraId="5D440696">
              <w:tblPrEx>
                <w:tblCellMar>
                  <w:top w:w="0" w:type="dxa"/>
                  <w:left w:w="108" w:type="dxa"/>
                  <w:bottom w:w="0" w:type="dxa"/>
                  <w:right w:w="108" w:type="dxa"/>
                </w:tblCellMar>
              </w:tblPrEx>
              <w:trPr>
                <w:trHeight w:val="340" w:hRule="atLeast"/>
                <w:jc w:val="center"/>
              </w:trPr>
              <w:tc>
                <w:tcPr>
                  <w:tcW w:w="3636" w:type="dxa"/>
                  <w:tcBorders>
                    <w:top w:val="nil"/>
                    <w:left w:val="single" w:color="auto" w:sz="4" w:space="0"/>
                    <w:bottom w:val="single" w:color="auto" w:sz="4" w:space="0"/>
                    <w:right w:val="single" w:color="auto" w:sz="4" w:space="0"/>
                  </w:tcBorders>
                  <w:noWrap w:val="0"/>
                  <w:vAlign w:val="center"/>
                </w:tcPr>
                <w:p w14:paraId="4671C38D">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福州市福清公路事业发展中心</w:t>
                  </w:r>
                </w:p>
              </w:tc>
              <w:tc>
                <w:tcPr>
                  <w:tcW w:w="3636" w:type="dxa"/>
                  <w:tcBorders>
                    <w:top w:val="nil"/>
                    <w:left w:val="nil"/>
                    <w:bottom w:val="single" w:color="auto" w:sz="4" w:space="0"/>
                    <w:right w:val="single" w:color="auto" w:sz="4" w:space="0"/>
                  </w:tcBorders>
                  <w:noWrap/>
                  <w:vAlign w:val="bottom"/>
                </w:tcPr>
                <w:p w14:paraId="48F1108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194</w:t>
                  </w:r>
                </w:p>
              </w:tc>
            </w:tr>
            <w:tr w14:paraId="0CE5F475">
              <w:tblPrEx>
                <w:tblCellMar>
                  <w:top w:w="0" w:type="dxa"/>
                  <w:left w:w="108" w:type="dxa"/>
                  <w:bottom w:w="0" w:type="dxa"/>
                  <w:right w:w="108" w:type="dxa"/>
                </w:tblCellMar>
              </w:tblPrEx>
              <w:trPr>
                <w:trHeight w:val="340" w:hRule="atLeast"/>
                <w:jc w:val="center"/>
              </w:trPr>
              <w:tc>
                <w:tcPr>
                  <w:tcW w:w="3636" w:type="dxa"/>
                  <w:tcBorders>
                    <w:top w:val="nil"/>
                    <w:left w:val="single" w:color="auto" w:sz="4" w:space="0"/>
                    <w:bottom w:val="single" w:color="auto" w:sz="4" w:space="0"/>
                    <w:right w:val="single" w:color="auto" w:sz="4" w:space="0"/>
                  </w:tcBorders>
                  <w:noWrap w:val="0"/>
                  <w:vAlign w:val="center"/>
                </w:tcPr>
                <w:p w14:paraId="05ED762A">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合计</w:t>
                  </w:r>
                </w:p>
              </w:tc>
              <w:tc>
                <w:tcPr>
                  <w:tcW w:w="3636" w:type="dxa"/>
                  <w:tcBorders>
                    <w:top w:val="nil"/>
                    <w:left w:val="nil"/>
                    <w:bottom w:val="single" w:color="auto" w:sz="4" w:space="0"/>
                    <w:right w:val="single" w:color="auto" w:sz="4" w:space="0"/>
                  </w:tcBorders>
                  <w:noWrap/>
                  <w:vAlign w:val="bottom"/>
                </w:tcPr>
                <w:p w14:paraId="201B1C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2954</w:t>
                  </w:r>
                </w:p>
              </w:tc>
            </w:tr>
          </w:tbl>
          <w:p w14:paraId="734E6F10">
            <w:pPr>
              <w:autoSpaceDE w:val="0"/>
              <w:autoSpaceDN w:val="0"/>
              <w:adjustRightInd w:val="0"/>
              <w:snapToGrid w:val="0"/>
              <w:spacing w:before="62" w:beforeLines="20"/>
              <w:ind w:firstLine="420" w:firstLineChars="200"/>
              <w:jc w:val="left"/>
              <w:rPr>
                <w:rFonts w:ascii="宋体" w:hAnsi="宋体" w:cs="宋体"/>
                <w:snapToGrid w:val="0"/>
                <w:color w:val="000000"/>
                <w:kern w:val="0"/>
                <w:szCs w:val="21"/>
                <w:u w:val="single"/>
                <w:lang w:val="zh-CN"/>
              </w:rPr>
            </w:pPr>
            <w:r>
              <w:rPr>
                <w:rFonts w:hint="eastAsia" w:ascii="宋体" w:hAnsi="宋体" w:cs="宋体"/>
                <w:bCs/>
                <w:snapToGrid w:val="0"/>
                <w:color w:val="000000"/>
                <w:kern w:val="0"/>
                <w:szCs w:val="21"/>
                <w:lang w:val="zh-CN"/>
              </w:rPr>
              <w:t>（</w:t>
            </w:r>
            <w:r>
              <w:rPr>
                <w:rFonts w:hint="eastAsia" w:ascii="宋体" w:hAnsi="宋体" w:cs="宋体"/>
                <w:bCs/>
                <w:snapToGrid w:val="0"/>
                <w:color w:val="000000"/>
                <w:kern w:val="0"/>
                <w:szCs w:val="21"/>
              </w:rPr>
              <w:t>2</w:t>
            </w:r>
            <w:r>
              <w:rPr>
                <w:rFonts w:hint="eastAsia" w:ascii="宋体" w:hAnsi="宋体" w:cs="宋体"/>
                <w:bCs/>
                <w:snapToGrid w:val="0"/>
                <w:color w:val="000000"/>
                <w:kern w:val="0"/>
                <w:szCs w:val="21"/>
                <w:lang w:val="zh-CN"/>
              </w:rPr>
              <w:t>）其他应收款</w:t>
            </w:r>
            <w:r>
              <w:rPr>
                <w:rFonts w:hint="eastAsia" w:ascii="宋体" w:hAnsi="宋体" w:cs="宋体"/>
                <w:snapToGrid w:val="0"/>
                <w:color w:val="000000"/>
                <w:kern w:val="0"/>
                <w:szCs w:val="21"/>
                <w:u w:val="single"/>
                <w:lang w:val="zh-CN"/>
              </w:rPr>
              <w:t>2774</w:t>
            </w:r>
            <w:r>
              <w:rPr>
                <w:rFonts w:hint="eastAsia" w:ascii="宋体" w:hAnsi="宋体" w:cs="宋体"/>
                <w:snapToGrid w:val="0"/>
                <w:color w:val="000000"/>
                <w:kern w:val="0"/>
                <w:szCs w:val="21"/>
                <w:lang w:val="zh-CN"/>
              </w:rPr>
              <w:t>万元，主要构成及</w:t>
            </w:r>
            <w:r>
              <w:rPr>
                <w:rFonts w:hint="eastAsia" w:ascii="宋体" w:hAnsi="宋体" w:cs="宋体"/>
                <w:snapToGrid w:val="0"/>
                <w:color w:val="000000"/>
                <w:kern w:val="0"/>
                <w:szCs w:val="21"/>
              </w:rPr>
              <w:t>趋势</w:t>
            </w:r>
            <w:r>
              <w:rPr>
                <w:rFonts w:hint="eastAsia" w:ascii="宋体" w:hAnsi="宋体" w:cs="宋体"/>
                <w:snapToGrid w:val="0"/>
                <w:color w:val="000000"/>
                <w:kern w:val="0"/>
                <w:szCs w:val="21"/>
                <w:lang w:val="zh-CN"/>
              </w:rPr>
              <w:t>变动情况：</w:t>
            </w:r>
            <w:r>
              <w:rPr>
                <w:rFonts w:hint="eastAsia" w:ascii="宋体" w:hAnsi="宋体" w:cs="宋体"/>
                <w:snapToGrid w:val="0"/>
                <w:color w:val="000000"/>
                <w:kern w:val="0"/>
                <w:szCs w:val="21"/>
                <w:u w:val="single"/>
                <w:lang w:val="zh-CN"/>
              </w:rPr>
              <w:t>较2024年末减少约748万元，降幅约21%，主要由往来款构成。</w:t>
            </w:r>
          </w:p>
          <w:tbl>
            <w:tblPr>
              <w:tblStyle w:val="13"/>
              <w:tblW w:w="9300" w:type="dxa"/>
              <w:jc w:val="center"/>
              <w:tblLayout w:type="autofit"/>
              <w:tblCellMar>
                <w:top w:w="0" w:type="dxa"/>
                <w:left w:w="108" w:type="dxa"/>
                <w:bottom w:w="0" w:type="dxa"/>
                <w:right w:w="108" w:type="dxa"/>
              </w:tblCellMar>
            </w:tblPr>
            <w:tblGrid>
              <w:gridCol w:w="4092"/>
              <w:gridCol w:w="3498"/>
              <w:gridCol w:w="1710"/>
            </w:tblGrid>
            <w:tr w14:paraId="1B4B265C">
              <w:tblPrEx>
                <w:tblCellMar>
                  <w:top w:w="0" w:type="dxa"/>
                  <w:left w:w="108" w:type="dxa"/>
                  <w:bottom w:w="0" w:type="dxa"/>
                  <w:right w:w="108" w:type="dxa"/>
                </w:tblCellMar>
              </w:tblPrEx>
              <w:trPr>
                <w:trHeight w:val="340" w:hRule="atLeast"/>
                <w:jc w:val="center"/>
              </w:trPr>
              <w:tc>
                <w:tcPr>
                  <w:tcW w:w="4092" w:type="dxa"/>
                  <w:tcBorders>
                    <w:top w:val="single" w:color="auto" w:sz="4" w:space="0"/>
                    <w:left w:val="single" w:color="auto" w:sz="4" w:space="0"/>
                    <w:bottom w:val="single" w:color="auto" w:sz="4" w:space="0"/>
                    <w:right w:val="single" w:color="auto" w:sz="4" w:space="0"/>
                  </w:tcBorders>
                  <w:noWrap w:val="0"/>
                  <w:vAlign w:val="center"/>
                </w:tcPr>
                <w:p w14:paraId="4781A1F3">
                  <w:pPr>
                    <w:widowControl/>
                    <w:kinsoku w:val="0"/>
                    <w:autoSpaceDE w:val="0"/>
                    <w:autoSpaceDN w:val="0"/>
                    <w:adjustRightInd w:val="0"/>
                    <w:snapToGrid w:val="0"/>
                    <w:jc w:val="center"/>
                    <w:textAlignment w:val="baseline"/>
                    <w:rPr>
                      <w:rFonts w:ascii="宋体" w:hAnsi="宋体" w:cs="宋体"/>
                      <w:b/>
                      <w:bCs/>
                      <w:snapToGrid w:val="0"/>
                      <w:kern w:val="0"/>
                      <w:sz w:val="18"/>
                      <w:szCs w:val="18"/>
                      <w:lang w:val="zh-CN"/>
                    </w:rPr>
                  </w:pPr>
                  <w:r>
                    <w:rPr>
                      <w:rFonts w:hint="eastAsia" w:ascii="宋体" w:hAnsi="宋体" w:cs="宋体"/>
                      <w:b/>
                      <w:bCs/>
                      <w:snapToGrid w:val="0"/>
                      <w:kern w:val="0"/>
                      <w:sz w:val="18"/>
                      <w:szCs w:val="18"/>
                      <w:lang w:val="zh-CN"/>
                    </w:rPr>
                    <w:t>前五大其他应收款科目明细</w:t>
                  </w:r>
                </w:p>
              </w:tc>
              <w:tc>
                <w:tcPr>
                  <w:tcW w:w="3498" w:type="dxa"/>
                  <w:tcBorders>
                    <w:top w:val="single" w:color="auto" w:sz="4" w:space="0"/>
                    <w:left w:val="nil"/>
                    <w:bottom w:val="single" w:color="auto" w:sz="4" w:space="0"/>
                    <w:right w:val="single" w:color="auto" w:sz="4" w:space="0"/>
                  </w:tcBorders>
                  <w:noWrap w:val="0"/>
                  <w:vAlign w:val="center"/>
                </w:tcPr>
                <w:p w14:paraId="0B0DC99E">
                  <w:pPr>
                    <w:widowControl/>
                    <w:kinsoku w:val="0"/>
                    <w:autoSpaceDE w:val="0"/>
                    <w:autoSpaceDN w:val="0"/>
                    <w:adjustRightInd w:val="0"/>
                    <w:snapToGrid w:val="0"/>
                    <w:jc w:val="center"/>
                    <w:textAlignment w:val="baseline"/>
                    <w:rPr>
                      <w:rFonts w:hint="eastAsia" w:ascii="宋体" w:hAnsi="宋体" w:cs="宋体"/>
                      <w:b/>
                      <w:bCs/>
                      <w:snapToGrid w:val="0"/>
                      <w:kern w:val="0"/>
                      <w:sz w:val="18"/>
                      <w:szCs w:val="18"/>
                      <w:lang w:val="zh-CN"/>
                    </w:rPr>
                  </w:pPr>
                  <w:r>
                    <w:rPr>
                      <w:rFonts w:hint="eastAsia" w:ascii="宋体" w:hAnsi="宋体" w:cs="宋体"/>
                      <w:b/>
                      <w:bCs/>
                      <w:snapToGrid w:val="0"/>
                      <w:kern w:val="0"/>
                      <w:sz w:val="18"/>
                      <w:szCs w:val="18"/>
                      <w:lang w:val="zh-CN"/>
                    </w:rPr>
                    <w:t>金额（万元）</w:t>
                  </w:r>
                </w:p>
              </w:tc>
              <w:tc>
                <w:tcPr>
                  <w:tcW w:w="1710" w:type="dxa"/>
                  <w:tcBorders>
                    <w:top w:val="single" w:color="auto" w:sz="4" w:space="0"/>
                    <w:left w:val="nil"/>
                    <w:bottom w:val="single" w:color="auto" w:sz="4" w:space="0"/>
                    <w:right w:val="single" w:color="auto" w:sz="4" w:space="0"/>
                  </w:tcBorders>
                  <w:noWrap w:val="0"/>
                  <w:vAlign w:val="center"/>
                </w:tcPr>
                <w:p w14:paraId="64CD76BB">
                  <w:pPr>
                    <w:widowControl/>
                    <w:kinsoku w:val="0"/>
                    <w:autoSpaceDE w:val="0"/>
                    <w:autoSpaceDN w:val="0"/>
                    <w:adjustRightInd w:val="0"/>
                    <w:snapToGrid w:val="0"/>
                    <w:jc w:val="center"/>
                    <w:textAlignment w:val="baseline"/>
                    <w:rPr>
                      <w:rFonts w:hint="eastAsia" w:ascii="宋体" w:hAnsi="宋体" w:cs="宋体"/>
                      <w:b/>
                      <w:bCs/>
                      <w:snapToGrid w:val="0"/>
                      <w:kern w:val="0"/>
                      <w:sz w:val="18"/>
                      <w:szCs w:val="18"/>
                      <w:lang w:val="zh-CN"/>
                    </w:rPr>
                  </w:pPr>
                  <w:r>
                    <w:rPr>
                      <w:rFonts w:hint="eastAsia" w:ascii="宋体" w:hAnsi="宋体" w:cs="宋体"/>
                      <w:b/>
                      <w:bCs/>
                      <w:snapToGrid w:val="0"/>
                      <w:kern w:val="0"/>
                      <w:sz w:val="18"/>
                      <w:szCs w:val="18"/>
                      <w:lang w:val="zh-CN"/>
                    </w:rPr>
                    <w:t>性质</w:t>
                  </w:r>
                </w:p>
              </w:tc>
            </w:tr>
            <w:tr w14:paraId="12D6A047">
              <w:tblPrEx>
                <w:tblCellMar>
                  <w:top w:w="0" w:type="dxa"/>
                  <w:left w:w="108" w:type="dxa"/>
                  <w:bottom w:w="0" w:type="dxa"/>
                  <w:right w:w="108" w:type="dxa"/>
                </w:tblCellMar>
              </w:tblPrEx>
              <w:trPr>
                <w:trHeight w:val="340" w:hRule="atLeast"/>
                <w:jc w:val="center"/>
              </w:trPr>
              <w:tc>
                <w:tcPr>
                  <w:tcW w:w="4092" w:type="dxa"/>
                  <w:tcBorders>
                    <w:top w:val="nil"/>
                    <w:left w:val="single" w:color="auto" w:sz="4" w:space="0"/>
                    <w:bottom w:val="single" w:color="auto" w:sz="4" w:space="0"/>
                    <w:right w:val="single" w:color="auto" w:sz="4" w:space="0"/>
                  </w:tcBorders>
                  <w:noWrap w:val="0"/>
                  <w:vAlign w:val="center"/>
                </w:tcPr>
                <w:p w14:paraId="36CC31B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福建中锐教育科技有限公司</w:t>
                  </w:r>
                </w:p>
              </w:tc>
              <w:tc>
                <w:tcPr>
                  <w:tcW w:w="3498" w:type="dxa"/>
                  <w:tcBorders>
                    <w:top w:val="nil"/>
                    <w:left w:val="nil"/>
                    <w:bottom w:val="single" w:color="auto" w:sz="4" w:space="0"/>
                    <w:right w:val="single" w:color="auto" w:sz="4" w:space="0"/>
                  </w:tcBorders>
                  <w:noWrap/>
                  <w:vAlign w:val="bottom"/>
                </w:tcPr>
                <w:p w14:paraId="0A6CBFB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1047</w:t>
                  </w:r>
                </w:p>
              </w:tc>
              <w:tc>
                <w:tcPr>
                  <w:tcW w:w="1710" w:type="dxa"/>
                  <w:tcBorders>
                    <w:top w:val="nil"/>
                    <w:left w:val="nil"/>
                    <w:bottom w:val="single" w:color="auto" w:sz="4" w:space="0"/>
                    <w:right w:val="single" w:color="auto" w:sz="4" w:space="0"/>
                  </w:tcBorders>
                  <w:noWrap w:val="0"/>
                  <w:vAlign w:val="center"/>
                </w:tcPr>
                <w:p w14:paraId="4747D403">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子公司往来</w:t>
                  </w:r>
                </w:p>
              </w:tc>
            </w:tr>
            <w:tr w14:paraId="4F5B4A43">
              <w:tblPrEx>
                <w:tblCellMar>
                  <w:top w:w="0" w:type="dxa"/>
                  <w:left w:w="108" w:type="dxa"/>
                  <w:bottom w:w="0" w:type="dxa"/>
                  <w:right w:w="108" w:type="dxa"/>
                </w:tblCellMar>
              </w:tblPrEx>
              <w:trPr>
                <w:trHeight w:val="340" w:hRule="atLeast"/>
                <w:jc w:val="center"/>
              </w:trPr>
              <w:tc>
                <w:tcPr>
                  <w:tcW w:w="4092" w:type="dxa"/>
                  <w:tcBorders>
                    <w:top w:val="nil"/>
                    <w:left w:val="single" w:color="auto" w:sz="4" w:space="0"/>
                    <w:bottom w:val="single" w:color="auto" w:sz="4" w:space="0"/>
                    <w:right w:val="single" w:color="auto" w:sz="4" w:space="0"/>
                  </w:tcBorders>
                  <w:noWrap w:val="0"/>
                  <w:vAlign w:val="center"/>
                </w:tcPr>
                <w:p w14:paraId="6A9A2D7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福建中锐汉鼎数字科技有限公司</w:t>
                  </w:r>
                </w:p>
              </w:tc>
              <w:tc>
                <w:tcPr>
                  <w:tcW w:w="3498" w:type="dxa"/>
                  <w:tcBorders>
                    <w:top w:val="nil"/>
                    <w:left w:val="nil"/>
                    <w:bottom w:val="single" w:color="auto" w:sz="4" w:space="0"/>
                    <w:right w:val="single" w:color="auto" w:sz="4" w:space="0"/>
                  </w:tcBorders>
                  <w:noWrap/>
                  <w:vAlign w:val="bottom"/>
                </w:tcPr>
                <w:p w14:paraId="5225F7C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410</w:t>
                  </w:r>
                </w:p>
              </w:tc>
              <w:tc>
                <w:tcPr>
                  <w:tcW w:w="1710" w:type="dxa"/>
                  <w:tcBorders>
                    <w:top w:val="nil"/>
                    <w:left w:val="nil"/>
                    <w:bottom w:val="single" w:color="auto" w:sz="4" w:space="0"/>
                    <w:right w:val="single" w:color="auto" w:sz="4" w:space="0"/>
                  </w:tcBorders>
                  <w:noWrap w:val="0"/>
                  <w:vAlign w:val="center"/>
                </w:tcPr>
                <w:p w14:paraId="250D0C80">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子公司往来</w:t>
                  </w:r>
                </w:p>
              </w:tc>
            </w:tr>
            <w:tr w14:paraId="2CBD859A">
              <w:tblPrEx>
                <w:tblCellMar>
                  <w:top w:w="0" w:type="dxa"/>
                  <w:left w:w="108" w:type="dxa"/>
                  <w:bottom w:w="0" w:type="dxa"/>
                  <w:right w:w="108" w:type="dxa"/>
                </w:tblCellMar>
              </w:tblPrEx>
              <w:trPr>
                <w:trHeight w:val="340" w:hRule="atLeast"/>
                <w:jc w:val="center"/>
              </w:trPr>
              <w:tc>
                <w:tcPr>
                  <w:tcW w:w="4092" w:type="dxa"/>
                  <w:tcBorders>
                    <w:top w:val="nil"/>
                    <w:left w:val="single" w:color="auto" w:sz="4" w:space="0"/>
                    <w:bottom w:val="single" w:color="auto" w:sz="4" w:space="0"/>
                    <w:right w:val="single" w:color="auto" w:sz="4" w:space="0"/>
                  </w:tcBorders>
                  <w:noWrap w:val="0"/>
                  <w:vAlign w:val="center"/>
                </w:tcPr>
                <w:p w14:paraId="5C0352F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中锐海沃水利技术福建有限公司</w:t>
                  </w:r>
                </w:p>
              </w:tc>
              <w:tc>
                <w:tcPr>
                  <w:tcW w:w="3498" w:type="dxa"/>
                  <w:tcBorders>
                    <w:top w:val="nil"/>
                    <w:left w:val="nil"/>
                    <w:bottom w:val="single" w:color="auto" w:sz="4" w:space="0"/>
                    <w:right w:val="single" w:color="auto" w:sz="4" w:space="0"/>
                  </w:tcBorders>
                  <w:noWrap/>
                  <w:vAlign w:val="bottom"/>
                </w:tcPr>
                <w:p w14:paraId="1AAAEFB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331</w:t>
                  </w:r>
                </w:p>
              </w:tc>
              <w:tc>
                <w:tcPr>
                  <w:tcW w:w="1710" w:type="dxa"/>
                  <w:tcBorders>
                    <w:top w:val="nil"/>
                    <w:left w:val="nil"/>
                    <w:bottom w:val="single" w:color="auto" w:sz="4" w:space="0"/>
                    <w:right w:val="single" w:color="auto" w:sz="4" w:space="0"/>
                  </w:tcBorders>
                  <w:noWrap w:val="0"/>
                  <w:vAlign w:val="center"/>
                </w:tcPr>
                <w:p w14:paraId="264E82B5">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子公司往来</w:t>
                  </w:r>
                </w:p>
              </w:tc>
            </w:tr>
            <w:tr w14:paraId="1FB93A5B">
              <w:tblPrEx>
                <w:tblCellMar>
                  <w:top w:w="0" w:type="dxa"/>
                  <w:left w:w="108" w:type="dxa"/>
                  <w:bottom w:w="0" w:type="dxa"/>
                  <w:right w:w="108" w:type="dxa"/>
                </w:tblCellMar>
              </w:tblPrEx>
              <w:trPr>
                <w:trHeight w:val="340" w:hRule="atLeast"/>
                <w:jc w:val="center"/>
              </w:trPr>
              <w:tc>
                <w:tcPr>
                  <w:tcW w:w="4092" w:type="dxa"/>
                  <w:tcBorders>
                    <w:top w:val="nil"/>
                    <w:left w:val="single" w:color="auto" w:sz="4" w:space="0"/>
                    <w:bottom w:val="single" w:color="auto" w:sz="4" w:space="0"/>
                    <w:right w:val="single" w:color="auto" w:sz="4" w:space="0"/>
                  </w:tcBorders>
                  <w:noWrap w:val="0"/>
                  <w:vAlign w:val="center"/>
                </w:tcPr>
                <w:p w14:paraId="2AD7732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北京中锐青云科技有限公司</w:t>
                  </w:r>
                </w:p>
              </w:tc>
              <w:tc>
                <w:tcPr>
                  <w:tcW w:w="3498" w:type="dxa"/>
                  <w:tcBorders>
                    <w:top w:val="nil"/>
                    <w:left w:val="nil"/>
                    <w:bottom w:val="single" w:color="auto" w:sz="4" w:space="0"/>
                    <w:right w:val="single" w:color="auto" w:sz="4" w:space="0"/>
                  </w:tcBorders>
                  <w:noWrap/>
                  <w:vAlign w:val="bottom"/>
                </w:tcPr>
                <w:p w14:paraId="50758CB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257</w:t>
                  </w:r>
                </w:p>
              </w:tc>
              <w:tc>
                <w:tcPr>
                  <w:tcW w:w="1710" w:type="dxa"/>
                  <w:tcBorders>
                    <w:top w:val="nil"/>
                    <w:left w:val="nil"/>
                    <w:bottom w:val="single" w:color="auto" w:sz="4" w:space="0"/>
                    <w:right w:val="single" w:color="auto" w:sz="4" w:space="0"/>
                  </w:tcBorders>
                  <w:noWrap w:val="0"/>
                  <w:vAlign w:val="center"/>
                </w:tcPr>
                <w:p w14:paraId="2CD889AB">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子公司往来</w:t>
                  </w:r>
                </w:p>
              </w:tc>
            </w:tr>
            <w:tr w14:paraId="046725AF">
              <w:tblPrEx>
                <w:tblCellMar>
                  <w:top w:w="0" w:type="dxa"/>
                  <w:left w:w="108" w:type="dxa"/>
                  <w:bottom w:w="0" w:type="dxa"/>
                  <w:right w:w="108" w:type="dxa"/>
                </w:tblCellMar>
              </w:tblPrEx>
              <w:trPr>
                <w:trHeight w:val="340" w:hRule="atLeast"/>
                <w:jc w:val="center"/>
              </w:trPr>
              <w:tc>
                <w:tcPr>
                  <w:tcW w:w="4092" w:type="dxa"/>
                  <w:tcBorders>
                    <w:top w:val="nil"/>
                    <w:left w:val="single" w:color="auto" w:sz="4" w:space="0"/>
                    <w:bottom w:val="single" w:color="auto" w:sz="4" w:space="0"/>
                    <w:right w:val="single" w:color="auto" w:sz="4" w:space="0"/>
                  </w:tcBorders>
                  <w:noWrap w:val="0"/>
                  <w:vAlign w:val="center"/>
                </w:tcPr>
                <w:p w14:paraId="389318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黑龙江胜腾智能化网络有限公司</w:t>
                  </w:r>
                </w:p>
              </w:tc>
              <w:tc>
                <w:tcPr>
                  <w:tcW w:w="3498" w:type="dxa"/>
                  <w:tcBorders>
                    <w:top w:val="nil"/>
                    <w:left w:val="nil"/>
                    <w:bottom w:val="single" w:color="auto" w:sz="4" w:space="0"/>
                    <w:right w:val="single" w:color="auto" w:sz="4" w:space="0"/>
                  </w:tcBorders>
                  <w:noWrap/>
                  <w:vAlign w:val="bottom"/>
                </w:tcPr>
                <w:p w14:paraId="3A01E65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200</w:t>
                  </w:r>
                </w:p>
              </w:tc>
              <w:tc>
                <w:tcPr>
                  <w:tcW w:w="1710" w:type="dxa"/>
                  <w:tcBorders>
                    <w:top w:val="nil"/>
                    <w:left w:val="nil"/>
                    <w:bottom w:val="single" w:color="auto" w:sz="4" w:space="0"/>
                    <w:right w:val="single" w:color="auto" w:sz="4" w:space="0"/>
                  </w:tcBorders>
                  <w:noWrap w:val="0"/>
                  <w:vAlign w:val="center"/>
                </w:tcPr>
                <w:p w14:paraId="7586EDB7">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预付款</w:t>
                  </w:r>
                </w:p>
              </w:tc>
            </w:tr>
            <w:tr w14:paraId="1234C8B7">
              <w:tblPrEx>
                <w:tblCellMar>
                  <w:top w:w="0" w:type="dxa"/>
                  <w:left w:w="108" w:type="dxa"/>
                  <w:bottom w:w="0" w:type="dxa"/>
                  <w:right w:w="108" w:type="dxa"/>
                </w:tblCellMar>
              </w:tblPrEx>
              <w:trPr>
                <w:trHeight w:val="340" w:hRule="atLeast"/>
                <w:jc w:val="center"/>
              </w:trPr>
              <w:tc>
                <w:tcPr>
                  <w:tcW w:w="4092" w:type="dxa"/>
                  <w:tcBorders>
                    <w:top w:val="nil"/>
                    <w:left w:val="single" w:color="auto" w:sz="4" w:space="0"/>
                    <w:bottom w:val="single" w:color="auto" w:sz="4" w:space="0"/>
                    <w:right w:val="single" w:color="auto" w:sz="4" w:space="0"/>
                  </w:tcBorders>
                  <w:noWrap w:val="0"/>
                  <w:vAlign w:val="center"/>
                </w:tcPr>
                <w:p w14:paraId="393E867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合计</w:t>
                  </w:r>
                </w:p>
              </w:tc>
              <w:tc>
                <w:tcPr>
                  <w:tcW w:w="3498" w:type="dxa"/>
                  <w:tcBorders>
                    <w:top w:val="nil"/>
                    <w:left w:val="nil"/>
                    <w:bottom w:val="single" w:color="auto" w:sz="4" w:space="0"/>
                    <w:right w:val="single" w:color="auto" w:sz="4" w:space="0"/>
                  </w:tcBorders>
                  <w:noWrap/>
                  <w:vAlign w:val="bottom"/>
                </w:tcPr>
                <w:p w14:paraId="3B63B08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2245</w:t>
                  </w:r>
                </w:p>
              </w:tc>
              <w:tc>
                <w:tcPr>
                  <w:tcW w:w="1710" w:type="dxa"/>
                  <w:tcBorders>
                    <w:top w:val="nil"/>
                    <w:left w:val="nil"/>
                    <w:bottom w:val="single" w:color="auto" w:sz="4" w:space="0"/>
                    <w:right w:val="single" w:color="auto" w:sz="4" w:space="0"/>
                  </w:tcBorders>
                  <w:noWrap w:val="0"/>
                  <w:vAlign w:val="center"/>
                </w:tcPr>
                <w:p w14:paraId="79277F0C">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w:t>
                  </w:r>
                </w:p>
              </w:tc>
            </w:tr>
          </w:tbl>
          <w:p w14:paraId="751B8BC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u w:val="single"/>
                <w:lang w:val="zh-CN"/>
              </w:rPr>
            </w:pPr>
            <w:r>
              <w:rPr>
                <w:rFonts w:hint="eastAsia" w:ascii="宋体" w:hAnsi="宋体" w:cs="宋体"/>
                <w:snapToGrid w:val="0"/>
                <w:color w:val="000000"/>
                <w:kern w:val="0"/>
                <w:szCs w:val="21"/>
                <w:lang w:val="zh-CN"/>
              </w:rPr>
              <w:t>（</w:t>
            </w:r>
            <w:r>
              <w:rPr>
                <w:rFonts w:hint="eastAsia" w:ascii="宋体" w:hAnsi="宋体" w:cs="宋体"/>
                <w:snapToGrid w:val="0"/>
                <w:color w:val="000000"/>
                <w:kern w:val="0"/>
                <w:szCs w:val="21"/>
              </w:rPr>
              <w:t>3</w:t>
            </w:r>
            <w:r>
              <w:rPr>
                <w:rFonts w:hint="eastAsia" w:ascii="宋体" w:hAnsi="宋体" w:cs="宋体"/>
                <w:snapToGrid w:val="0"/>
                <w:color w:val="000000"/>
                <w:kern w:val="0"/>
                <w:szCs w:val="21"/>
                <w:lang w:val="zh-CN"/>
              </w:rPr>
              <w:t>）存货</w:t>
            </w:r>
            <w:r>
              <w:rPr>
                <w:rFonts w:hint="eastAsia" w:ascii="宋体" w:hAnsi="宋体" w:cs="宋体"/>
                <w:snapToGrid w:val="0"/>
                <w:color w:val="000000"/>
                <w:kern w:val="0"/>
                <w:szCs w:val="21"/>
                <w:u w:val="single"/>
                <w:lang w:val="zh-CN"/>
              </w:rPr>
              <w:t>2192</w:t>
            </w:r>
            <w:r>
              <w:rPr>
                <w:rFonts w:hint="eastAsia" w:ascii="宋体" w:hAnsi="宋体" w:cs="宋体"/>
                <w:snapToGrid w:val="0"/>
                <w:color w:val="000000"/>
                <w:kern w:val="0"/>
                <w:szCs w:val="21"/>
                <w:lang w:val="zh-CN"/>
              </w:rPr>
              <w:t>万元，主要构成及</w:t>
            </w:r>
            <w:r>
              <w:rPr>
                <w:rFonts w:hint="eastAsia" w:ascii="宋体" w:hAnsi="宋体" w:cs="宋体"/>
                <w:snapToGrid w:val="0"/>
                <w:color w:val="000000"/>
                <w:kern w:val="0"/>
                <w:szCs w:val="21"/>
              </w:rPr>
              <w:t>趋势</w:t>
            </w:r>
            <w:r>
              <w:rPr>
                <w:rFonts w:hint="eastAsia" w:ascii="宋体" w:hAnsi="宋体" w:cs="宋体"/>
                <w:snapToGrid w:val="0"/>
                <w:color w:val="000000"/>
                <w:kern w:val="0"/>
                <w:szCs w:val="21"/>
                <w:lang w:val="zh-CN"/>
              </w:rPr>
              <w:t>变动情况：</w:t>
            </w:r>
            <w:r>
              <w:rPr>
                <w:rFonts w:hint="eastAsia" w:ascii="宋体" w:hAnsi="宋体" w:cs="宋体"/>
                <w:snapToGrid w:val="0"/>
                <w:color w:val="000000"/>
                <w:kern w:val="0"/>
                <w:szCs w:val="21"/>
                <w:u w:val="single"/>
                <w:lang w:val="zh-CN"/>
              </w:rPr>
              <w:t>较2024年末增加约1,026万元，增幅约88%，主要因为增加采购。</w:t>
            </w:r>
          </w:p>
          <w:p w14:paraId="2FDA4756">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u w:val="single"/>
                <w:lang w:val="zh-CN"/>
              </w:rPr>
            </w:pPr>
            <w:r>
              <w:rPr>
                <w:rFonts w:hint="eastAsia" w:ascii="宋体" w:hAnsi="宋体" w:cs="宋体"/>
                <w:bCs/>
                <w:snapToGrid w:val="0"/>
                <w:color w:val="000000"/>
                <w:kern w:val="0"/>
                <w:szCs w:val="21"/>
                <w:lang w:val="zh-CN"/>
              </w:rPr>
              <w:t>（</w:t>
            </w:r>
            <w:r>
              <w:rPr>
                <w:rFonts w:hint="eastAsia" w:ascii="宋体" w:hAnsi="宋体" w:cs="宋体"/>
                <w:bCs/>
                <w:snapToGrid w:val="0"/>
                <w:color w:val="000000"/>
                <w:kern w:val="0"/>
                <w:szCs w:val="21"/>
              </w:rPr>
              <w:t>4</w:t>
            </w:r>
            <w:r>
              <w:rPr>
                <w:rFonts w:hint="eastAsia" w:ascii="宋体" w:hAnsi="宋体" w:cs="宋体"/>
                <w:bCs/>
                <w:snapToGrid w:val="0"/>
                <w:color w:val="000000"/>
                <w:kern w:val="0"/>
                <w:szCs w:val="21"/>
                <w:lang w:val="zh-CN"/>
              </w:rPr>
              <w:t>）长期投资</w:t>
            </w:r>
            <w:r>
              <w:rPr>
                <w:rFonts w:hint="eastAsia" w:ascii="宋体" w:hAnsi="宋体" w:cs="宋体"/>
                <w:snapToGrid w:val="0"/>
                <w:color w:val="000000"/>
                <w:kern w:val="0"/>
                <w:szCs w:val="21"/>
                <w:u w:val="single"/>
                <w:lang w:val="zh-CN"/>
              </w:rPr>
              <w:t>3123</w:t>
            </w:r>
            <w:r>
              <w:rPr>
                <w:rFonts w:hint="eastAsia" w:ascii="宋体" w:hAnsi="宋体" w:cs="宋体"/>
                <w:snapToGrid w:val="0"/>
                <w:color w:val="000000"/>
                <w:kern w:val="0"/>
                <w:szCs w:val="21"/>
                <w:lang w:val="zh-CN"/>
              </w:rPr>
              <w:t>万元，主要构成及</w:t>
            </w:r>
            <w:r>
              <w:rPr>
                <w:rFonts w:hint="eastAsia" w:ascii="宋体" w:hAnsi="宋体" w:cs="宋体"/>
                <w:snapToGrid w:val="0"/>
                <w:color w:val="000000"/>
                <w:kern w:val="0"/>
                <w:szCs w:val="21"/>
              </w:rPr>
              <w:t>趋势</w:t>
            </w:r>
            <w:r>
              <w:rPr>
                <w:rFonts w:hint="eastAsia" w:ascii="宋体" w:hAnsi="宋体" w:cs="宋体"/>
                <w:snapToGrid w:val="0"/>
                <w:color w:val="000000"/>
                <w:kern w:val="0"/>
                <w:szCs w:val="21"/>
                <w:lang w:val="zh-CN"/>
              </w:rPr>
              <w:t>变动情况：</w:t>
            </w:r>
            <w:r>
              <w:rPr>
                <w:rFonts w:hint="eastAsia" w:ascii="宋体" w:hAnsi="宋体" w:cs="宋体"/>
                <w:snapToGrid w:val="0"/>
                <w:color w:val="000000"/>
                <w:kern w:val="0"/>
                <w:szCs w:val="21"/>
                <w:u w:val="single"/>
                <w:lang w:val="zh-CN"/>
              </w:rPr>
              <w:t>较2024年末增加约605万元，增幅约24%，主要因为增加子公司的投资，增加实缴资金。</w:t>
            </w:r>
          </w:p>
          <w:p w14:paraId="5D3AECD1">
            <w:pPr>
              <w:autoSpaceDE w:val="0"/>
              <w:autoSpaceDN w:val="0"/>
              <w:adjustRightInd w:val="0"/>
              <w:snapToGrid w:val="0"/>
              <w:spacing w:before="62" w:beforeLines="20"/>
              <w:ind w:firstLine="420" w:firstLineChars="200"/>
              <w:jc w:val="left"/>
              <w:rPr>
                <w:rFonts w:ascii="宋体" w:hAnsi="宋体" w:cs="宋体"/>
                <w:snapToGrid w:val="0"/>
                <w:color w:val="000000"/>
                <w:kern w:val="0"/>
                <w:szCs w:val="21"/>
                <w:u w:val="single"/>
                <w:lang w:val="zh-CN"/>
              </w:rPr>
            </w:pPr>
            <w:r>
              <w:rPr>
                <w:rFonts w:hint="eastAsia" w:ascii="宋体" w:hAnsi="宋体" w:cs="宋体"/>
                <w:snapToGrid w:val="0"/>
                <w:color w:val="000000"/>
                <w:kern w:val="0"/>
                <w:szCs w:val="21"/>
                <w:lang w:val="zh-CN"/>
              </w:rPr>
              <w:t>（</w:t>
            </w:r>
            <w:r>
              <w:rPr>
                <w:rFonts w:hint="eastAsia" w:ascii="宋体" w:hAnsi="宋体" w:cs="宋体"/>
                <w:snapToGrid w:val="0"/>
                <w:color w:val="000000"/>
                <w:kern w:val="0"/>
                <w:szCs w:val="21"/>
              </w:rPr>
              <w:t>5</w:t>
            </w:r>
            <w:r>
              <w:rPr>
                <w:rFonts w:hint="eastAsia" w:ascii="宋体" w:hAnsi="宋体" w:cs="宋体"/>
                <w:snapToGrid w:val="0"/>
                <w:color w:val="000000"/>
                <w:kern w:val="0"/>
                <w:szCs w:val="21"/>
                <w:lang w:val="zh-CN"/>
              </w:rPr>
              <w:t>）应付</w:t>
            </w:r>
            <w:r>
              <w:rPr>
                <w:rFonts w:hint="eastAsia" w:ascii="宋体" w:hAnsi="宋体" w:cs="宋体"/>
                <w:snapToGrid w:val="0"/>
                <w:color w:val="000000"/>
                <w:kern w:val="0"/>
                <w:szCs w:val="21"/>
              </w:rPr>
              <w:t>账款</w:t>
            </w:r>
            <w:r>
              <w:rPr>
                <w:rFonts w:hint="eastAsia" w:ascii="宋体" w:hAnsi="宋体" w:cs="宋体"/>
                <w:snapToGrid w:val="0"/>
                <w:color w:val="000000"/>
                <w:kern w:val="0"/>
                <w:szCs w:val="21"/>
                <w:u w:val="single"/>
                <w:lang w:val="zh-CN"/>
              </w:rPr>
              <w:t>1026</w:t>
            </w:r>
            <w:r>
              <w:rPr>
                <w:rFonts w:hint="eastAsia" w:ascii="宋体" w:hAnsi="宋体" w:cs="宋体"/>
                <w:snapToGrid w:val="0"/>
                <w:color w:val="000000"/>
                <w:kern w:val="0"/>
                <w:szCs w:val="21"/>
                <w:lang w:val="zh-CN"/>
              </w:rPr>
              <w:t>万元，主要构成及</w:t>
            </w:r>
            <w:r>
              <w:rPr>
                <w:rFonts w:hint="eastAsia" w:ascii="宋体" w:hAnsi="宋体" w:cs="宋体"/>
                <w:snapToGrid w:val="0"/>
                <w:color w:val="000000"/>
                <w:kern w:val="0"/>
                <w:szCs w:val="21"/>
              </w:rPr>
              <w:t>趋势</w:t>
            </w:r>
            <w:r>
              <w:rPr>
                <w:rFonts w:hint="eastAsia" w:ascii="宋体" w:hAnsi="宋体" w:cs="宋体"/>
                <w:snapToGrid w:val="0"/>
                <w:color w:val="000000"/>
                <w:kern w:val="0"/>
                <w:szCs w:val="21"/>
                <w:lang w:val="zh-CN"/>
              </w:rPr>
              <w:t>变动情况：</w:t>
            </w:r>
            <w:r>
              <w:rPr>
                <w:rFonts w:hint="eastAsia" w:ascii="宋体" w:hAnsi="宋体" w:cs="宋体"/>
                <w:snapToGrid w:val="0"/>
                <w:color w:val="000000"/>
                <w:kern w:val="0"/>
                <w:szCs w:val="21"/>
                <w:u w:val="single"/>
                <w:lang w:val="zh-CN"/>
              </w:rPr>
              <w:t>较2024年末减少约1,308万元，降幅约56%，主要因为采购款及时支付所致。</w:t>
            </w:r>
          </w:p>
          <w:tbl>
            <w:tblPr>
              <w:tblStyle w:val="13"/>
              <w:tblW w:w="9300" w:type="dxa"/>
              <w:jc w:val="center"/>
              <w:tblLayout w:type="autofit"/>
              <w:tblCellMar>
                <w:top w:w="0" w:type="dxa"/>
                <w:left w:w="108" w:type="dxa"/>
                <w:bottom w:w="0" w:type="dxa"/>
                <w:right w:w="108" w:type="dxa"/>
              </w:tblCellMar>
            </w:tblPr>
            <w:tblGrid>
              <w:gridCol w:w="3996"/>
              <w:gridCol w:w="3631"/>
              <w:gridCol w:w="1673"/>
            </w:tblGrid>
            <w:tr w14:paraId="0B3B2FF8">
              <w:tblPrEx>
                <w:tblCellMar>
                  <w:top w:w="0" w:type="dxa"/>
                  <w:left w:w="108" w:type="dxa"/>
                  <w:bottom w:w="0" w:type="dxa"/>
                  <w:right w:w="108" w:type="dxa"/>
                </w:tblCellMar>
              </w:tblPrEx>
              <w:trPr>
                <w:trHeight w:val="340" w:hRule="atLeast"/>
                <w:jc w:val="center"/>
              </w:trPr>
              <w:tc>
                <w:tcPr>
                  <w:tcW w:w="3996" w:type="dxa"/>
                  <w:tcBorders>
                    <w:top w:val="single" w:color="auto" w:sz="4" w:space="0"/>
                    <w:left w:val="single" w:color="auto" w:sz="4" w:space="0"/>
                    <w:bottom w:val="single" w:color="auto" w:sz="4" w:space="0"/>
                    <w:right w:val="single" w:color="auto" w:sz="4" w:space="0"/>
                  </w:tcBorders>
                  <w:noWrap w:val="0"/>
                  <w:vAlign w:val="center"/>
                </w:tcPr>
                <w:p w14:paraId="5ED29FA2">
                  <w:pPr>
                    <w:widowControl/>
                    <w:kinsoku w:val="0"/>
                    <w:autoSpaceDE w:val="0"/>
                    <w:autoSpaceDN w:val="0"/>
                    <w:adjustRightInd w:val="0"/>
                    <w:snapToGrid w:val="0"/>
                    <w:jc w:val="center"/>
                    <w:textAlignment w:val="baseline"/>
                    <w:rPr>
                      <w:rFonts w:ascii="宋体" w:hAnsi="宋体" w:cs="宋体"/>
                      <w:b/>
                      <w:bCs/>
                      <w:snapToGrid w:val="0"/>
                      <w:kern w:val="0"/>
                      <w:sz w:val="18"/>
                      <w:szCs w:val="18"/>
                      <w:lang w:val="zh-CN"/>
                    </w:rPr>
                  </w:pPr>
                  <w:r>
                    <w:rPr>
                      <w:rFonts w:hint="eastAsia" w:ascii="宋体" w:hAnsi="宋体" w:cs="宋体"/>
                      <w:b/>
                      <w:bCs/>
                      <w:snapToGrid w:val="0"/>
                      <w:kern w:val="0"/>
                      <w:sz w:val="18"/>
                      <w:szCs w:val="18"/>
                      <w:lang w:val="zh-CN"/>
                    </w:rPr>
                    <w:t>前五大应付账款科目明细</w:t>
                  </w:r>
                </w:p>
              </w:tc>
              <w:tc>
                <w:tcPr>
                  <w:tcW w:w="3631" w:type="dxa"/>
                  <w:tcBorders>
                    <w:top w:val="single" w:color="auto" w:sz="4" w:space="0"/>
                    <w:left w:val="nil"/>
                    <w:bottom w:val="single" w:color="auto" w:sz="4" w:space="0"/>
                    <w:right w:val="single" w:color="auto" w:sz="4" w:space="0"/>
                  </w:tcBorders>
                  <w:noWrap w:val="0"/>
                  <w:vAlign w:val="center"/>
                </w:tcPr>
                <w:p w14:paraId="6699FDFE">
                  <w:pPr>
                    <w:widowControl/>
                    <w:kinsoku w:val="0"/>
                    <w:autoSpaceDE w:val="0"/>
                    <w:autoSpaceDN w:val="0"/>
                    <w:adjustRightInd w:val="0"/>
                    <w:snapToGrid w:val="0"/>
                    <w:jc w:val="center"/>
                    <w:textAlignment w:val="baseline"/>
                    <w:rPr>
                      <w:rFonts w:hint="eastAsia" w:ascii="宋体" w:hAnsi="宋体" w:cs="宋体"/>
                      <w:b/>
                      <w:bCs/>
                      <w:snapToGrid w:val="0"/>
                      <w:kern w:val="0"/>
                      <w:sz w:val="18"/>
                      <w:szCs w:val="18"/>
                      <w:lang w:val="zh-CN"/>
                    </w:rPr>
                  </w:pPr>
                  <w:r>
                    <w:rPr>
                      <w:rFonts w:hint="eastAsia" w:ascii="宋体" w:hAnsi="宋体" w:cs="宋体"/>
                      <w:b/>
                      <w:bCs/>
                      <w:snapToGrid w:val="0"/>
                      <w:kern w:val="0"/>
                      <w:sz w:val="18"/>
                      <w:szCs w:val="18"/>
                      <w:lang w:val="zh-CN"/>
                    </w:rPr>
                    <w:t>金额（万元）</w:t>
                  </w:r>
                </w:p>
              </w:tc>
              <w:tc>
                <w:tcPr>
                  <w:tcW w:w="1673" w:type="dxa"/>
                  <w:tcBorders>
                    <w:top w:val="single" w:color="auto" w:sz="4" w:space="0"/>
                    <w:left w:val="nil"/>
                    <w:bottom w:val="single" w:color="auto" w:sz="4" w:space="0"/>
                    <w:right w:val="single" w:color="auto" w:sz="4" w:space="0"/>
                  </w:tcBorders>
                  <w:noWrap w:val="0"/>
                  <w:vAlign w:val="center"/>
                </w:tcPr>
                <w:p w14:paraId="10B9484F">
                  <w:pPr>
                    <w:widowControl/>
                    <w:kinsoku w:val="0"/>
                    <w:autoSpaceDE w:val="0"/>
                    <w:autoSpaceDN w:val="0"/>
                    <w:adjustRightInd w:val="0"/>
                    <w:snapToGrid w:val="0"/>
                    <w:jc w:val="center"/>
                    <w:textAlignment w:val="baseline"/>
                    <w:rPr>
                      <w:rFonts w:hint="eastAsia" w:ascii="宋体" w:hAnsi="宋体" w:cs="宋体"/>
                      <w:b/>
                      <w:bCs/>
                      <w:snapToGrid w:val="0"/>
                      <w:kern w:val="0"/>
                      <w:sz w:val="18"/>
                      <w:szCs w:val="18"/>
                      <w:lang w:val="zh-CN"/>
                    </w:rPr>
                  </w:pPr>
                  <w:r>
                    <w:rPr>
                      <w:rFonts w:hint="eastAsia" w:ascii="宋体" w:hAnsi="宋体" w:cs="宋体"/>
                      <w:b/>
                      <w:bCs/>
                      <w:snapToGrid w:val="0"/>
                      <w:kern w:val="0"/>
                      <w:sz w:val="18"/>
                      <w:szCs w:val="18"/>
                      <w:lang w:val="zh-CN"/>
                    </w:rPr>
                    <w:t>性质</w:t>
                  </w:r>
                </w:p>
              </w:tc>
            </w:tr>
            <w:tr w14:paraId="2051A554">
              <w:tblPrEx>
                <w:tblCellMar>
                  <w:top w:w="0" w:type="dxa"/>
                  <w:left w:w="108" w:type="dxa"/>
                  <w:bottom w:w="0" w:type="dxa"/>
                  <w:right w:w="108" w:type="dxa"/>
                </w:tblCellMar>
              </w:tblPrEx>
              <w:trPr>
                <w:trHeight w:val="340" w:hRule="atLeast"/>
                <w:jc w:val="center"/>
              </w:trPr>
              <w:tc>
                <w:tcPr>
                  <w:tcW w:w="3996" w:type="dxa"/>
                  <w:tcBorders>
                    <w:top w:val="nil"/>
                    <w:left w:val="single" w:color="auto" w:sz="4" w:space="0"/>
                    <w:bottom w:val="single" w:color="auto" w:sz="4" w:space="0"/>
                    <w:right w:val="single" w:color="auto" w:sz="4" w:space="0"/>
                  </w:tcBorders>
                  <w:noWrap w:val="0"/>
                  <w:vAlign w:val="center"/>
                </w:tcPr>
                <w:p w14:paraId="7CF71F4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锐捷网络股份有限公司</w:t>
                  </w:r>
                </w:p>
              </w:tc>
              <w:tc>
                <w:tcPr>
                  <w:tcW w:w="3631" w:type="dxa"/>
                  <w:tcBorders>
                    <w:top w:val="nil"/>
                    <w:left w:val="nil"/>
                    <w:bottom w:val="single" w:color="auto" w:sz="4" w:space="0"/>
                    <w:right w:val="single" w:color="auto" w:sz="4" w:space="0"/>
                  </w:tcBorders>
                  <w:noWrap/>
                  <w:vAlign w:val="bottom"/>
                </w:tcPr>
                <w:p w14:paraId="25AB48B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146</w:t>
                  </w:r>
                </w:p>
              </w:tc>
              <w:tc>
                <w:tcPr>
                  <w:tcW w:w="1673" w:type="dxa"/>
                  <w:tcBorders>
                    <w:top w:val="nil"/>
                    <w:left w:val="nil"/>
                    <w:bottom w:val="single" w:color="auto" w:sz="4" w:space="0"/>
                    <w:right w:val="single" w:color="auto" w:sz="4" w:space="0"/>
                  </w:tcBorders>
                  <w:noWrap w:val="0"/>
                  <w:vAlign w:val="center"/>
                </w:tcPr>
                <w:p w14:paraId="50749CAD">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货款</w:t>
                  </w:r>
                </w:p>
              </w:tc>
            </w:tr>
            <w:tr w14:paraId="515AB1D2">
              <w:tblPrEx>
                <w:tblCellMar>
                  <w:top w:w="0" w:type="dxa"/>
                  <w:left w:w="108" w:type="dxa"/>
                  <w:bottom w:w="0" w:type="dxa"/>
                  <w:right w:w="108" w:type="dxa"/>
                </w:tblCellMar>
              </w:tblPrEx>
              <w:trPr>
                <w:trHeight w:val="340" w:hRule="atLeast"/>
                <w:jc w:val="center"/>
              </w:trPr>
              <w:tc>
                <w:tcPr>
                  <w:tcW w:w="3996" w:type="dxa"/>
                  <w:tcBorders>
                    <w:top w:val="nil"/>
                    <w:left w:val="single" w:color="auto" w:sz="4" w:space="0"/>
                    <w:bottom w:val="single" w:color="auto" w:sz="4" w:space="0"/>
                    <w:right w:val="single" w:color="auto" w:sz="4" w:space="0"/>
                  </w:tcBorders>
                  <w:noWrap w:val="0"/>
                  <w:vAlign w:val="center"/>
                </w:tcPr>
                <w:p w14:paraId="6D6044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北京星链南天科技有限公司</w:t>
                  </w:r>
                </w:p>
              </w:tc>
              <w:tc>
                <w:tcPr>
                  <w:tcW w:w="3631" w:type="dxa"/>
                  <w:tcBorders>
                    <w:top w:val="nil"/>
                    <w:left w:val="nil"/>
                    <w:bottom w:val="single" w:color="auto" w:sz="4" w:space="0"/>
                    <w:right w:val="single" w:color="auto" w:sz="4" w:space="0"/>
                  </w:tcBorders>
                  <w:noWrap/>
                  <w:vAlign w:val="bottom"/>
                </w:tcPr>
                <w:p w14:paraId="037617F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107</w:t>
                  </w:r>
                </w:p>
              </w:tc>
              <w:tc>
                <w:tcPr>
                  <w:tcW w:w="1673" w:type="dxa"/>
                  <w:tcBorders>
                    <w:top w:val="nil"/>
                    <w:left w:val="nil"/>
                    <w:bottom w:val="single" w:color="auto" w:sz="4" w:space="0"/>
                    <w:right w:val="single" w:color="auto" w:sz="4" w:space="0"/>
                  </w:tcBorders>
                  <w:noWrap w:val="0"/>
                  <w:vAlign w:val="center"/>
                </w:tcPr>
                <w:p w14:paraId="79486E58">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货款</w:t>
                  </w:r>
                </w:p>
              </w:tc>
            </w:tr>
            <w:tr w14:paraId="05BBB19B">
              <w:tblPrEx>
                <w:tblCellMar>
                  <w:top w:w="0" w:type="dxa"/>
                  <w:left w:w="108" w:type="dxa"/>
                  <w:bottom w:w="0" w:type="dxa"/>
                  <w:right w:w="108" w:type="dxa"/>
                </w:tblCellMar>
              </w:tblPrEx>
              <w:trPr>
                <w:trHeight w:val="340" w:hRule="atLeast"/>
                <w:jc w:val="center"/>
              </w:trPr>
              <w:tc>
                <w:tcPr>
                  <w:tcW w:w="3996" w:type="dxa"/>
                  <w:tcBorders>
                    <w:top w:val="nil"/>
                    <w:left w:val="single" w:color="auto" w:sz="4" w:space="0"/>
                    <w:bottom w:val="single" w:color="auto" w:sz="4" w:space="0"/>
                    <w:right w:val="single" w:color="auto" w:sz="4" w:space="0"/>
                  </w:tcBorders>
                  <w:noWrap w:val="0"/>
                  <w:vAlign w:val="center"/>
                </w:tcPr>
                <w:p w14:paraId="02CC5E1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福建星网智慧科技有限公司</w:t>
                  </w:r>
                </w:p>
              </w:tc>
              <w:tc>
                <w:tcPr>
                  <w:tcW w:w="3631" w:type="dxa"/>
                  <w:tcBorders>
                    <w:top w:val="nil"/>
                    <w:left w:val="nil"/>
                    <w:bottom w:val="single" w:color="auto" w:sz="4" w:space="0"/>
                    <w:right w:val="single" w:color="auto" w:sz="4" w:space="0"/>
                  </w:tcBorders>
                  <w:noWrap/>
                  <w:vAlign w:val="bottom"/>
                </w:tcPr>
                <w:p w14:paraId="7F68D25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44</w:t>
                  </w:r>
                </w:p>
              </w:tc>
              <w:tc>
                <w:tcPr>
                  <w:tcW w:w="1673" w:type="dxa"/>
                  <w:tcBorders>
                    <w:top w:val="nil"/>
                    <w:left w:val="nil"/>
                    <w:bottom w:val="single" w:color="auto" w:sz="4" w:space="0"/>
                    <w:right w:val="single" w:color="auto" w:sz="4" w:space="0"/>
                  </w:tcBorders>
                  <w:noWrap w:val="0"/>
                  <w:vAlign w:val="center"/>
                </w:tcPr>
                <w:p w14:paraId="49DD31DB">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货款</w:t>
                  </w:r>
                </w:p>
              </w:tc>
            </w:tr>
            <w:tr w14:paraId="2E36233B">
              <w:tblPrEx>
                <w:tblCellMar>
                  <w:top w:w="0" w:type="dxa"/>
                  <w:left w:w="108" w:type="dxa"/>
                  <w:bottom w:w="0" w:type="dxa"/>
                  <w:right w:w="108" w:type="dxa"/>
                </w:tblCellMar>
              </w:tblPrEx>
              <w:trPr>
                <w:trHeight w:val="340" w:hRule="atLeast"/>
                <w:jc w:val="center"/>
              </w:trPr>
              <w:tc>
                <w:tcPr>
                  <w:tcW w:w="3996" w:type="dxa"/>
                  <w:tcBorders>
                    <w:top w:val="nil"/>
                    <w:left w:val="single" w:color="auto" w:sz="4" w:space="0"/>
                    <w:bottom w:val="single" w:color="auto" w:sz="4" w:space="0"/>
                    <w:right w:val="single" w:color="auto" w:sz="4" w:space="0"/>
                  </w:tcBorders>
                  <w:noWrap w:val="0"/>
                  <w:vAlign w:val="center"/>
                </w:tcPr>
                <w:p w14:paraId="6324E96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福州大学</w:t>
                  </w:r>
                </w:p>
              </w:tc>
              <w:tc>
                <w:tcPr>
                  <w:tcW w:w="3631" w:type="dxa"/>
                  <w:tcBorders>
                    <w:top w:val="nil"/>
                    <w:left w:val="nil"/>
                    <w:bottom w:val="single" w:color="auto" w:sz="4" w:space="0"/>
                    <w:right w:val="single" w:color="auto" w:sz="4" w:space="0"/>
                  </w:tcBorders>
                  <w:noWrap/>
                  <w:vAlign w:val="bottom"/>
                </w:tcPr>
                <w:p w14:paraId="2B1F2AC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38</w:t>
                  </w:r>
                </w:p>
              </w:tc>
              <w:tc>
                <w:tcPr>
                  <w:tcW w:w="1673" w:type="dxa"/>
                  <w:tcBorders>
                    <w:top w:val="nil"/>
                    <w:left w:val="nil"/>
                    <w:bottom w:val="single" w:color="auto" w:sz="4" w:space="0"/>
                    <w:right w:val="single" w:color="auto" w:sz="4" w:space="0"/>
                  </w:tcBorders>
                  <w:noWrap w:val="0"/>
                  <w:vAlign w:val="center"/>
                </w:tcPr>
                <w:p w14:paraId="44BA79C6">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服务</w:t>
                  </w:r>
                </w:p>
              </w:tc>
            </w:tr>
            <w:tr w14:paraId="7BAA88B1">
              <w:tblPrEx>
                <w:tblCellMar>
                  <w:top w:w="0" w:type="dxa"/>
                  <w:left w:w="108" w:type="dxa"/>
                  <w:bottom w:w="0" w:type="dxa"/>
                  <w:right w:w="108" w:type="dxa"/>
                </w:tblCellMar>
              </w:tblPrEx>
              <w:trPr>
                <w:trHeight w:val="340" w:hRule="atLeast"/>
                <w:jc w:val="center"/>
              </w:trPr>
              <w:tc>
                <w:tcPr>
                  <w:tcW w:w="3996" w:type="dxa"/>
                  <w:tcBorders>
                    <w:top w:val="nil"/>
                    <w:left w:val="single" w:color="auto" w:sz="4" w:space="0"/>
                    <w:bottom w:val="single" w:color="auto" w:sz="4" w:space="0"/>
                    <w:right w:val="single" w:color="auto" w:sz="4" w:space="0"/>
                  </w:tcBorders>
                  <w:noWrap w:val="0"/>
                  <w:vAlign w:val="center"/>
                </w:tcPr>
                <w:p w14:paraId="40B4662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同泰怡信息技术福建有限公司</w:t>
                  </w:r>
                </w:p>
              </w:tc>
              <w:tc>
                <w:tcPr>
                  <w:tcW w:w="3631" w:type="dxa"/>
                  <w:tcBorders>
                    <w:top w:val="nil"/>
                    <w:left w:val="nil"/>
                    <w:bottom w:val="single" w:color="auto" w:sz="4" w:space="0"/>
                    <w:right w:val="single" w:color="auto" w:sz="4" w:space="0"/>
                  </w:tcBorders>
                  <w:noWrap/>
                  <w:vAlign w:val="bottom"/>
                </w:tcPr>
                <w:p w14:paraId="6739485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36</w:t>
                  </w:r>
                </w:p>
              </w:tc>
              <w:tc>
                <w:tcPr>
                  <w:tcW w:w="1673" w:type="dxa"/>
                  <w:tcBorders>
                    <w:top w:val="nil"/>
                    <w:left w:val="nil"/>
                    <w:bottom w:val="single" w:color="auto" w:sz="4" w:space="0"/>
                    <w:right w:val="single" w:color="auto" w:sz="4" w:space="0"/>
                  </w:tcBorders>
                  <w:noWrap w:val="0"/>
                  <w:vAlign w:val="center"/>
                </w:tcPr>
                <w:p w14:paraId="1452D865">
                  <w:pPr>
                    <w:widowControl/>
                    <w:kinsoku w:val="0"/>
                    <w:autoSpaceDE w:val="0"/>
                    <w:autoSpaceDN w:val="0"/>
                    <w:adjustRightInd w:val="0"/>
                    <w:snapToGrid w:val="0"/>
                    <w:jc w:val="center"/>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货款</w:t>
                  </w:r>
                </w:p>
              </w:tc>
            </w:tr>
            <w:tr w14:paraId="0DC39527">
              <w:tblPrEx>
                <w:tblCellMar>
                  <w:top w:w="0" w:type="dxa"/>
                  <w:left w:w="108" w:type="dxa"/>
                  <w:bottom w:w="0" w:type="dxa"/>
                  <w:right w:w="108" w:type="dxa"/>
                </w:tblCellMar>
              </w:tblPrEx>
              <w:trPr>
                <w:trHeight w:val="340" w:hRule="atLeast"/>
                <w:jc w:val="center"/>
              </w:trPr>
              <w:tc>
                <w:tcPr>
                  <w:tcW w:w="3996" w:type="dxa"/>
                  <w:tcBorders>
                    <w:top w:val="nil"/>
                    <w:left w:val="single" w:color="auto" w:sz="4" w:space="0"/>
                    <w:bottom w:val="single" w:color="auto" w:sz="4" w:space="0"/>
                    <w:right w:val="single" w:color="auto" w:sz="4" w:space="0"/>
                  </w:tcBorders>
                  <w:noWrap w:val="0"/>
                  <w:vAlign w:val="center"/>
                </w:tcPr>
                <w:p w14:paraId="34D7B1C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合计</w:t>
                  </w:r>
                </w:p>
              </w:tc>
              <w:tc>
                <w:tcPr>
                  <w:tcW w:w="3631" w:type="dxa"/>
                  <w:tcBorders>
                    <w:top w:val="nil"/>
                    <w:left w:val="nil"/>
                    <w:bottom w:val="single" w:color="auto" w:sz="4" w:space="0"/>
                    <w:right w:val="single" w:color="auto" w:sz="4" w:space="0"/>
                  </w:tcBorders>
                  <w:noWrap/>
                  <w:vAlign w:val="bottom"/>
                </w:tcPr>
                <w:p w14:paraId="21AB6F1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371</w:t>
                  </w:r>
                </w:p>
              </w:tc>
              <w:tc>
                <w:tcPr>
                  <w:tcW w:w="1673" w:type="dxa"/>
                  <w:tcBorders>
                    <w:top w:val="nil"/>
                    <w:left w:val="nil"/>
                    <w:bottom w:val="single" w:color="auto" w:sz="4" w:space="0"/>
                    <w:right w:val="single" w:color="auto" w:sz="4" w:space="0"/>
                  </w:tcBorders>
                  <w:noWrap w:val="0"/>
                  <w:vAlign w:val="center"/>
                </w:tcPr>
                <w:p w14:paraId="4B0690B8">
                  <w:pPr>
                    <w:widowControl/>
                    <w:kinsoku w:val="0"/>
                    <w:autoSpaceDE w:val="0"/>
                    <w:autoSpaceDN w:val="0"/>
                    <w:adjustRightInd w:val="0"/>
                    <w:snapToGrid w:val="0"/>
                    <w:jc w:val="right"/>
                    <w:textAlignment w:val="baseline"/>
                    <w:rPr>
                      <w:rFonts w:ascii="宋体" w:hAnsi="宋体" w:cs="宋体"/>
                      <w:snapToGrid w:val="0"/>
                      <w:color w:val="000000"/>
                      <w:kern w:val="0"/>
                      <w:sz w:val="18"/>
                      <w:szCs w:val="18"/>
                      <w:lang w:val="zh-CN"/>
                    </w:rPr>
                  </w:pPr>
                  <w:r>
                    <w:rPr>
                      <w:rFonts w:hint="eastAsia" w:ascii="宋体" w:hAnsi="宋体" w:cs="宋体"/>
                      <w:snapToGrid w:val="0"/>
                      <w:color w:val="000000"/>
                      <w:kern w:val="0"/>
                      <w:sz w:val="18"/>
                      <w:szCs w:val="18"/>
                      <w:lang w:val="zh-CN"/>
                    </w:rPr>
                    <w:t>　</w:t>
                  </w:r>
                </w:p>
              </w:tc>
            </w:tr>
          </w:tbl>
          <w:p w14:paraId="78FD16AB">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u w:val="single"/>
                <w:lang w:val="zh-CN"/>
              </w:rPr>
            </w:pPr>
            <w:r>
              <w:rPr>
                <w:rFonts w:hint="eastAsia" w:ascii="宋体" w:hAnsi="宋体" w:cs="宋体"/>
                <w:snapToGrid w:val="0"/>
                <w:color w:val="000000"/>
                <w:kern w:val="0"/>
                <w:szCs w:val="21"/>
                <w:lang w:val="zh-CN"/>
              </w:rPr>
              <w:t>（</w:t>
            </w:r>
            <w:r>
              <w:rPr>
                <w:rFonts w:hint="eastAsia" w:ascii="宋体" w:hAnsi="宋体" w:cs="宋体"/>
                <w:snapToGrid w:val="0"/>
                <w:color w:val="000000"/>
                <w:kern w:val="0"/>
                <w:szCs w:val="21"/>
              </w:rPr>
              <w:t>6</w:t>
            </w:r>
            <w:r>
              <w:rPr>
                <w:rFonts w:hint="eastAsia" w:ascii="宋体" w:hAnsi="宋体" w:cs="宋体"/>
                <w:snapToGrid w:val="0"/>
                <w:color w:val="000000"/>
                <w:kern w:val="0"/>
                <w:szCs w:val="21"/>
                <w:lang w:val="zh-CN"/>
              </w:rPr>
              <w:t>）其他应付款</w:t>
            </w:r>
            <w:r>
              <w:rPr>
                <w:rFonts w:hint="eastAsia" w:ascii="宋体" w:hAnsi="宋体" w:cs="宋体"/>
                <w:snapToGrid w:val="0"/>
                <w:color w:val="000000"/>
                <w:kern w:val="0"/>
                <w:szCs w:val="21"/>
                <w:u w:val="single"/>
                <w:lang w:val="zh-CN"/>
              </w:rPr>
              <w:t>168</w:t>
            </w:r>
            <w:r>
              <w:rPr>
                <w:rFonts w:hint="eastAsia" w:ascii="宋体" w:hAnsi="宋体" w:cs="宋体"/>
                <w:snapToGrid w:val="0"/>
                <w:color w:val="000000"/>
                <w:kern w:val="0"/>
                <w:szCs w:val="21"/>
                <w:lang w:val="zh-CN"/>
              </w:rPr>
              <w:t>万元，主要构成及</w:t>
            </w:r>
            <w:r>
              <w:rPr>
                <w:rFonts w:hint="eastAsia" w:ascii="宋体" w:hAnsi="宋体" w:cs="宋体"/>
                <w:snapToGrid w:val="0"/>
                <w:color w:val="000000"/>
                <w:kern w:val="0"/>
                <w:szCs w:val="21"/>
              </w:rPr>
              <w:t>趋势</w:t>
            </w:r>
            <w:r>
              <w:rPr>
                <w:rFonts w:hint="eastAsia" w:ascii="宋体" w:hAnsi="宋体" w:cs="宋体"/>
                <w:snapToGrid w:val="0"/>
                <w:color w:val="000000"/>
                <w:kern w:val="0"/>
                <w:szCs w:val="21"/>
                <w:lang w:val="zh-CN"/>
              </w:rPr>
              <w:t>变动情况：</w:t>
            </w:r>
            <w:r>
              <w:rPr>
                <w:rFonts w:hint="eastAsia" w:ascii="宋体" w:hAnsi="宋体" w:cs="宋体"/>
                <w:snapToGrid w:val="0"/>
                <w:color w:val="000000"/>
                <w:kern w:val="0"/>
                <w:szCs w:val="21"/>
                <w:u w:val="single"/>
                <w:lang w:val="zh-CN"/>
              </w:rPr>
              <w:t>较2024年末减少约480万元，降幅约74%，主要因为往来款减少。</w:t>
            </w:r>
          </w:p>
          <w:p w14:paraId="1FDDCD99">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u w:val="single"/>
                <w:lang w:val="zh-CN"/>
              </w:rPr>
            </w:pPr>
            <w:r>
              <w:rPr>
                <w:rFonts w:hint="eastAsia" w:ascii="宋体" w:hAnsi="宋体" w:cs="宋体"/>
                <w:snapToGrid w:val="0"/>
                <w:color w:val="000000"/>
                <w:kern w:val="0"/>
                <w:szCs w:val="21"/>
                <w:lang w:val="zh-CN"/>
              </w:rPr>
              <w:t>（</w:t>
            </w:r>
            <w:r>
              <w:rPr>
                <w:rFonts w:hint="eastAsia" w:ascii="宋体" w:hAnsi="宋体" w:cs="宋体"/>
                <w:snapToGrid w:val="0"/>
                <w:color w:val="000000"/>
                <w:kern w:val="0"/>
                <w:szCs w:val="21"/>
              </w:rPr>
              <w:t>7</w:t>
            </w:r>
            <w:r>
              <w:rPr>
                <w:rFonts w:hint="eastAsia" w:ascii="宋体" w:hAnsi="宋体" w:cs="宋体"/>
                <w:snapToGrid w:val="0"/>
                <w:color w:val="000000"/>
                <w:kern w:val="0"/>
                <w:szCs w:val="21"/>
                <w:lang w:val="zh-CN"/>
              </w:rPr>
              <w:t>）主营业务收入变动原因：</w:t>
            </w:r>
            <w:r>
              <w:rPr>
                <w:rFonts w:hint="eastAsia" w:ascii="宋体" w:hAnsi="宋体" w:cs="宋体"/>
                <w:snapToGrid w:val="0"/>
                <w:color w:val="000000"/>
                <w:kern w:val="0"/>
                <w:szCs w:val="21"/>
                <w:u w:val="single"/>
                <w:lang w:val="zh-CN"/>
              </w:rPr>
              <w:t>2025年营业收入10010万元，较2024年末增加约1297万元，增幅约15%。收入规模增长，2025年公司存在项目承接增加、发货交付增加和业务规模扩张。</w:t>
            </w:r>
          </w:p>
          <w:p w14:paraId="79361763">
            <w:pPr>
              <w:autoSpaceDE w:val="0"/>
              <w:autoSpaceDN w:val="0"/>
              <w:adjustRightInd w:val="0"/>
              <w:snapToGrid w:val="0"/>
              <w:spacing w:before="62" w:beforeLines="20"/>
              <w:ind w:firstLine="420" w:firstLineChars="200"/>
              <w:jc w:val="left"/>
              <w:rPr>
                <w:rFonts w:hint="eastAsia" w:ascii="宋体" w:hAnsi="宋体" w:cs="宋体"/>
                <w:snapToGrid w:val="0"/>
                <w:kern w:val="0"/>
                <w:szCs w:val="21"/>
                <w:u w:val="single"/>
              </w:rPr>
            </w:pPr>
            <w:r>
              <w:rPr>
                <w:rFonts w:hint="eastAsia" w:ascii="宋体" w:hAnsi="宋体" w:cs="宋体"/>
                <w:snapToGrid w:val="0"/>
                <w:color w:val="000000"/>
                <w:kern w:val="0"/>
                <w:szCs w:val="21"/>
                <w:lang w:val="zh-CN"/>
              </w:rPr>
              <w:t>（</w:t>
            </w:r>
            <w:r>
              <w:rPr>
                <w:rFonts w:hint="eastAsia" w:ascii="宋体" w:hAnsi="宋体" w:cs="宋体"/>
                <w:snapToGrid w:val="0"/>
                <w:color w:val="000000"/>
                <w:kern w:val="0"/>
                <w:szCs w:val="21"/>
              </w:rPr>
              <w:t>8</w:t>
            </w:r>
            <w:r>
              <w:rPr>
                <w:rFonts w:hint="eastAsia" w:ascii="宋体" w:hAnsi="宋体" w:cs="宋体"/>
                <w:snapToGrid w:val="0"/>
                <w:color w:val="000000"/>
                <w:kern w:val="0"/>
                <w:szCs w:val="21"/>
                <w:lang w:val="zh-CN"/>
              </w:rPr>
              <w:t>）盈利能力变动原因：</w:t>
            </w:r>
            <w:r>
              <w:rPr>
                <w:rFonts w:hint="eastAsia" w:ascii="宋体" w:hAnsi="宋体" w:cs="宋体"/>
                <w:snapToGrid w:val="0"/>
                <w:color w:val="000000"/>
                <w:kern w:val="0"/>
                <w:szCs w:val="21"/>
                <w:u w:val="single"/>
                <w:lang w:val="zh-CN"/>
              </w:rPr>
              <w:t>总体来看，企业近三年盈利能力虽存在一定波动，但主营业务基础仍然存在，盈利修复能力较好。2024年盈利能力下降，主要受收入下滑及资金占用压力加大影响；2025年随着主营业务收入恢复增长、经营性现金流</w:t>
            </w:r>
            <w:r>
              <w:rPr>
                <w:rFonts w:hint="eastAsia" w:ascii="宋体" w:hAnsi="宋体" w:cs="宋体"/>
                <w:snapToGrid w:val="0"/>
                <w:kern w:val="0"/>
                <w:szCs w:val="21"/>
                <w:u w:val="single"/>
                <w:lang w:val="zh-CN"/>
              </w:rPr>
              <w:t>明显改善、应收款项压降及财务费用下降，盈利能力已出现较为明显的修复趋势。</w:t>
            </w:r>
            <w:r>
              <w:rPr>
                <w:rFonts w:hint="eastAsia" w:ascii="宋体" w:hAnsi="宋体" w:cs="宋体"/>
                <w:bCs/>
                <w:snapToGrid w:val="0"/>
                <w:szCs w:val="21"/>
                <w:u w:val="single"/>
              </w:rPr>
              <w:t xml:space="preserve"> </w:t>
            </w:r>
          </w:p>
          <w:p w14:paraId="59B932C0">
            <w:pPr>
              <w:autoSpaceDE w:val="0"/>
              <w:autoSpaceDN w:val="0"/>
              <w:adjustRightInd w:val="0"/>
              <w:snapToGrid w:val="0"/>
              <w:spacing w:before="62" w:beforeLines="20"/>
              <w:ind w:firstLine="422" w:firstLineChars="200"/>
              <w:jc w:val="left"/>
              <w:rPr>
                <w:rFonts w:hint="eastAsia" w:ascii="宋体" w:hAnsi="宋体" w:cs="宋体"/>
                <w:bCs/>
                <w:snapToGrid w:val="0"/>
                <w:szCs w:val="21"/>
                <w:u w:val="single"/>
              </w:rPr>
            </w:pPr>
            <w:r>
              <w:rPr>
                <w:rFonts w:hint="eastAsia" w:ascii="宋体" w:hAnsi="宋体" w:cs="宋体"/>
                <w:b/>
                <w:snapToGrid w:val="0"/>
                <w:kern w:val="0"/>
                <w:szCs w:val="21"/>
              </w:rPr>
              <w:t>现金流分析</w:t>
            </w:r>
            <w:r>
              <w:rPr>
                <w:rFonts w:hint="eastAsia" w:ascii="宋体" w:hAnsi="宋体" w:cs="宋体"/>
                <w:bCs/>
                <w:snapToGrid w:val="0"/>
                <w:kern w:val="0"/>
                <w:szCs w:val="21"/>
              </w:rPr>
              <w:t>：</w:t>
            </w:r>
            <w:r>
              <w:rPr>
                <w:rFonts w:hint="eastAsia" w:ascii="宋体" w:hAnsi="宋体" w:cs="宋体"/>
                <w:bCs/>
                <w:snapToGrid w:val="0"/>
                <w:szCs w:val="21"/>
                <w:u w:val="single"/>
              </w:rPr>
              <w:t>经营活动方面，2025年随着应收款项有所下降，经营活动现金流恢复为正，表明主营业务回款情况改善，经营性现金流质量有所提升。投资活动方面，近三年持续净流出，说明企业仍处于一定投入阶段。2025年投资活动现金净流出较2024年有所收窄，表明企业投资节奏趋于审慎。筹资活动方面，2025年转为净流出，反映出企业对外部融资依赖有所下降，资金周转更多依靠经营性回笼支撑。总体看，企业2024年现金流压力较大，2025年已出现明显改善，经营性现金流修复较为积极，但货币资金余额仍然偏低，流动性安全边际仍有限，后续仍需持续关注应收账款回收、投资节奏控制及资金统筹安排。</w:t>
            </w:r>
          </w:p>
          <w:p w14:paraId="7316E7CD">
            <w:pPr>
              <w:autoSpaceDE w:val="0"/>
              <w:autoSpaceDN w:val="0"/>
              <w:adjustRightInd w:val="0"/>
              <w:snapToGrid w:val="0"/>
              <w:spacing w:before="62" w:beforeLines="20"/>
              <w:ind w:firstLine="422" w:firstLineChars="200"/>
              <w:jc w:val="left"/>
              <w:rPr>
                <w:b/>
                <w:bCs/>
              </w:rPr>
            </w:pPr>
            <w:r>
              <w:rPr>
                <w:rFonts w:hint="eastAsia" w:ascii="宋体" w:hAnsi="宋体" w:cs="宋体"/>
                <w:b/>
                <w:snapToGrid w:val="0"/>
                <w:szCs w:val="21"/>
              </w:rPr>
              <w:t>最近三年现金流量表分析：</w:t>
            </w:r>
            <w:r>
              <w:rPr>
                <w:rFonts w:hint="eastAsia"/>
                <w:bCs/>
                <w:snapToGrid w:val="0"/>
                <w:szCs w:val="21"/>
              </w:rPr>
              <w:t xml:space="preserve">             </w:t>
            </w:r>
          </w:p>
          <w:tbl>
            <w:tblPr>
              <w:tblStyle w:val="13"/>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2169"/>
              <w:gridCol w:w="2170"/>
              <w:gridCol w:w="2170"/>
              <w:gridCol w:w="2170"/>
            </w:tblGrid>
            <w:tr w14:paraId="738F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529949E1">
                  <w:pPr>
                    <w:autoSpaceDE w:val="0"/>
                    <w:autoSpaceDN w:val="0"/>
                    <w:adjustRightInd w:val="0"/>
                    <w:snapToGrid w:val="0"/>
                    <w:spacing w:before="62" w:beforeLines="20"/>
                    <w:jc w:val="center"/>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年份</w:t>
                  </w:r>
                </w:p>
              </w:tc>
              <w:tc>
                <w:tcPr>
                  <w:tcW w:w="2169" w:type="dxa"/>
                  <w:noWrap w:val="0"/>
                  <w:vAlign w:val="center"/>
                </w:tcPr>
                <w:p w14:paraId="328112B1">
                  <w:pPr>
                    <w:widowControl/>
                    <w:kinsoku w:val="0"/>
                    <w:autoSpaceDE w:val="0"/>
                    <w:autoSpaceDN w:val="0"/>
                    <w:adjustRightInd w:val="0"/>
                    <w:snapToGrid w:val="0"/>
                    <w:jc w:val="center"/>
                    <w:textAlignment w:val="baseline"/>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经营性现金流净额</w:t>
                  </w:r>
                </w:p>
              </w:tc>
              <w:tc>
                <w:tcPr>
                  <w:tcW w:w="2170" w:type="dxa"/>
                  <w:noWrap w:val="0"/>
                  <w:vAlign w:val="center"/>
                </w:tcPr>
                <w:p w14:paraId="1E122282">
                  <w:pPr>
                    <w:widowControl/>
                    <w:kinsoku w:val="0"/>
                    <w:autoSpaceDE w:val="0"/>
                    <w:autoSpaceDN w:val="0"/>
                    <w:adjustRightInd w:val="0"/>
                    <w:snapToGrid w:val="0"/>
                    <w:jc w:val="center"/>
                    <w:textAlignment w:val="baseline"/>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投资性现金流净额</w:t>
                  </w:r>
                </w:p>
              </w:tc>
              <w:tc>
                <w:tcPr>
                  <w:tcW w:w="2170" w:type="dxa"/>
                  <w:noWrap w:val="0"/>
                  <w:vAlign w:val="center"/>
                </w:tcPr>
                <w:p w14:paraId="1040FBAE">
                  <w:pPr>
                    <w:widowControl/>
                    <w:kinsoku w:val="0"/>
                    <w:autoSpaceDE w:val="0"/>
                    <w:autoSpaceDN w:val="0"/>
                    <w:adjustRightInd w:val="0"/>
                    <w:snapToGrid w:val="0"/>
                    <w:jc w:val="center"/>
                    <w:textAlignment w:val="baseline"/>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筹资性现金流净额</w:t>
                  </w:r>
                </w:p>
              </w:tc>
              <w:tc>
                <w:tcPr>
                  <w:tcW w:w="2170" w:type="dxa"/>
                  <w:noWrap w:val="0"/>
                  <w:vAlign w:val="center"/>
                </w:tcPr>
                <w:p w14:paraId="7EB0216A">
                  <w:pPr>
                    <w:widowControl/>
                    <w:kinsoku w:val="0"/>
                    <w:autoSpaceDE w:val="0"/>
                    <w:autoSpaceDN w:val="0"/>
                    <w:adjustRightInd w:val="0"/>
                    <w:snapToGrid w:val="0"/>
                    <w:jc w:val="center"/>
                    <w:textAlignment w:val="baseline"/>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现金及现金等价物</w:t>
                  </w:r>
                </w:p>
                <w:p w14:paraId="2201C202">
                  <w:pPr>
                    <w:widowControl/>
                    <w:kinsoku w:val="0"/>
                    <w:autoSpaceDE w:val="0"/>
                    <w:autoSpaceDN w:val="0"/>
                    <w:adjustRightInd w:val="0"/>
                    <w:snapToGrid w:val="0"/>
                    <w:jc w:val="center"/>
                    <w:textAlignment w:val="baseline"/>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净增加额</w:t>
                  </w:r>
                </w:p>
              </w:tc>
            </w:tr>
            <w:tr w14:paraId="2538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0D16E983">
                  <w:pPr>
                    <w:autoSpaceDE w:val="0"/>
                    <w:autoSpaceDN w:val="0"/>
                    <w:adjustRightInd w:val="0"/>
                    <w:snapToGrid w:val="0"/>
                    <w:spacing w:before="62" w:beforeLines="20"/>
                    <w:jc w:val="center"/>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2023</w:t>
                  </w:r>
                </w:p>
              </w:tc>
              <w:tc>
                <w:tcPr>
                  <w:tcW w:w="2169" w:type="dxa"/>
                  <w:noWrap w:val="0"/>
                  <w:vAlign w:val="top"/>
                </w:tcPr>
                <w:p w14:paraId="1DFE5228">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269</w:t>
                  </w:r>
                </w:p>
              </w:tc>
              <w:tc>
                <w:tcPr>
                  <w:tcW w:w="2170" w:type="dxa"/>
                  <w:noWrap w:val="0"/>
                  <w:vAlign w:val="top"/>
                </w:tcPr>
                <w:p w14:paraId="4B08D4B7">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-716</w:t>
                  </w:r>
                </w:p>
              </w:tc>
              <w:tc>
                <w:tcPr>
                  <w:tcW w:w="2170" w:type="dxa"/>
                  <w:noWrap w:val="0"/>
                  <w:vAlign w:val="top"/>
                </w:tcPr>
                <w:p w14:paraId="74DCDF00">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864</w:t>
                  </w:r>
                </w:p>
              </w:tc>
              <w:tc>
                <w:tcPr>
                  <w:tcW w:w="2170" w:type="dxa"/>
                  <w:noWrap w:val="0"/>
                  <w:vAlign w:val="top"/>
                </w:tcPr>
                <w:p w14:paraId="7A6E84D7">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418</w:t>
                  </w:r>
                </w:p>
              </w:tc>
            </w:tr>
            <w:tr w14:paraId="59AC3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5B368CC0">
                  <w:pPr>
                    <w:autoSpaceDE w:val="0"/>
                    <w:autoSpaceDN w:val="0"/>
                    <w:adjustRightInd w:val="0"/>
                    <w:snapToGrid w:val="0"/>
                    <w:spacing w:before="62" w:beforeLines="20"/>
                    <w:jc w:val="center"/>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2024</w:t>
                  </w:r>
                </w:p>
              </w:tc>
              <w:tc>
                <w:tcPr>
                  <w:tcW w:w="2169" w:type="dxa"/>
                  <w:noWrap w:val="0"/>
                  <w:vAlign w:val="top"/>
                </w:tcPr>
                <w:p w14:paraId="3409A38F">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-896</w:t>
                  </w:r>
                </w:p>
              </w:tc>
              <w:tc>
                <w:tcPr>
                  <w:tcW w:w="2170" w:type="dxa"/>
                  <w:noWrap w:val="0"/>
                  <w:vAlign w:val="top"/>
                </w:tcPr>
                <w:p w14:paraId="49CF433E">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-922</w:t>
                  </w:r>
                </w:p>
              </w:tc>
              <w:tc>
                <w:tcPr>
                  <w:tcW w:w="2170" w:type="dxa"/>
                  <w:noWrap w:val="0"/>
                  <w:vAlign w:val="top"/>
                </w:tcPr>
                <w:p w14:paraId="655E017A">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802</w:t>
                  </w:r>
                </w:p>
              </w:tc>
              <w:tc>
                <w:tcPr>
                  <w:tcW w:w="2170" w:type="dxa"/>
                  <w:noWrap w:val="0"/>
                  <w:vAlign w:val="top"/>
                </w:tcPr>
                <w:p w14:paraId="1785B14A">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-1015</w:t>
                  </w:r>
                </w:p>
              </w:tc>
            </w:tr>
            <w:tr w14:paraId="6394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420FEBC4">
                  <w:pPr>
                    <w:autoSpaceDE w:val="0"/>
                    <w:autoSpaceDN w:val="0"/>
                    <w:adjustRightInd w:val="0"/>
                    <w:snapToGrid w:val="0"/>
                    <w:spacing w:before="62" w:beforeLines="20"/>
                    <w:jc w:val="center"/>
                    <w:rPr>
                      <w:rFonts w:ascii="宋体" w:hAnsi="宋体" w:cs="宋体"/>
                      <w:bCs/>
                      <w:snapToGrid w:val="0"/>
                      <w:color w:val="000000"/>
                      <w:kern w:val="0"/>
                      <w:sz w:val="18"/>
                      <w:szCs w:val="18"/>
                    </w:rPr>
                  </w:pPr>
                  <w:r>
                    <w:rPr>
                      <w:rFonts w:hint="eastAsia" w:ascii="宋体" w:hAnsi="宋体" w:cs="宋体"/>
                      <w:bCs/>
                      <w:snapToGrid w:val="0"/>
                      <w:color w:val="000000"/>
                      <w:kern w:val="0"/>
                      <w:sz w:val="18"/>
                      <w:szCs w:val="18"/>
                    </w:rPr>
                    <w:t>2025</w:t>
                  </w:r>
                </w:p>
              </w:tc>
              <w:tc>
                <w:tcPr>
                  <w:tcW w:w="2169" w:type="dxa"/>
                  <w:noWrap w:val="0"/>
                  <w:vAlign w:val="top"/>
                </w:tcPr>
                <w:p w14:paraId="43C618B8">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791</w:t>
                  </w:r>
                </w:p>
              </w:tc>
              <w:tc>
                <w:tcPr>
                  <w:tcW w:w="2170" w:type="dxa"/>
                  <w:noWrap w:val="0"/>
                  <w:vAlign w:val="top"/>
                </w:tcPr>
                <w:p w14:paraId="01C8AFC7">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-586</w:t>
                  </w:r>
                </w:p>
              </w:tc>
              <w:tc>
                <w:tcPr>
                  <w:tcW w:w="2170" w:type="dxa"/>
                  <w:noWrap w:val="0"/>
                  <w:vAlign w:val="top"/>
                </w:tcPr>
                <w:p w14:paraId="3C0564A5">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-426</w:t>
                  </w:r>
                </w:p>
              </w:tc>
              <w:tc>
                <w:tcPr>
                  <w:tcW w:w="2170" w:type="dxa"/>
                  <w:noWrap w:val="0"/>
                  <w:vAlign w:val="top"/>
                </w:tcPr>
                <w:p w14:paraId="7316D9C6">
                  <w:pPr>
                    <w:autoSpaceDE w:val="0"/>
                    <w:autoSpaceDN w:val="0"/>
                    <w:adjustRightInd w:val="0"/>
                    <w:snapToGrid w:val="0"/>
                    <w:spacing w:before="62" w:beforeLines="20"/>
                    <w:jc w:val="center"/>
                    <w:rPr>
                      <w:rFonts w:hint="eastAsia" w:ascii="宋体" w:hAnsi="宋体" w:cs="宋体"/>
                      <w:bCs/>
                      <w:snapToGrid w:val="0"/>
                      <w:color w:val="000000"/>
                      <w:kern w:val="0"/>
                      <w:sz w:val="18"/>
                      <w:szCs w:val="18"/>
                    </w:rPr>
                  </w:pPr>
                  <w:r>
                    <w:rPr>
                      <w:rFonts w:hint="eastAsia" w:ascii="宋体" w:hAnsi="宋体" w:cs="宋体"/>
                      <w:bCs/>
                      <w:snapToGrid w:val="0"/>
                      <w:color w:val="000000"/>
                      <w:kern w:val="0"/>
                      <w:sz w:val="18"/>
                      <w:szCs w:val="18"/>
                    </w:rPr>
                    <w:t>-221</w:t>
                  </w:r>
                </w:p>
              </w:tc>
            </w:tr>
          </w:tbl>
          <w:p w14:paraId="60FCD8CE">
            <w:pPr>
              <w:autoSpaceDE w:val="0"/>
              <w:autoSpaceDN w:val="0"/>
              <w:adjustRightInd w:val="0"/>
              <w:snapToGrid w:val="0"/>
              <w:spacing w:before="62" w:beforeLines="20"/>
              <w:ind w:firstLine="422" w:firstLineChars="200"/>
              <w:jc w:val="left"/>
              <w:rPr>
                <w:rFonts w:hint="eastAsia" w:ascii="宋体" w:hAnsi="宋体" w:cs="宋体"/>
                <w:snapToGrid w:val="0"/>
                <w:kern w:val="0"/>
                <w:szCs w:val="21"/>
              </w:rPr>
            </w:pPr>
            <w:r>
              <w:rPr>
                <w:rFonts w:hint="eastAsia" w:ascii="宋体" w:hAnsi="宋体" w:cs="宋体"/>
                <w:b/>
                <w:snapToGrid w:val="0"/>
                <w:color w:val="000000"/>
                <w:kern w:val="0"/>
                <w:szCs w:val="21"/>
                <w:lang w:val="zh-CN"/>
              </w:rPr>
              <w:t>总体财务情况小结：</w:t>
            </w:r>
            <w:r>
              <w:rPr>
                <w:rFonts w:hint="eastAsia" w:ascii="宋体" w:hAnsi="宋体" w:cs="宋体"/>
                <w:bCs/>
                <w:snapToGrid w:val="0"/>
                <w:kern w:val="0"/>
                <w:szCs w:val="21"/>
                <w:u w:val="single"/>
                <w:lang w:val="zh-CN"/>
              </w:rPr>
              <w:t>公司近三年虽经历一定经营波动，但财务运行总体保持连续性，未出现明显失衡情形。2025年公司在经营性现金流、净利润水平及负债规模等方面均出现一定改善，说明企业整体经营基础尚可，财务修复趋势较为明确。</w:t>
            </w:r>
          </w:p>
          <w:p w14:paraId="412117B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（六）借款人融资/对外担保/实控人征信情况</w:t>
            </w:r>
          </w:p>
          <w:p w14:paraId="0B4E3BF2">
            <w:pPr>
              <w:pStyle w:val="9"/>
              <w:rPr>
                <w:rFonts w:hint="eastAsia" w:ascii="宋体" w:hAnsi="宋体" w:cs="宋体"/>
                <w:b/>
                <w:bCs/>
                <w:snapToGrid w:val="0"/>
                <w:color w:val="000000"/>
                <w:kern w:val="0"/>
                <w:sz w:val="21"/>
                <w:szCs w:val="21"/>
              </w:rPr>
            </w:pPr>
            <w:r>
              <w:rPr>
                <w:rFonts w:hint="eastAsia"/>
              </w:rPr>
              <w:t xml:space="preserve">  </w:t>
            </w:r>
            <w:r>
              <w:rPr>
                <w:rFonts w:hint="eastAsia" w:ascii="宋体" w:hAnsi="宋体" w:cs="宋体"/>
                <w:snapToGrid w:val="0"/>
                <w:color w:val="000000"/>
                <w:kern w:val="0"/>
                <w:sz w:val="21"/>
                <w:szCs w:val="21"/>
              </w:rPr>
              <w:t xml:space="preserve">  </w:t>
            </w:r>
            <w:r>
              <w:rPr>
                <w:rFonts w:hint="eastAsia" w:ascii="宋体" w:hAnsi="宋体" w:cs="宋体"/>
                <w:b/>
                <w:bCs/>
                <w:snapToGrid w:val="0"/>
                <w:color w:val="000000"/>
                <w:kern w:val="0"/>
                <w:sz w:val="21"/>
                <w:szCs w:val="21"/>
              </w:rPr>
              <w:t xml:space="preserve">  1.融资及对外担保情况</w:t>
            </w:r>
          </w:p>
          <w:p w14:paraId="16CFE2CF">
            <w:pPr>
              <w:pStyle w:val="9"/>
              <w:ind w:firstLine="420" w:firstLineChars="200"/>
              <w:rPr>
                <w:rFonts w:hint="eastAsia" w:ascii="宋体" w:hAnsi="宋体" w:cs="宋体"/>
                <w:bCs/>
                <w:snapToGrid w:val="0"/>
                <w:color w:val="000000"/>
                <w:kern w:val="0"/>
                <w:sz w:val="21"/>
                <w:szCs w:val="21"/>
              </w:rPr>
            </w:pPr>
            <w:r>
              <w:rPr>
                <w:rFonts w:hint="eastAsia" w:ascii="宋体" w:hAnsi="宋体" w:cs="宋体"/>
                <w:bCs/>
                <w:snapToGrid w:val="0"/>
                <w:color w:val="000000"/>
                <w:kern w:val="0"/>
                <w:sz w:val="21"/>
                <w:szCs w:val="21"/>
              </w:rPr>
              <w:t>截至2026年3月30日，公司各行贷款余额合计4524万元，无对外担保、无被追偿记录。</w:t>
            </w:r>
          </w:p>
          <w:tbl>
            <w:tblPr>
              <w:tblStyle w:val="13"/>
              <w:tblW w:w="4997" w:type="pct"/>
              <w:jc w:val="center"/>
              <w:tblLayout w:type="autofit"/>
              <w:tblCellMar>
                <w:top w:w="0" w:type="dxa"/>
                <w:left w:w="108" w:type="dxa"/>
                <w:bottom w:w="0" w:type="dxa"/>
                <w:right w:w="108" w:type="dxa"/>
              </w:tblCellMar>
            </w:tblPr>
            <w:tblGrid>
              <w:gridCol w:w="1355"/>
              <w:gridCol w:w="817"/>
              <w:gridCol w:w="1355"/>
              <w:gridCol w:w="1355"/>
              <w:gridCol w:w="1624"/>
              <w:gridCol w:w="1624"/>
              <w:gridCol w:w="1357"/>
              <w:gridCol w:w="1354"/>
            </w:tblGrid>
            <w:tr w14:paraId="67D2A8D1">
              <w:tblPrEx>
                <w:tblCellMar>
                  <w:top w:w="0" w:type="dxa"/>
                  <w:left w:w="108" w:type="dxa"/>
                  <w:bottom w:w="0" w:type="dxa"/>
                  <w:right w:w="108" w:type="dxa"/>
                </w:tblCellMar>
              </w:tblPrEx>
              <w:trPr>
                <w:trHeight w:val="48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6C26D58F">
                  <w:pPr>
                    <w:jc w:val="center"/>
                    <w:rPr>
                      <w:rFonts w:hint="eastAsia" w:ascii="宋体" w:hAnsi="宋体" w:cs="宋体"/>
                      <w:sz w:val="20"/>
                      <w:szCs w:val="20"/>
                    </w:rPr>
                  </w:pPr>
                  <w:r>
                    <w:rPr>
                      <w:rFonts w:hint="eastAsia" w:ascii="宋体" w:hAnsi="宋体" w:cs="宋体"/>
                      <w:sz w:val="20"/>
                      <w:szCs w:val="20"/>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0C89F43A">
                  <w:pPr>
                    <w:jc w:val="center"/>
                    <w:rPr>
                      <w:rFonts w:hint="eastAsia" w:ascii="宋体" w:hAnsi="宋体" w:cs="宋体"/>
                      <w:sz w:val="20"/>
                      <w:szCs w:val="20"/>
                    </w:rPr>
                  </w:pPr>
                  <w:r>
                    <w:rPr>
                      <w:rFonts w:hint="eastAsia" w:ascii="宋体" w:hAnsi="宋体" w:cs="宋体"/>
                      <w:sz w:val="20"/>
                      <w:szCs w:val="20"/>
                    </w:rPr>
                    <w:t>品种</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BB6FA84">
                  <w:pPr>
                    <w:jc w:val="center"/>
                    <w:rPr>
                      <w:rFonts w:ascii="宋体" w:hAnsi="宋体" w:cs="宋体"/>
                      <w:sz w:val="20"/>
                      <w:szCs w:val="20"/>
                    </w:rPr>
                  </w:pPr>
                  <w:r>
                    <w:rPr>
                      <w:rFonts w:hint="eastAsia" w:ascii="宋体" w:hAnsi="宋体" w:cs="宋体"/>
                      <w:sz w:val="20"/>
                      <w:szCs w:val="20"/>
                    </w:rPr>
                    <w:t>敞口额度</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BECDB8C">
                  <w:pPr>
                    <w:jc w:val="center"/>
                    <w:rPr>
                      <w:rFonts w:hint="eastAsia" w:ascii="宋体" w:hAnsi="宋体" w:cs="宋体"/>
                      <w:sz w:val="20"/>
                      <w:szCs w:val="20"/>
                    </w:rPr>
                  </w:pPr>
                  <w:r>
                    <w:rPr>
                      <w:rFonts w:hint="eastAsia" w:ascii="宋体" w:hAnsi="宋体" w:cs="宋体"/>
                      <w:sz w:val="20"/>
                      <w:szCs w:val="20"/>
                    </w:rPr>
                    <w:t>敞口余额</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6B50DD79">
                  <w:pPr>
                    <w:jc w:val="center"/>
                    <w:rPr>
                      <w:rFonts w:hint="eastAsia" w:ascii="宋体" w:hAnsi="宋体" w:cs="宋体"/>
                      <w:sz w:val="20"/>
                      <w:szCs w:val="20"/>
                    </w:rPr>
                  </w:pPr>
                  <w:r>
                    <w:rPr>
                      <w:rFonts w:hint="eastAsia" w:ascii="宋体" w:hAnsi="宋体" w:cs="宋体"/>
                      <w:sz w:val="20"/>
                      <w:szCs w:val="20"/>
                    </w:rPr>
                    <w:t>业务起始日</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6FCCF248">
                  <w:pPr>
                    <w:jc w:val="center"/>
                    <w:rPr>
                      <w:rFonts w:hint="eastAsia" w:ascii="宋体" w:hAnsi="宋体" w:cs="宋体"/>
                      <w:sz w:val="20"/>
                      <w:szCs w:val="20"/>
                    </w:rPr>
                  </w:pPr>
                  <w:r>
                    <w:rPr>
                      <w:rFonts w:hint="eastAsia" w:ascii="宋体" w:hAnsi="宋体" w:cs="宋体"/>
                      <w:sz w:val="20"/>
                      <w:szCs w:val="20"/>
                    </w:rPr>
                    <w:t>业务到期日</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7359AE9C">
                  <w:pPr>
                    <w:jc w:val="center"/>
                    <w:rPr>
                      <w:rFonts w:hint="eastAsia" w:ascii="宋体" w:hAnsi="宋体" w:cs="宋体"/>
                      <w:sz w:val="20"/>
                      <w:szCs w:val="20"/>
                    </w:rPr>
                  </w:pPr>
                  <w:r>
                    <w:rPr>
                      <w:rFonts w:hint="eastAsia" w:ascii="宋体" w:hAnsi="宋体" w:cs="宋体"/>
                      <w:sz w:val="20"/>
                      <w:szCs w:val="20"/>
                    </w:rPr>
                    <w:t>担保方式</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0A05428">
                  <w:pPr>
                    <w:jc w:val="center"/>
                    <w:rPr>
                      <w:rFonts w:hint="eastAsia" w:ascii="宋体" w:hAnsi="宋体" w:cs="宋体"/>
                      <w:sz w:val="20"/>
                      <w:szCs w:val="20"/>
                    </w:rPr>
                  </w:pPr>
                  <w:r>
                    <w:rPr>
                      <w:rFonts w:hint="eastAsia" w:ascii="宋体" w:hAnsi="宋体" w:cs="宋体"/>
                      <w:sz w:val="20"/>
                      <w:szCs w:val="20"/>
                    </w:rPr>
                    <w:t>五级分类</w:t>
                  </w:r>
                </w:p>
              </w:tc>
            </w:tr>
            <w:tr w14:paraId="5A472127">
              <w:tblPrEx>
                <w:tblCellMar>
                  <w:top w:w="0" w:type="dxa"/>
                  <w:left w:w="108" w:type="dxa"/>
                  <w:bottom w:w="0" w:type="dxa"/>
                  <w:right w:w="108" w:type="dxa"/>
                </w:tblCellMar>
              </w:tblPrEx>
              <w:trPr>
                <w:trHeight w:val="48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5CDB44EF">
                  <w:pPr>
                    <w:jc w:val="center"/>
                    <w:rPr>
                      <w:rFonts w:hint="eastAsia" w:ascii="宋体" w:hAnsi="宋体" w:cs="宋体"/>
                      <w:sz w:val="20"/>
                      <w:szCs w:val="20"/>
                    </w:rPr>
                  </w:pPr>
                  <w:r>
                    <w:rPr>
                      <w:rFonts w:hint="eastAsia" w:ascii="宋体" w:hAnsi="宋体" w:cs="宋体"/>
                      <w:sz w:val="20"/>
                      <w:szCs w:val="20"/>
                    </w:rPr>
                    <w:t>交通银行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D7ADA48">
                  <w:pPr>
                    <w:jc w:val="center"/>
                    <w:rPr>
                      <w:rFonts w:hint="eastAsia" w:ascii="宋体" w:hAnsi="宋体" w:cs="宋体"/>
                      <w:sz w:val="20"/>
                      <w:szCs w:val="20"/>
                    </w:rPr>
                  </w:pPr>
                  <w:r>
                    <w:rPr>
                      <w:rFonts w:hint="eastAsia" w:ascii="宋体" w:hAnsi="宋体" w:cs="宋体"/>
                      <w:sz w:val="20"/>
                      <w:szCs w:val="20"/>
                    </w:rPr>
                    <w:t>流贷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B0E42AA">
                  <w:pPr>
                    <w:jc w:val="center"/>
                    <w:rPr>
                      <w:rFonts w:hint="eastAsia" w:ascii="宋体" w:hAnsi="宋体" w:cs="宋体"/>
                      <w:sz w:val="20"/>
                      <w:szCs w:val="20"/>
                    </w:rPr>
                  </w:pPr>
                  <w:r>
                    <w:rPr>
                      <w:rFonts w:hint="eastAsia" w:ascii="宋体" w:hAnsi="宋体" w:cs="宋体"/>
                      <w:sz w:val="20"/>
                      <w:szCs w:val="20"/>
                    </w:rPr>
                    <w:t>1000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01D56B5C">
                  <w:pPr>
                    <w:jc w:val="center"/>
                    <w:rPr>
                      <w:rFonts w:hint="eastAsia" w:ascii="宋体" w:hAnsi="宋体" w:cs="宋体"/>
                      <w:sz w:val="20"/>
                      <w:szCs w:val="20"/>
                    </w:rPr>
                  </w:pPr>
                  <w:r>
                    <w:rPr>
                      <w:rFonts w:hint="eastAsia" w:ascii="宋体" w:hAnsi="宋体" w:cs="宋体"/>
                      <w:sz w:val="20"/>
                      <w:szCs w:val="20"/>
                    </w:rPr>
                    <w:t>1000</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15F9F50C">
                  <w:pPr>
                    <w:jc w:val="center"/>
                    <w:rPr>
                      <w:rFonts w:hint="eastAsia" w:ascii="宋体" w:hAnsi="宋体" w:cs="宋体"/>
                      <w:sz w:val="20"/>
                      <w:szCs w:val="20"/>
                    </w:rPr>
                  </w:pPr>
                  <w:r>
                    <w:rPr>
                      <w:rFonts w:hint="eastAsia" w:ascii="宋体" w:hAnsi="宋体" w:cs="宋体"/>
                      <w:sz w:val="20"/>
                      <w:szCs w:val="20"/>
                    </w:rPr>
                    <w:t>2024.4.25</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5DEA9A3D">
                  <w:pPr>
                    <w:jc w:val="center"/>
                    <w:rPr>
                      <w:rFonts w:hint="eastAsia" w:ascii="宋体" w:hAnsi="宋体" w:cs="宋体"/>
                      <w:sz w:val="20"/>
                      <w:szCs w:val="20"/>
                    </w:rPr>
                  </w:pPr>
                  <w:r>
                    <w:rPr>
                      <w:rFonts w:hint="eastAsia" w:ascii="宋体" w:hAnsi="宋体" w:cs="宋体"/>
                      <w:sz w:val="20"/>
                      <w:szCs w:val="20"/>
                    </w:rPr>
                    <w:t>2026.4.25</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7D919FF0">
                  <w:pPr>
                    <w:jc w:val="center"/>
                    <w:rPr>
                      <w:rFonts w:hint="eastAsia" w:ascii="宋体" w:hAnsi="宋体" w:cs="宋体"/>
                      <w:sz w:val="20"/>
                      <w:szCs w:val="20"/>
                    </w:rPr>
                  </w:pPr>
                  <w:r>
                    <w:rPr>
                      <w:rFonts w:hint="eastAsia" w:ascii="宋体" w:hAnsi="宋体" w:cs="宋体"/>
                      <w:sz w:val="20"/>
                      <w:szCs w:val="20"/>
                    </w:rPr>
                    <w:t>信用</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A5CD5FF">
                  <w:pPr>
                    <w:jc w:val="center"/>
                    <w:rPr>
                      <w:rFonts w:hint="eastAsia" w:ascii="宋体" w:hAnsi="宋体" w:cs="宋体"/>
                      <w:sz w:val="20"/>
                      <w:szCs w:val="20"/>
                    </w:rPr>
                  </w:pPr>
                  <w:r>
                    <w:rPr>
                      <w:rFonts w:hint="eastAsia" w:ascii="宋体" w:hAnsi="宋体" w:cs="宋体"/>
                      <w:sz w:val="20"/>
                      <w:szCs w:val="20"/>
                    </w:rPr>
                    <w:t>正常</w:t>
                  </w:r>
                </w:p>
              </w:tc>
            </w:tr>
            <w:tr w14:paraId="01F602DD">
              <w:tblPrEx>
                <w:tblCellMar>
                  <w:top w:w="0" w:type="dxa"/>
                  <w:left w:w="108" w:type="dxa"/>
                  <w:bottom w:w="0" w:type="dxa"/>
                  <w:right w:w="108" w:type="dxa"/>
                </w:tblCellMar>
              </w:tblPrEx>
              <w:trPr>
                <w:trHeight w:val="48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168500A8">
                  <w:pPr>
                    <w:jc w:val="center"/>
                    <w:rPr>
                      <w:rFonts w:hint="eastAsia" w:ascii="宋体" w:hAnsi="宋体" w:cs="宋体"/>
                      <w:sz w:val="20"/>
                      <w:szCs w:val="20"/>
                    </w:rPr>
                  </w:pPr>
                  <w:r>
                    <w:rPr>
                      <w:rFonts w:hint="eastAsia" w:ascii="宋体" w:hAnsi="宋体" w:cs="宋体"/>
                      <w:sz w:val="20"/>
                      <w:szCs w:val="20"/>
                    </w:rPr>
                    <w:t>海峡银行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4438DB5">
                  <w:pPr>
                    <w:jc w:val="center"/>
                    <w:rPr>
                      <w:rFonts w:hint="eastAsia" w:ascii="宋体" w:hAnsi="宋体" w:cs="宋体"/>
                      <w:sz w:val="20"/>
                      <w:szCs w:val="20"/>
                    </w:rPr>
                  </w:pPr>
                  <w:r>
                    <w:rPr>
                      <w:rFonts w:hint="eastAsia" w:ascii="宋体" w:hAnsi="宋体" w:cs="宋体"/>
                      <w:sz w:val="20"/>
                      <w:szCs w:val="20"/>
                    </w:rPr>
                    <w:t>流贷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05731C25">
                  <w:pPr>
                    <w:jc w:val="center"/>
                    <w:rPr>
                      <w:rFonts w:hint="eastAsia" w:ascii="宋体" w:hAnsi="宋体" w:cs="宋体"/>
                      <w:sz w:val="20"/>
                      <w:szCs w:val="20"/>
                    </w:rPr>
                  </w:pPr>
                  <w:r>
                    <w:rPr>
                      <w:rFonts w:hint="eastAsia" w:ascii="宋体" w:hAnsi="宋体" w:cs="宋体"/>
                      <w:sz w:val="20"/>
                      <w:szCs w:val="20"/>
                    </w:rPr>
                    <w:t>500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E00BE6A">
                  <w:pPr>
                    <w:jc w:val="center"/>
                    <w:rPr>
                      <w:rFonts w:hint="eastAsia" w:ascii="宋体" w:hAnsi="宋体" w:cs="宋体"/>
                      <w:sz w:val="20"/>
                      <w:szCs w:val="20"/>
                    </w:rPr>
                  </w:pPr>
                  <w:r>
                    <w:rPr>
                      <w:rFonts w:hint="eastAsia" w:ascii="宋体" w:hAnsi="宋体" w:cs="宋体"/>
                      <w:sz w:val="20"/>
                      <w:szCs w:val="20"/>
                    </w:rPr>
                    <w:t>500</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71C06B5C">
                  <w:pPr>
                    <w:jc w:val="center"/>
                    <w:rPr>
                      <w:rFonts w:hint="eastAsia" w:ascii="宋体" w:hAnsi="宋体" w:cs="宋体"/>
                      <w:sz w:val="20"/>
                      <w:szCs w:val="20"/>
                    </w:rPr>
                  </w:pPr>
                  <w:r>
                    <w:rPr>
                      <w:rFonts w:hint="eastAsia" w:ascii="宋体" w:hAnsi="宋体" w:cs="宋体"/>
                      <w:sz w:val="20"/>
                      <w:szCs w:val="20"/>
                    </w:rPr>
                    <w:t>2025.10.15</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35EB4060">
                  <w:pPr>
                    <w:jc w:val="center"/>
                    <w:rPr>
                      <w:rFonts w:hint="eastAsia" w:ascii="宋体" w:hAnsi="宋体" w:cs="宋体"/>
                      <w:sz w:val="20"/>
                      <w:szCs w:val="20"/>
                    </w:rPr>
                  </w:pPr>
                  <w:r>
                    <w:rPr>
                      <w:rFonts w:hint="eastAsia" w:ascii="宋体" w:hAnsi="宋体" w:cs="宋体"/>
                      <w:sz w:val="20"/>
                      <w:szCs w:val="20"/>
                    </w:rPr>
                    <w:t>2026.10.15</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0744C1E8">
                  <w:pPr>
                    <w:jc w:val="center"/>
                    <w:rPr>
                      <w:rFonts w:hint="eastAsia" w:ascii="宋体" w:hAnsi="宋体" w:cs="宋体"/>
                      <w:sz w:val="20"/>
                      <w:szCs w:val="20"/>
                    </w:rPr>
                  </w:pPr>
                  <w:r>
                    <w:rPr>
                      <w:rFonts w:hint="eastAsia" w:ascii="宋体" w:hAnsi="宋体" w:cs="宋体"/>
                      <w:sz w:val="20"/>
                      <w:szCs w:val="20"/>
                    </w:rPr>
                    <w:t>保证</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77544B86">
                  <w:pPr>
                    <w:jc w:val="center"/>
                    <w:rPr>
                      <w:rFonts w:hint="eastAsia" w:ascii="宋体" w:hAnsi="宋体" w:cs="宋体"/>
                      <w:sz w:val="20"/>
                      <w:szCs w:val="20"/>
                    </w:rPr>
                  </w:pPr>
                  <w:r>
                    <w:rPr>
                      <w:rFonts w:hint="eastAsia" w:ascii="宋体" w:hAnsi="宋体" w:cs="宋体"/>
                      <w:sz w:val="20"/>
                      <w:szCs w:val="20"/>
                    </w:rPr>
                    <w:t>正常</w:t>
                  </w:r>
                </w:p>
              </w:tc>
            </w:tr>
            <w:tr w14:paraId="4BD3D1E8">
              <w:tblPrEx>
                <w:tblCellMar>
                  <w:top w:w="0" w:type="dxa"/>
                  <w:left w:w="108" w:type="dxa"/>
                  <w:bottom w:w="0" w:type="dxa"/>
                  <w:right w:w="108" w:type="dxa"/>
                </w:tblCellMar>
              </w:tblPrEx>
              <w:trPr>
                <w:trHeight w:val="27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2E0AFCD3">
                  <w:pPr>
                    <w:jc w:val="center"/>
                    <w:rPr>
                      <w:rFonts w:hint="eastAsia" w:ascii="宋体" w:hAnsi="宋体" w:cs="宋体"/>
                      <w:sz w:val="20"/>
                      <w:szCs w:val="20"/>
                    </w:rPr>
                  </w:pPr>
                  <w:r>
                    <w:rPr>
                      <w:rFonts w:hint="eastAsia" w:ascii="宋体" w:hAnsi="宋体" w:cs="宋体"/>
                      <w:sz w:val="20"/>
                      <w:szCs w:val="20"/>
                    </w:rPr>
                    <w:t>中国银行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435C82D2">
                  <w:pPr>
                    <w:jc w:val="center"/>
                    <w:rPr>
                      <w:rFonts w:hint="eastAsia" w:ascii="宋体" w:hAnsi="宋体" w:cs="宋体"/>
                      <w:sz w:val="20"/>
                      <w:szCs w:val="20"/>
                    </w:rPr>
                  </w:pPr>
                  <w:r>
                    <w:rPr>
                      <w:rFonts w:hint="eastAsia" w:ascii="宋体" w:hAnsi="宋体" w:cs="宋体"/>
                      <w:sz w:val="20"/>
                      <w:szCs w:val="20"/>
                    </w:rPr>
                    <w:t>流贷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2D276FA1">
                  <w:pPr>
                    <w:jc w:val="center"/>
                    <w:rPr>
                      <w:rFonts w:hint="eastAsia" w:ascii="宋体" w:hAnsi="宋体" w:cs="宋体"/>
                      <w:sz w:val="20"/>
                      <w:szCs w:val="20"/>
                    </w:rPr>
                  </w:pPr>
                  <w:r>
                    <w:rPr>
                      <w:rFonts w:hint="eastAsia" w:ascii="宋体" w:hAnsi="宋体" w:cs="宋体"/>
                      <w:sz w:val="20"/>
                      <w:szCs w:val="20"/>
                    </w:rPr>
                    <w:t>700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0156622">
                  <w:pPr>
                    <w:jc w:val="center"/>
                    <w:rPr>
                      <w:rFonts w:hint="eastAsia" w:ascii="宋体" w:hAnsi="宋体" w:cs="宋体"/>
                      <w:sz w:val="20"/>
                      <w:szCs w:val="20"/>
                    </w:rPr>
                  </w:pPr>
                  <w:r>
                    <w:rPr>
                      <w:rFonts w:hint="eastAsia" w:ascii="宋体" w:hAnsi="宋体" w:cs="宋体"/>
                      <w:sz w:val="20"/>
                      <w:szCs w:val="20"/>
                    </w:rPr>
                    <w:t>600</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16E6556A">
                  <w:pPr>
                    <w:jc w:val="center"/>
                    <w:rPr>
                      <w:rFonts w:hint="eastAsia" w:ascii="宋体" w:hAnsi="宋体" w:cs="宋体"/>
                      <w:sz w:val="20"/>
                      <w:szCs w:val="20"/>
                    </w:rPr>
                  </w:pPr>
                  <w:r>
                    <w:rPr>
                      <w:rFonts w:hint="eastAsia" w:ascii="宋体" w:hAnsi="宋体" w:cs="宋体"/>
                      <w:sz w:val="20"/>
                      <w:szCs w:val="20"/>
                    </w:rPr>
                    <w:t>2026.1.4</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619F0054">
                  <w:pPr>
                    <w:jc w:val="center"/>
                    <w:rPr>
                      <w:rFonts w:hint="eastAsia" w:ascii="宋体" w:hAnsi="宋体" w:cs="宋体"/>
                      <w:sz w:val="20"/>
                      <w:szCs w:val="20"/>
                    </w:rPr>
                  </w:pPr>
                  <w:r>
                    <w:rPr>
                      <w:rFonts w:hint="eastAsia" w:ascii="宋体" w:hAnsi="宋体" w:cs="宋体"/>
                      <w:sz w:val="20"/>
                      <w:szCs w:val="20"/>
                    </w:rPr>
                    <w:t>2027.1.4</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661ABF37">
                  <w:pPr>
                    <w:jc w:val="center"/>
                    <w:rPr>
                      <w:rFonts w:hint="eastAsia" w:ascii="宋体" w:hAnsi="宋体" w:cs="宋体"/>
                      <w:sz w:val="20"/>
                      <w:szCs w:val="20"/>
                    </w:rPr>
                  </w:pPr>
                  <w:r>
                    <w:rPr>
                      <w:rFonts w:hint="eastAsia" w:ascii="宋体" w:hAnsi="宋体" w:cs="宋体"/>
                      <w:sz w:val="20"/>
                      <w:szCs w:val="20"/>
                    </w:rPr>
                    <w:t>信用+保证</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4BFBB4">
                  <w:pPr>
                    <w:jc w:val="center"/>
                    <w:rPr>
                      <w:rFonts w:hint="eastAsia" w:ascii="宋体" w:hAnsi="宋体" w:cs="宋体"/>
                      <w:sz w:val="20"/>
                      <w:szCs w:val="20"/>
                    </w:rPr>
                  </w:pPr>
                  <w:r>
                    <w:rPr>
                      <w:rFonts w:hint="eastAsia" w:ascii="宋体" w:hAnsi="宋体" w:cs="宋体"/>
                      <w:sz w:val="20"/>
                      <w:szCs w:val="20"/>
                    </w:rPr>
                    <w:t>正常</w:t>
                  </w:r>
                </w:p>
              </w:tc>
            </w:tr>
            <w:tr w14:paraId="349C7C28">
              <w:tblPrEx>
                <w:tblCellMar>
                  <w:top w:w="0" w:type="dxa"/>
                  <w:left w:w="108" w:type="dxa"/>
                  <w:bottom w:w="0" w:type="dxa"/>
                  <w:right w:w="108" w:type="dxa"/>
                </w:tblCellMar>
              </w:tblPrEx>
              <w:trPr>
                <w:trHeight w:val="27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001F2C0C">
                  <w:pPr>
                    <w:jc w:val="center"/>
                    <w:rPr>
                      <w:rFonts w:hint="eastAsia" w:ascii="宋体" w:hAnsi="宋体" w:cs="宋体"/>
                      <w:sz w:val="20"/>
                      <w:szCs w:val="20"/>
                    </w:rPr>
                  </w:pPr>
                  <w:r>
                    <w:rPr>
                      <w:rFonts w:hint="eastAsia" w:ascii="宋体" w:hAnsi="宋体" w:cs="宋体"/>
                      <w:sz w:val="20"/>
                      <w:szCs w:val="20"/>
                    </w:rPr>
                    <w:t>广发银行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60D6C3D">
                  <w:pPr>
                    <w:jc w:val="center"/>
                    <w:rPr>
                      <w:rFonts w:hint="eastAsia" w:ascii="宋体" w:hAnsi="宋体" w:cs="宋体"/>
                      <w:sz w:val="20"/>
                      <w:szCs w:val="20"/>
                    </w:rPr>
                  </w:pPr>
                  <w:r>
                    <w:rPr>
                      <w:rFonts w:hint="eastAsia" w:ascii="宋体" w:hAnsi="宋体" w:cs="宋体"/>
                      <w:sz w:val="20"/>
                      <w:szCs w:val="20"/>
                    </w:rPr>
                    <w:t>流贷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37E6F76">
                  <w:pPr>
                    <w:jc w:val="center"/>
                    <w:rPr>
                      <w:rFonts w:hint="eastAsia" w:ascii="宋体" w:hAnsi="宋体" w:cs="宋体"/>
                      <w:sz w:val="20"/>
                      <w:szCs w:val="20"/>
                    </w:rPr>
                  </w:pPr>
                  <w:r>
                    <w:rPr>
                      <w:rFonts w:hint="eastAsia" w:ascii="宋体" w:hAnsi="宋体" w:cs="宋体"/>
                      <w:sz w:val="20"/>
                      <w:szCs w:val="20"/>
                    </w:rPr>
                    <w:t>400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522249E8">
                  <w:pPr>
                    <w:jc w:val="center"/>
                    <w:rPr>
                      <w:rFonts w:hint="eastAsia" w:ascii="宋体" w:hAnsi="宋体" w:cs="宋体"/>
                      <w:sz w:val="20"/>
                      <w:szCs w:val="20"/>
                    </w:rPr>
                  </w:pPr>
                  <w:r>
                    <w:rPr>
                      <w:rFonts w:hint="eastAsia" w:ascii="宋体" w:hAnsi="宋体" w:cs="宋体"/>
                      <w:sz w:val="20"/>
                      <w:szCs w:val="20"/>
                    </w:rPr>
                    <w:t>284</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0BDA3ED3">
                  <w:pPr>
                    <w:jc w:val="center"/>
                    <w:rPr>
                      <w:rFonts w:hint="eastAsia" w:ascii="宋体" w:hAnsi="宋体" w:cs="宋体"/>
                      <w:sz w:val="20"/>
                      <w:szCs w:val="20"/>
                    </w:rPr>
                  </w:pPr>
                  <w:r>
                    <w:rPr>
                      <w:rFonts w:hint="eastAsia" w:ascii="宋体" w:hAnsi="宋体" w:cs="宋体"/>
                      <w:sz w:val="20"/>
                      <w:szCs w:val="20"/>
                    </w:rPr>
                    <w:t>2026.1.23</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6175E2C0">
                  <w:pPr>
                    <w:jc w:val="center"/>
                    <w:rPr>
                      <w:rFonts w:hint="eastAsia" w:ascii="宋体" w:hAnsi="宋体" w:cs="宋体"/>
                      <w:sz w:val="20"/>
                      <w:szCs w:val="20"/>
                    </w:rPr>
                  </w:pPr>
                  <w:r>
                    <w:rPr>
                      <w:rFonts w:hint="eastAsia" w:ascii="宋体" w:hAnsi="宋体" w:cs="宋体"/>
                      <w:sz w:val="20"/>
                      <w:szCs w:val="20"/>
                    </w:rPr>
                    <w:t>2027.1.22</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01EED5AE">
                  <w:pPr>
                    <w:jc w:val="center"/>
                    <w:rPr>
                      <w:rFonts w:hint="eastAsia" w:ascii="宋体" w:hAnsi="宋体" w:cs="宋体"/>
                      <w:sz w:val="20"/>
                      <w:szCs w:val="20"/>
                    </w:rPr>
                  </w:pPr>
                  <w:r>
                    <w:rPr>
                      <w:rFonts w:hint="eastAsia" w:ascii="宋体" w:hAnsi="宋体" w:cs="宋体"/>
                      <w:sz w:val="20"/>
                      <w:szCs w:val="20"/>
                    </w:rPr>
                    <w:t>保证</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10D5611">
                  <w:pPr>
                    <w:jc w:val="center"/>
                    <w:rPr>
                      <w:rFonts w:hint="eastAsia" w:ascii="宋体" w:hAnsi="宋体" w:cs="宋体"/>
                      <w:sz w:val="20"/>
                      <w:szCs w:val="20"/>
                    </w:rPr>
                  </w:pPr>
                  <w:r>
                    <w:rPr>
                      <w:rFonts w:hint="eastAsia" w:ascii="宋体" w:hAnsi="宋体" w:cs="宋体"/>
                      <w:sz w:val="20"/>
                      <w:szCs w:val="20"/>
                    </w:rPr>
                    <w:t>正常</w:t>
                  </w:r>
                </w:p>
              </w:tc>
            </w:tr>
            <w:tr w14:paraId="00183283">
              <w:tblPrEx>
                <w:tblCellMar>
                  <w:top w:w="0" w:type="dxa"/>
                  <w:left w:w="108" w:type="dxa"/>
                  <w:bottom w:w="0" w:type="dxa"/>
                  <w:right w:w="108" w:type="dxa"/>
                </w:tblCellMar>
              </w:tblPrEx>
              <w:trPr>
                <w:trHeight w:val="27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1C55E790">
                  <w:pPr>
                    <w:jc w:val="center"/>
                    <w:rPr>
                      <w:rFonts w:hint="eastAsia" w:ascii="宋体" w:hAnsi="宋体" w:cs="宋体"/>
                      <w:sz w:val="20"/>
                      <w:szCs w:val="20"/>
                    </w:rPr>
                  </w:pPr>
                  <w:r>
                    <w:rPr>
                      <w:rFonts w:hint="eastAsia" w:ascii="宋体" w:hAnsi="宋体" w:cs="宋体"/>
                      <w:sz w:val="20"/>
                      <w:szCs w:val="20"/>
                    </w:rPr>
                    <w:t>厦门国际银行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B95743D">
                  <w:pPr>
                    <w:jc w:val="center"/>
                    <w:rPr>
                      <w:rFonts w:hint="eastAsia" w:ascii="宋体" w:hAnsi="宋体" w:cs="宋体"/>
                      <w:sz w:val="20"/>
                      <w:szCs w:val="20"/>
                    </w:rPr>
                  </w:pPr>
                  <w:r>
                    <w:rPr>
                      <w:rFonts w:hint="eastAsia" w:ascii="宋体" w:hAnsi="宋体" w:cs="宋体"/>
                      <w:sz w:val="20"/>
                      <w:szCs w:val="20"/>
                    </w:rPr>
                    <w:t>流贷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4F4103C">
                  <w:pPr>
                    <w:jc w:val="center"/>
                    <w:rPr>
                      <w:rFonts w:hint="eastAsia" w:ascii="宋体" w:hAnsi="宋体" w:cs="宋体"/>
                      <w:sz w:val="20"/>
                      <w:szCs w:val="20"/>
                    </w:rPr>
                  </w:pPr>
                  <w:r>
                    <w:rPr>
                      <w:rFonts w:hint="eastAsia" w:ascii="宋体" w:hAnsi="宋体" w:cs="宋体"/>
                      <w:sz w:val="20"/>
                      <w:szCs w:val="20"/>
                    </w:rPr>
                    <w:t>640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52A717E8">
                  <w:pPr>
                    <w:jc w:val="center"/>
                    <w:rPr>
                      <w:rFonts w:hint="eastAsia" w:ascii="宋体" w:hAnsi="宋体" w:cs="宋体"/>
                      <w:sz w:val="20"/>
                      <w:szCs w:val="20"/>
                    </w:rPr>
                  </w:pPr>
                  <w:r>
                    <w:rPr>
                      <w:rFonts w:hint="eastAsia" w:ascii="宋体" w:hAnsi="宋体" w:cs="宋体"/>
                      <w:sz w:val="20"/>
                      <w:szCs w:val="20"/>
                    </w:rPr>
                    <w:t>640</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5048DC80">
                  <w:pPr>
                    <w:jc w:val="center"/>
                    <w:rPr>
                      <w:rFonts w:hint="eastAsia" w:ascii="宋体" w:hAnsi="宋体" w:cs="宋体"/>
                      <w:sz w:val="20"/>
                      <w:szCs w:val="20"/>
                    </w:rPr>
                  </w:pPr>
                  <w:r>
                    <w:rPr>
                      <w:rFonts w:hint="eastAsia" w:ascii="宋体" w:hAnsi="宋体" w:cs="宋体"/>
                      <w:sz w:val="20"/>
                      <w:szCs w:val="20"/>
                    </w:rPr>
                    <w:t>2025.11.21</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2CA5A160">
                  <w:pPr>
                    <w:jc w:val="center"/>
                    <w:rPr>
                      <w:rFonts w:hint="eastAsia" w:ascii="宋体" w:hAnsi="宋体" w:cs="宋体"/>
                      <w:sz w:val="20"/>
                      <w:szCs w:val="20"/>
                    </w:rPr>
                  </w:pPr>
                  <w:r>
                    <w:rPr>
                      <w:rFonts w:hint="eastAsia" w:ascii="宋体" w:hAnsi="宋体" w:cs="宋体"/>
                      <w:sz w:val="20"/>
                      <w:szCs w:val="20"/>
                    </w:rPr>
                    <w:t>2026.11.20</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2C65D7B8">
                  <w:pPr>
                    <w:jc w:val="center"/>
                    <w:rPr>
                      <w:rFonts w:hint="eastAsia" w:ascii="宋体" w:hAnsi="宋体" w:cs="宋体"/>
                      <w:sz w:val="20"/>
                      <w:szCs w:val="20"/>
                    </w:rPr>
                  </w:pPr>
                  <w:r>
                    <w:rPr>
                      <w:rFonts w:hint="eastAsia" w:ascii="宋体" w:hAnsi="宋体" w:cs="宋体"/>
                      <w:sz w:val="20"/>
                      <w:szCs w:val="20"/>
                    </w:rPr>
                    <w:t>保证</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E989F56">
                  <w:pPr>
                    <w:jc w:val="center"/>
                    <w:rPr>
                      <w:rFonts w:hint="eastAsia" w:ascii="宋体" w:hAnsi="宋体" w:cs="宋体"/>
                      <w:sz w:val="20"/>
                      <w:szCs w:val="20"/>
                    </w:rPr>
                  </w:pPr>
                  <w:r>
                    <w:rPr>
                      <w:rFonts w:hint="eastAsia" w:ascii="宋体" w:hAnsi="宋体" w:cs="宋体"/>
                      <w:sz w:val="20"/>
                      <w:szCs w:val="20"/>
                    </w:rPr>
                    <w:t>正常</w:t>
                  </w:r>
                </w:p>
              </w:tc>
            </w:tr>
            <w:tr w14:paraId="73F71F9C">
              <w:tblPrEx>
                <w:tblCellMar>
                  <w:top w:w="0" w:type="dxa"/>
                  <w:left w:w="108" w:type="dxa"/>
                  <w:bottom w:w="0" w:type="dxa"/>
                  <w:right w:w="108" w:type="dxa"/>
                </w:tblCellMar>
              </w:tblPrEx>
              <w:trPr>
                <w:trHeight w:val="27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4B259F79">
                  <w:pPr>
                    <w:jc w:val="center"/>
                    <w:rPr>
                      <w:rFonts w:hint="eastAsia" w:ascii="宋体" w:hAnsi="宋体" w:cs="宋体"/>
                      <w:sz w:val="20"/>
                      <w:szCs w:val="20"/>
                    </w:rPr>
                  </w:pPr>
                  <w:r>
                    <w:rPr>
                      <w:rFonts w:hint="eastAsia" w:ascii="宋体" w:hAnsi="宋体" w:cs="宋体"/>
                      <w:sz w:val="20"/>
                      <w:szCs w:val="20"/>
                    </w:rPr>
                    <w:t>兴业银行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A925D58">
                  <w:pPr>
                    <w:jc w:val="center"/>
                    <w:rPr>
                      <w:rFonts w:hint="eastAsia" w:ascii="宋体" w:hAnsi="宋体" w:cs="宋体"/>
                      <w:sz w:val="20"/>
                      <w:szCs w:val="20"/>
                    </w:rPr>
                  </w:pPr>
                  <w:r>
                    <w:rPr>
                      <w:rFonts w:hint="eastAsia" w:ascii="宋体" w:hAnsi="宋体" w:cs="宋体"/>
                      <w:sz w:val="20"/>
                      <w:szCs w:val="20"/>
                    </w:rPr>
                    <w:t>流贷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22D471D1">
                  <w:pPr>
                    <w:jc w:val="center"/>
                    <w:rPr>
                      <w:rFonts w:hint="eastAsia" w:ascii="宋体" w:hAnsi="宋体" w:cs="宋体"/>
                      <w:sz w:val="20"/>
                      <w:szCs w:val="20"/>
                    </w:rPr>
                  </w:pPr>
                  <w:r>
                    <w:rPr>
                      <w:rFonts w:hint="eastAsia" w:ascii="宋体" w:hAnsi="宋体" w:cs="宋体"/>
                      <w:sz w:val="20"/>
                      <w:szCs w:val="20"/>
                    </w:rPr>
                    <w:t>1000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593B632B">
                  <w:pPr>
                    <w:jc w:val="center"/>
                    <w:rPr>
                      <w:rFonts w:hint="eastAsia" w:ascii="宋体" w:hAnsi="宋体" w:cs="宋体"/>
                      <w:sz w:val="20"/>
                      <w:szCs w:val="20"/>
                    </w:rPr>
                  </w:pPr>
                  <w:r>
                    <w:rPr>
                      <w:rFonts w:hint="eastAsia" w:ascii="宋体" w:hAnsi="宋体" w:cs="宋体"/>
                      <w:sz w:val="20"/>
                      <w:szCs w:val="20"/>
                    </w:rPr>
                    <w:t>1000</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6E508059">
                  <w:pPr>
                    <w:jc w:val="center"/>
                    <w:rPr>
                      <w:rFonts w:hint="eastAsia" w:ascii="宋体" w:hAnsi="宋体" w:cs="宋体"/>
                      <w:sz w:val="20"/>
                      <w:szCs w:val="20"/>
                    </w:rPr>
                  </w:pPr>
                  <w:r>
                    <w:rPr>
                      <w:rFonts w:hint="eastAsia" w:ascii="宋体" w:hAnsi="宋体" w:cs="宋体"/>
                      <w:sz w:val="20"/>
                      <w:szCs w:val="20"/>
                    </w:rPr>
                    <w:t>2025.11.25</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0BC80A52">
                  <w:pPr>
                    <w:jc w:val="center"/>
                    <w:rPr>
                      <w:rFonts w:hint="eastAsia" w:ascii="宋体" w:hAnsi="宋体" w:cs="宋体"/>
                      <w:sz w:val="20"/>
                      <w:szCs w:val="20"/>
                    </w:rPr>
                  </w:pPr>
                  <w:r>
                    <w:rPr>
                      <w:rFonts w:hint="eastAsia" w:ascii="宋体" w:hAnsi="宋体" w:cs="宋体"/>
                      <w:sz w:val="20"/>
                      <w:szCs w:val="20"/>
                    </w:rPr>
                    <w:t>2026.11.24</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104E279C">
                  <w:pPr>
                    <w:jc w:val="center"/>
                    <w:rPr>
                      <w:rFonts w:hint="eastAsia" w:ascii="宋体" w:hAnsi="宋体" w:cs="宋体"/>
                      <w:sz w:val="20"/>
                      <w:szCs w:val="20"/>
                    </w:rPr>
                  </w:pPr>
                  <w:r>
                    <w:rPr>
                      <w:rFonts w:hint="eastAsia" w:ascii="宋体" w:hAnsi="宋体" w:cs="宋体"/>
                      <w:sz w:val="20"/>
                      <w:szCs w:val="20"/>
                    </w:rPr>
                    <w:t>保证</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246CF75">
                  <w:pPr>
                    <w:jc w:val="center"/>
                    <w:rPr>
                      <w:rFonts w:hint="eastAsia" w:ascii="宋体" w:hAnsi="宋体" w:cs="宋体"/>
                      <w:sz w:val="20"/>
                      <w:szCs w:val="20"/>
                    </w:rPr>
                  </w:pPr>
                  <w:r>
                    <w:rPr>
                      <w:rFonts w:hint="eastAsia" w:ascii="宋体" w:hAnsi="宋体" w:cs="宋体"/>
                      <w:sz w:val="20"/>
                      <w:szCs w:val="20"/>
                    </w:rPr>
                    <w:t>正常</w:t>
                  </w:r>
                </w:p>
              </w:tc>
            </w:tr>
            <w:tr w14:paraId="059E6962">
              <w:tblPrEx>
                <w:tblCellMar>
                  <w:top w:w="0" w:type="dxa"/>
                  <w:left w:w="108" w:type="dxa"/>
                  <w:bottom w:w="0" w:type="dxa"/>
                  <w:right w:w="108" w:type="dxa"/>
                </w:tblCellMar>
              </w:tblPrEx>
              <w:trPr>
                <w:trHeight w:val="27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75A49A">
                  <w:pPr>
                    <w:jc w:val="center"/>
                    <w:rPr>
                      <w:rFonts w:hint="eastAsia" w:ascii="宋体" w:hAnsi="宋体" w:cs="宋体"/>
                      <w:sz w:val="20"/>
                      <w:szCs w:val="20"/>
                    </w:rPr>
                  </w:pPr>
                  <w:r>
                    <w:rPr>
                      <w:rFonts w:hint="eastAsia" w:ascii="宋体" w:hAnsi="宋体" w:cs="宋体"/>
                      <w:sz w:val="20"/>
                      <w:szCs w:val="20"/>
                    </w:rPr>
                    <w:t>工商银行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40ED3CED">
                  <w:pPr>
                    <w:jc w:val="center"/>
                    <w:rPr>
                      <w:rFonts w:hint="eastAsia" w:ascii="宋体" w:hAnsi="宋体" w:cs="宋体"/>
                      <w:sz w:val="20"/>
                      <w:szCs w:val="20"/>
                    </w:rPr>
                  </w:pPr>
                  <w:r>
                    <w:rPr>
                      <w:rFonts w:hint="eastAsia" w:ascii="宋体" w:hAnsi="宋体" w:cs="宋体"/>
                      <w:sz w:val="20"/>
                      <w:szCs w:val="20"/>
                    </w:rPr>
                    <w:t>流贷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524295E5">
                  <w:pPr>
                    <w:jc w:val="center"/>
                    <w:rPr>
                      <w:rFonts w:hint="eastAsia" w:ascii="宋体" w:hAnsi="宋体" w:cs="宋体"/>
                      <w:sz w:val="20"/>
                      <w:szCs w:val="20"/>
                    </w:rPr>
                  </w:pPr>
                  <w:r>
                    <w:rPr>
                      <w:rFonts w:hint="eastAsia" w:ascii="宋体" w:hAnsi="宋体" w:cs="宋体"/>
                      <w:sz w:val="20"/>
                      <w:szCs w:val="20"/>
                    </w:rPr>
                    <w:t>500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6FEC4EAF">
                  <w:pPr>
                    <w:jc w:val="center"/>
                    <w:rPr>
                      <w:rFonts w:hint="eastAsia" w:ascii="宋体" w:hAnsi="宋体" w:cs="宋体"/>
                      <w:sz w:val="20"/>
                      <w:szCs w:val="20"/>
                    </w:rPr>
                  </w:pPr>
                  <w:r>
                    <w:rPr>
                      <w:rFonts w:hint="eastAsia" w:ascii="宋体" w:hAnsi="宋体" w:cs="宋体"/>
                      <w:sz w:val="20"/>
                      <w:szCs w:val="20"/>
                    </w:rPr>
                    <w:t>500</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7DC6DC11">
                  <w:pPr>
                    <w:jc w:val="center"/>
                    <w:rPr>
                      <w:rFonts w:hint="eastAsia" w:ascii="宋体" w:hAnsi="宋体" w:cs="宋体"/>
                      <w:sz w:val="20"/>
                      <w:szCs w:val="20"/>
                    </w:rPr>
                  </w:pPr>
                  <w:r>
                    <w:rPr>
                      <w:rFonts w:hint="eastAsia" w:ascii="宋体" w:hAnsi="宋体" w:cs="宋体"/>
                      <w:sz w:val="20"/>
                      <w:szCs w:val="20"/>
                    </w:rPr>
                    <w:t>2025.12.2</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1885F329">
                  <w:pPr>
                    <w:jc w:val="center"/>
                    <w:rPr>
                      <w:rFonts w:hint="eastAsia" w:ascii="宋体" w:hAnsi="宋体" w:cs="宋体"/>
                      <w:sz w:val="20"/>
                      <w:szCs w:val="20"/>
                    </w:rPr>
                  </w:pPr>
                  <w:r>
                    <w:rPr>
                      <w:rFonts w:hint="eastAsia" w:ascii="宋体" w:hAnsi="宋体" w:cs="宋体"/>
                      <w:sz w:val="20"/>
                      <w:szCs w:val="20"/>
                    </w:rPr>
                    <w:t>2026.12.2</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0B60435E">
                  <w:pPr>
                    <w:jc w:val="center"/>
                    <w:rPr>
                      <w:rFonts w:hint="eastAsia" w:ascii="宋体" w:hAnsi="宋体" w:cs="宋体"/>
                      <w:sz w:val="20"/>
                      <w:szCs w:val="20"/>
                    </w:rPr>
                  </w:pPr>
                  <w:r>
                    <w:rPr>
                      <w:rFonts w:hint="eastAsia" w:ascii="宋体" w:hAnsi="宋体" w:cs="宋体"/>
                      <w:sz w:val="20"/>
                      <w:szCs w:val="20"/>
                    </w:rPr>
                    <w:t>信用</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F4EF81B">
                  <w:pPr>
                    <w:jc w:val="center"/>
                    <w:rPr>
                      <w:rFonts w:hint="eastAsia" w:ascii="宋体" w:hAnsi="宋体" w:cs="宋体"/>
                      <w:sz w:val="20"/>
                      <w:szCs w:val="20"/>
                    </w:rPr>
                  </w:pPr>
                  <w:r>
                    <w:rPr>
                      <w:rFonts w:hint="eastAsia" w:ascii="宋体" w:hAnsi="宋体" w:cs="宋体"/>
                      <w:sz w:val="20"/>
                      <w:szCs w:val="20"/>
                    </w:rPr>
                    <w:t>正常</w:t>
                  </w:r>
                </w:p>
              </w:tc>
            </w:tr>
            <w:tr w14:paraId="1CC22D50">
              <w:tblPrEx>
                <w:tblCellMar>
                  <w:top w:w="0" w:type="dxa"/>
                  <w:left w:w="108" w:type="dxa"/>
                  <w:bottom w:w="0" w:type="dxa"/>
                  <w:right w:w="108" w:type="dxa"/>
                </w:tblCellMar>
              </w:tblPrEx>
              <w:trPr>
                <w:trHeight w:val="27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5D5A2482">
                  <w:pPr>
                    <w:jc w:val="center"/>
                    <w:rPr>
                      <w:rFonts w:hint="eastAsia" w:ascii="宋体" w:hAnsi="宋体" w:cs="宋体"/>
                      <w:sz w:val="20"/>
                      <w:szCs w:val="20"/>
                    </w:rPr>
                  </w:pPr>
                  <w:r>
                    <w:rPr>
                      <w:rFonts w:hint="eastAsia" w:ascii="宋体" w:hAnsi="宋体" w:cs="宋体"/>
                      <w:sz w:val="20"/>
                      <w:szCs w:val="20"/>
                    </w:rPr>
                    <w:t>招商银行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0164AA90">
                  <w:pPr>
                    <w:jc w:val="center"/>
                    <w:rPr>
                      <w:rFonts w:hint="eastAsia" w:ascii="宋体" w:hAnsi="宋体" w:cs="宋体"/>
                      <w:sz w:val="20"/>
                      <w:szCs w:val="20"/>
                    </w:rPr>
                  </w:pPr>
                  <w:r>
                    <w:rPr>
                      <w:rFonts w:hint="eastAsia" w:ascii="宋体" w:hAnsi="宋体" w:cs="宋体"/>
                      <w:sz w:val="20"/>
                      <w:szCs w:val="20"/>
                    </w:rPr>
                    <w:t>保函</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59294E46">
                  <w:pPr>
                    <w:jc w:val="center"/>
                    <w:rPr>
                      <w:rFonts w:hint="eastAsia" w:ascii="宋体" w:hAnsi="宋体" w:cs="宋体"/>
                      <w:sz w:val="20"/>
                      <w:szCs w:val="20"/>
                    </w:rPr>
                  </w:pPr>
                  <w:r>
                    <w:rPr>
                      <w:rFonts w:hint="eastAsia" w:ascii="宋体" w:hAnsi="宋体" w:cs="宋体"/>
                      <w:sz w:val="20"/>
                      <w:szCs w:val="20"/>
                    </w:rPr>
                    <w:t>-</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2BB59795">
                  <w:pPr>
                    <w:jc w:val="center"/>
                    <w:rPr>
                      <w:rFonts w:hint="eastAsia" w:ascii="宋体" w:hAnsi="宋体" w:cs="宋体"/>
                      <w:sz w:val="20"/>
                      <w:szCs w:val="20"/>
                    </w:rPr>
                  </w:pPr>
                  <w:r>
                    <w:rPr>
                      <w:rFonts w:hint="eastAsia" w:ascii="宋体" w:hAnsi="宋体" w:cs="宋体"/>
                      <w:sz w:val="20"/>
                      <w:szCs w:val="20"/>
                    </w:rPr>
                    <w:t>-</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54266400">
                  <w:pPr>
                    <w:jc w:val="center"/>
                    <w:rPr>
                      <w:rFonts w:hint="eastAsia" w:ascii="宋体" w:hAnsi="宋体" w:cs="宋体"/>
                      <w:sz w:val="20"/>
                      <w:szCs w:val="20"/>
                    </w:rPr>
                  </w:pPr>
                  <w:r>
                    <w:rPr>
                      <w:rFonts w:hint="eastAsia" w:ascii="宋体" w:hAnsi="宋体" w:cs="宋体"/>
                      <w:sz w:val="20"/>
                      <w:szCs w:val="20"/>
                    </w:rPr>
                    <w:t>-</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349F4306">
                  <w:pPr>
                    <w:jc w:val="center"/>
                    <w:rPr>
                      <w:rFonts w:hint="eastAsia" w:ascii="宋体" w:hAnsi="宋体" w:cs="宋体"/>
                      <w:sz w:val="20"/>
                      <w:szCs w:val="20"/>
                    </w:rPr>
                  </w:pPr>
                  <w:r>
                    <w:rPr>
                      <w:rFonts w:hint="eastAsia" w:ascii="宋体" w:hAnsi="宋体" w:cs="宋体"/>
                      <w:sz w:val="20"/>
                      <w:szCs w:val="20"/>
                    </w:rPr>
                    <w:t>-</w:t>
                  </w: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66AE2EFC">
                  <w:pPr>
                    <w:jc w:val="center"/>
                    <w:rPr>
                      <w:rFonts w:hint="eastAsia" w:ascii="宋体" w:hAnsi="宋体" w:cs="宋体"/>
                      <w:sz w:val="20"/>
                      <w:szCs w:val="20"/>
                    </w:rPr>
                  </w:pPr>
                  <w:r>
                    <w:rPr>
                      <w:rFonts w:hint="eastAsia" w:ascii="宋体" w:hAnsi="宋体" w:cs="宋体"/>
                      <w:sz w:val="20"/>
                      <w:szCs w:val="20"/>
                    </w:rPr>
                    <w:t>-</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0B989E03">
                  <w:pPr>
                    <w:jc w:val="center"/>
                    <w:rPr>
                      <w:rFonts w:hint="eastAsia" w:ascii="宋体" w:hAnsi="宋体" w:cs="宋体"/>
                      <w:sz w:val="20"/>
                      <w:szCs w:val="20"/>
                    </w:rPr>
                  </w:pPr>
                  <w:r>
                    <w:rPr>
                      <w:rFonts w:hint="eastAsia" w:ascii="宋体" w:hAnsi="宋体" w:cs="宋体"/>
                      <w:sz w:val="20"/>
                      <w:szCs w:val="20"/>
                    </w:rPr>
                    <w:t>正常</w:t>
                  </w:r>
                </w:p>
              </w:tc>
            </w:tr>
            <w:tr w14:paraId="2DC857C7">
              <w:tblPrEx>
                <w:tblCellMar>
                  <w:top w:w="0" w:type="dxa"/>
                  <w:left w:w="108" w:type="dxa"/>
                  <w:bottom w:w="0" w:type="dxa"/>
                  <w:right w:w="108" w:type="dxa"/>
                </w:tblCellMar>
              </w:tblPrEx>
              <w:trPr>
                <w:trHeight w:val="270" w:hRule="atLeast"/>
                <w:jc w:val="center"/>
              </w:trPr>
              <w:tc>
                <w:tcPr>
                  <w:tcW w:w="625" w:type="pct"/>
                  <w:tcBorders>
                    <w:top w:val="single" w:color="000000" w:sz="4" w:space="0"/>
                    <w:left w:val="single" w:color="000000" w:sz="4" w:space="0"/>
                    <w:bottom w:val="single" w:color="000000" w:sz="4" w:space="0"/>
                    <w:right w:val="single" w:color="000000" w:sz="4" w:space="0"/>
                  </w:tcBorders>
                  <w:noWrap w:val="0"/>
                  <w:vAlign w:val="center"/>
                </w:tcPr>
                <w:p w14:paraId="0CE9797A">
                  <w:pPr>
                    <w:jc w:val="center"/>
                    <w:rPr>
                      <w:rFonts w:hint="eastAsia" w:ascii="宋体" w:hAnsi="宋体" w:cs="宋体"/>
                      <w:sz w:val="20"/>
                      <w:szCs w:val="20"/>
                    </w:rPr>
                  </w:pPr>
                  <w:r>
                    <w:rPr>
                      <w:rFonts w:hint="eastAsia" w:ascii="宋体" w:hAnsi="宋体" w:cs="宋体"/>
                      <w:sz w:val="20"/>
                      <w:szCs w:val="20"/>
                    </w:rPr>
                    <w:t>合计</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A1B1965">
                  <w:pPr>
                    <w:jc w:val="center"/>
                    <w:rPr>
                      <w:rFonts w:hint="eastAsia" w:ascii="宋体" w:hAnsi="宋体" w:cs="宋体"/>
                      <w:sz w:val="20"/>
                      <w:szCs w:val="20"/>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6937C431">
                  <w:pPr>
                    <w:jc w:val="center"/>
                    <w:rPr>
                      <w:rFonts w:hint="eastAsia" w:ascii="宋体" w:hAnsi="宋体" w:cs="宋体"/>
                      <w:sz w:val="20"/>
                      <w:szCs w:val="20"/>
                    </w:rPr>
                  </w:pPr>
                  <w:r>
                    <w:rPr>
                      <w:rFonts w:hint="eastAsia" w:ascii="宋体" w:hAnsi="宋体" w:cs="宋体"/>
                      <w:sz w:val="20"/>
                      <w:szCs w:val="20"/>
                    </w:rPr>
                    <w:t>4740</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5C026F6F">
                  <w:pPr>
                    <w:jc w:val="center"/>
                    <w:rPr>
                      <w:rFonts w:hint="eastAsia" w:ascii="宋体" w:hAnsi="宋体" w:cs="宋体"/>
                      <w:sz w:val="20"/>
                      <w:szCs w:val="20"/>
                    </w:rPr>
                  </w:pPr>
                  <w:r>
                    <w:rPr>
                      <w:rFonts w:hint="eastAsia" w:ascii="宋体" w:hAnsi="宋体" w:cs="宋体"/>
                      <w:sz w:val="20"/>
                      <w:szCs w:val="20"/>
                    </w:rPr>
                    <w:t>4524</w:t>
                  </w: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3485B7E1">
                  <w:pPr>
                    <w:jc w:val="center"/>
                    <w:rPr>
                      <w:rFonts w:hint="eastAsia" w:ascii="宋体" w:hAnsi="宋体" w:cs="宋体"/>
                      <w:sz w:val="20"/>
                      <w:szCs w:val="20"/>
                    </w:rPr>
                  </w:pPr>
                </w:p>
              </w:tc>
              <w:tc>
                <w:tcPr>
                  <w:tcW w:w="749" w:type="pct"/>
                  <w:tcBorders>
                    <w:top w:val="single" w:color="000000" w:sz="4" w:space="0"/>
                    <w:left w:val="single" w:color="000000" w:sz="4" w:space="0"/>
                    <w:bottom w:val="single" w:color="000000" w:sz="4" w:space="0"/>
                    <w:right w:val="single" w:color="000000" w:sz="4" w:space="0"/>
                  </w:tcBorders>
                  <w:noWrap w:val="0"/>
                  <w:vAlign w:val="center"/>
                </w:tcPr>
                <w:p w14:paraId="4DA66F17">
                  <w:pPr>
                    <w:jc w:val="center"/>
                    <w:rPr>
                      <w:rFonts w:hint="eastAsia" w:ascii="宋体" w:hAnsi="宋体" w:cs="宋体"/>
                      <w:sz w:val="20"/>
                      <w:szCs w:val="20"/>
                    </w:rPr>
                  </w:pPr>
                </w:p>
              </w:tc>
              <w:tc>
                <w:tcPr>
                  <w:tcW w:w="626" w:type="pct"/>
                  <w:tcBorders>
                    <w:top w:val="single" w:color="000000" w:sz="4" w:space="0"/>
                    <w:left w:val="single" w:color="000000" w:sz="4" w:space="0"/>
                    <w:bottom w:val="single" w:color="000000" w:sz="4" w:space="0"/>
                    <w:right w:val="single" w:color="000000" w:sz="4" w:space="0"/>
                  </w:tcBorders>
                  <w:noWrap w:val="0"/>
                  <w:vAlign w:val="center"/>
                </w:tcPr>
                <w:p w14:paraId="676D68D2">
                  <w:pPr>
                    <w:jc w:val="center"/>
                    <w:rPr>
                      <w:rFonts w:hint="eastAsia" w:ascii="宋体" w:hAnsi="宋体" w:cs="宋体"/>
                      <w:sz w:val="20"/>
                      <w:szCs w:val="20"/>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E089B15">
                  <w:pPr>
                    <w:jc w:val="center"/>
                    <w:rPr>
                      <w:rFonts w:hint="eastAsia" w:ascii="宋体" w:hAnsi="宋体" w:cs="宋体"/>
                      <w:sz w:val="20"/>
                      <w:szCs w:val="20"/>
                    </w:rPr>
                  </w:pPr>
                </w:p>
              </w:tc>
            </w:tr>
          </w:tbl>
          <w:p w14:paraId="4C2A7F17">
            <w:pPr>
              <w:autoSpaceDE w:val="0"/>
              <w:autoSpaceDN w:val="0"/>
              <w:adjustRightInd w:val="0"/>
              <w:snapToGrid w:val="0"/>
              <w:spacing w:before="62" w:beforeLines="20"/>
              <w:ind w:firstLine="420"/>
              <w:jc w:val="left"/>
              <w:rPr>
                <w:rFonts w:hint="eastAsia" w:ascii="宋体" w:hAnsi="宋体" w:cs="宋体"/>
                <w:snapToGrid w:val="0"/>
                <w:kern w:val="0"/>
                <w:szCs w:val="21"/>
                <w:u w:val="single"/>
              </w:rPr>
            </w:pPr>
            <w:r>
              <w:rPr>
                <w:rFonts w:hint="eastAsia" w:ascii="宋体" w:hAnsi="宋体" w:cs="宋体"/>
                <w:snapToGrid w:val="0"/>
                <w:kern w:val="0"/>
                <w:szCs w:val="21"/>
              </w:rPr>
              <w:t xml:space="preserve">（若有）不良记录情况: </w:t>
            </w:r>
            <w:r>
              <w:rPr>
                <w:rFonts w:hint="eastAsia" w:ascii="宋体" w:hAnsi="宋体" w:cs="宋体"/>
                <w:snapToGrid w:val="0"/>
                <w:kern w:val="0"/>
                <w:szCs w:val="21"/>
                <w:u w:val="single"/>
              </w:rPr>
              <w:t>2026年2月因广发银行未在企业预期内完成续贷，同时恰逢春节节点，企业数笔应收账款审批流程延长以及政府客户的资金紧张，导致企业还款资金紧张，发生临时性逾期，目前已归还。</w:t>
            </w:r>
          </w:p>
          <w:p w14:paraId="1C8EEF4C">
            <w:pPr>
              <w:widowControl/>
              <w:spacing w:line="360" w:lineRule="auto"/>
              <w:ind w:firstLine="422" w:firstLineChars="200"/>
              <w:rPr>
                <w:rFonts w:hint="eastAsia" w:ascii="宋体" w:hAnsi="宋体" w:cs="宋体"/>
                <w:bCs/>
                <w:snapToGrid w:val="0"/>
                <w:color w:val="FF0000"/>
                <w:kern w:val="0"/>
                <w:szCs w:val="21"/>
                <w:u w:val="single"/>
              </w:rPr>
            </w:pPr>
            <w:r>
              <w:rPr>
                <w:rFonts w:hint="eastAsia" w:ascii="宋体" w:hAnsi="宋体" w:cs="宋体"/>
                <w:b/>
                <w:bCs/>
                <w:snapToGrid w:val="0"/>
                <w:color w:val="000000"/>
                <w:kern w:val="0"/>
                <w:szCs w:val="21"/>
              </w:rPr>
              <w:t>2.实控人个人征信信息：</w:t>
            </w:r>
            <w:r>
              <w:rPr>
                <w:rFonts w:hint="eastAsia" w:ascii="宋体" w:hAnsi="宋体" w:cs="宋体"/>
                <w:szCs w:val="21"/>
                <w:u w:val="single"/>
              </w:rPr>
              <w:t>截至2026年3月30日，查询信用报告，黄祖海名下有未结清贷款账户1笔，余额0万元，有未销户信用卡账户5笔，余额71725元。全部未结清贷款估算下月应还款额0元，贷记卡最近6个月平均使用额度68050元，准贷记卡最近6个月平均透支余额0元；承担担保责任账户有6笔，承担共同还款责任账户有25笔，余额4724万元。根据预警规则的后台计算，客户征信未触发任何预警规则。</w:t>
            </w:r>
          </w:p>
          <w:p w14:paraId="49018FC2">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（七）科技情况分析（科技型企业填写）</w:t>
            </w:r>
          </w:p>
          <w:p w14:paraId="02A2763D">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zCs w:val="21"/>
              </w:rPr>
            </w:pPr>
            <w:r>
              <w:rPr>
                <w:rFonts w:hint="eastAsia" w:ascii="宋体" w:hAnsi="宋体" w:cs="宋体"/>
                <w:b/>
                <w:bCs/>
                <w:szCs w:val="21"/>
              </w:rPr>
              <w:t>1.科技类型与评分</w:t>
            </w:r>
          </w:p>
          <w:p w14:paraId="051A2BD4">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科技型企业类型：☑科技型中小企业；☑高新技术企业；□创新型中小企业；</w:t>
            </w:r>
          </w:p>
          <w:p w14:paraId="3DACF371">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 “专精特新”中小企业；□专精特新“小巨人”企业；</w:t>
            </w:r>
          </w:p>
          <w:p w14:paraId="5CC7679B">
            <w:pPr>
              <w:widowControl/>
              <w:kinsoku w:val="0"/>
              <w:autoSpaceDE w:val="0"/>
              <w:autoSpaceDN w:val="0"/>
              <w:adjustRightInd w:val="0"/>
              <w:snapToGrid w:val="0"/>
              <w:spacing w:before="62" w:beforeLines="20"/>
              <w:ind w:firstLine="1687" w:firstLineChars="800"/>
              <w:jc w:val="left"/>
              <w:textAlignment w:val="baseline"/>
              <w:rPr>
                <w:rFonts w:hint="eastAsia"/>
              </w:rPr>
            </w:pPr>
            <w:r>
              <w:rPr>
                <w:rFonts w:hint="eastAsia" w:ascii="宋体" w:hAnsi="宋体" w:cs="宋体"/>
                <w:b/>
                <w:bCs/>
                <w:snapToGrid w:val="0"/>
                <w:kern w:val="0"/>
                <w:szCs w:val="21"/>
              </w:rPr>
              <w:t>□制造业单项冠军企业；□国家技术创新示范企业</w:t>
            </w:r>
          </w:p>
          <w:p w14:paraId="06990332">
            <w:pPr>
              <w:pStyle w:val="7"/>
              <w:ind w:firstLine="422" w:firstLineChars="200"/>
              <w:rPr>
                <w:rFonts w:hint="eastAsia" w:ascii="宋体" w:hAnsi="宋体" w:eastAsia="宋体" w:cs="宋体"/>
                <w:b/>
                <w:bCs/>
                <w:snapToGrid w:val="0"/>
                <w:kern w:val="0"/>
                <w:sz w:val="21"/>
                <w:szCs w:val="21"/>
              </w:rPr>
            </w:pPr>
            <w:r>
              <w:rPr>
                <w:rFonts w:hint="eastAsia" w:ascii="宋体" w:hAnsi="宋体" w:eastAsia="宋体" w:cs="宋体"/>
                <w:b/>
                <w:bCs/>
                <w:snapToGrid w:val="0"/>
                <w:kern w:val="0"/>
                <w:sz w:val="21"/>
                <w:szCs w:val="21"/>
              </w:rPr>
              <w:t>科技型企业评分：</w:t>
            </w:r>
            <w:r>
              <w:rPr>
                <w:rFonts w:hint="eastAsia" w:ascii="宋体" w:hAnsi="宋体" w:cs="宋体"/>
                <w:b/>
                <w:bCs/>
                <w:snapToGrid w:val="0"/>
                <w:color w:val="000000"/>
                <w:kern w:val="0"/>
                <w:szCs w:val="21"/>
                <w:u w:val="single"/>
              </w:rPr>
              <w:t>99</w:t>
            </w:r>
            <w:r>
              <w:rPr>
                <w:rFonts w:hint="eastAsia" w:ascii="宋体" w:hAnsi="宋体" w:eastAsia="宋体" w:cs="宋体"/>
                <w:b/>
                <w:bCs/>
                <w:snapToGrid w:val="0"/>
                <w:kern w:val="0"/>
                <w:sz w:val="21"/>
                <w:szCs w:val="21"/>
              </w:rPr>
              <w:t>分</w:t>
            </w:r>
          </w:p>
          <w:p w14:paraId="379ACC58">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rPr>
            </w:pPr>
            <w:r>
              <w:rPr>
                <w:rFonts w:hint="eastAsia" w:ascii="宋体" w:hAnsi="宋体" w:cs="宋体"/>
                <w:b/>
                <w:bCs/>
                <w:szCs w:val="21"/>
              </w:rPr>
              <w:t>※2.研发投入情况</w:t>
            </w:r>
            <w:r>
              <w:rPr>
                <w:rFonts w:hint="eastAsia" w:ascii="宋体" w:hAnsi="宋体" w:cs="宋体"/>
                <w:b/>
                <w:bCs/>
                <w:snapToGrid w:val="0"/>
                <w:kern w:val="0"/>
                <w:szCs w:val="21"/>
              </w:rPr>
              <w:t>：</w:t>
            </w:r>
          </w:p>
          <w:p w14:paraId="573A464C">
            <w:pPr>
              <w:widowControl/>
              <w:ind w:firstLine="422" w:firstLineChars="200"/>
              <w:jc w:val="left"/>
              <w:rPr>
                <w:rFonts w:hint="eastAsia" w:ascii="宋体" w:hAnsi="宋体" w:cs="宋体"/>
                <w:b/>
                <w:szCs w:val="21"/>
              </w:rPr>
            </w:pPr>
            <w:r>
              <w:rPr>
                <w:rFonts w:hint="eastAsia" w:ascii="宋体" w:hAnsi="宋体" w:cs="宋体"/>
                <w:b/>
                <w:szCs w:val="21"/>
              </w:rPr>
              <w:t>①核心研发人员是否享有股权激励：</w:t>
            </w:r>
            <w:r>
              <w:rPr>
                <w:rFonts w:hint="eastAsia" w:ascii="宋体" w:hAnsi="宋体" w:cs="宋体"/>
                <w:b/>
                <w:bCs/>
                <w:snapToGrid w:val="0"/>
                <w:kern w:val="0"/>
                <w:szCs w:val="21"/>
              </w:rPr>
              <w:t>☑</w:t>
            </w:r>
            <w:r>
              <w:rPr>
                <w:rFonts w:hint="eastAsia" w:ascii="宋体" w:hAnsi="宋体" w:cs="宋体"/>
                <w:b/>
                <w:szCs w:val="21"/>
              </w:rPr>
              <w:t xml:space="preserve">是 </w:t>
            </w:r>
            <w:r>
              <w:rPr>
                <w:rFonts w:hint="eastAsia" w:ascii="宋体" w:hAnsi="宋体" w:cs="宋体"/>
                <w:b/>
                <w:bCs/>
                <w:snapToGrid w:val="0"/>
                <w:kern w:val="0"/>
                <w:szCs w:val="21"/>
              </w:rPr>
              <w:t>□</w:t>
            </w:r>
            <w:r>
              <w:rPr>
                <w:rFonts w:hint="eastAsia" w:ascii="宋体" w:hAnsi="宋体" w:cs="宋体"/>
                <w:b/>
                <w:szCs w:val="21"/>
              </w:rPr>
              <w:t>否</w:t>
            </w:r>
          </w:p>
          <w:p w14:paraId="4806EBC5">
            <w:pPr>
              <w:widowControl/>
              <w:ind w:firstLine="422" w:firstLineChars="200"/>
              <w:jc w:val="left"/>
              <w:rPr>
                <w:rFonts w:hint="eastAsia" w:ascii="宋体" w:hAnsi="宋体" w:cs="宋体"/>
                <w:b/>
                <w:szCs w:val="21"/>
              </w:rPr>
            </w:pPr>
            <w:r>
              <w:rPr>
                <w:rFonts w:hint="eastAsia" w:ascii="宋体" w:hAnsi="宋体" w:cs="宋体"/>
                <w:b/>
                <w:szCs w:val="21"/>
              </w:rPr>
              <w:t>②近三年研发投入占比及研发人员占比</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936"/>
              <w:gridCol w:w="2826"/>
              <w:gridCol w:w="1296"/>
              <w:gridCol w:w="1296"/>
              <w:gridCol w:w="1296"/>
            </w:tblGrid>
            <w:tr w14:paraId="0D8D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91787B0">
                  <w:pPr>
                    <w:widowControl/>
                    <w:kinsoku w:val="0"/>
                    <w:autoSpaceDE w:val="0"/>
                    <w:autoSpaceDN w:val="0"/>
                    <w:adjustRightInd w:val="0"/>
                    <w:snapToGrid w:val="0"/>
                    <w:spacing w:before="93" w:beforeLines="30" w:after="93" w:afterLines="30"/>
                    <w:jc w:val="center"/>
                    <w:textAlignment w:val="baseline"/>
                    <w:rPr>
                      <w:rFonts w:hint="eastAsia" w:ascii="宋体" w:hAnsi="宋体" w:cs="宋体"/>
                      <w:snapToGrid w:val="0"/>
                      <w:color w:val="000000"/>
                      <w:kern w:val="0"/>
                      <w:sz w:val="18"/>
                      <w:szCs w:val="18"/>
                    </w:rPr>
                  </w:pPr>
                  <w:r>
                    <w:rPr>
                      <w:rFonts w:hint="eastAsia" w:ascii="宋体" w:hAnsi="宋体" w:cs="宋体"/>
                      <w:snapToGrid w:val="0"/>
                      <w:color w:val="000000"/>
                      <w:kern w:val="0"/>
                      <w:sz w:val="18"/>
                      <w:szCs w:val="18"/>
                    </w:rPr>
                    <w:t>年份</w:t>
                  </w:r>
                </w:p>
              </w:tc>
              <w:tc>
                <w:tcPr>
                  <w:tcW w:w="0" w:type="auto"/>
                  <w:noWrap w:val="0"/>
                  <w:vAlign w:val="center"/>
                </w:tcPr>
                <w:p w14:paraId="3827A7B3">
                  <w:pPr>
                    <w:jc w:val="center"/>
                    <w:rPr>
                      <w:rFonts w:hint="eastAsia" w:ascii="宋体" w:hAnsi="宋体" w:cs="宋体"/>
                      <w:sz w:val="18"/>
                      <w:szCs w:val="18"/>
                    </w:rPr>
                  </w:pPr>
                  <w:r>
                    <w:rPr>
                      <w:rFonts w:hint="eastAsia" w:ascii="宋体" w:hAnsi="宋体" w:cs="宋体"/>
                      <w:sz w:val="18"/>
                      <w:szCs w:val="18"/>
                    </w:rPr>
                    <w:t>研发费用</w:t>
                  </w:r>
                </w:p>
              </w:tc>
              <w:tc>
                <w:tcPr>
                  <w:tcW w:w="0" w:type="auto"/>
                  <w:noWrap w:val="0"/>
                  <w:vAlign w:val="center"/>
                </w:tcPr>
                <w:p w14:paraId="5EDDBED8">
                  <w:pPr>
                    <w:jc w:val="center"/>
                    <w:rPr>
                      <w:rFonts w:hint="eastAsia" w:ascii="宋体" w:hAnsi="宋体" w:cs="宋体"/>
                      <w:sz w:val="18"/>
                      <w:szCs w:val="18"/>
                    </w:rPr>
                  </w:pPr>
                  <w:r>
                    <w:rPr>
                      <w:rFonts w:hint="eastAsia" w:ascii="宋体" w:hAnsi="宋体" w:cs="宋体"/>
                      <w:sz w:val="18"/>
                      <w:szCs w:val="18"/>
                    </w:rPr>
                    <w:t>研发费用占比（研发费用/营收）</w:t>
                  </w:r>
                </w:p>
              </w:tc>
              <w:tc>
                <w:tcPr>
                  <w:tcW w:w="0" w:type="auto"/>
                  <w:noWrap w:val="0"/>
                  <w:vAlign w:val="center"/>
                </w:tcPr>
                <w:p w14:paraId="58F4D0E4">
                  <w:pPr>
                    <w:jc w:val="center"/>
                    <w:rPr>
                      <w:rFonts w:hint="eastAsia" w:ascii="宋体" w:hAnsi="宋体" w:cs="宋体"/>
                      <w:sz w:val="18"/>
                      <w:szCs w:val="18"/>
                    </w:rPr>
                  </w:pPr>
                  <w:r>
                    <w:rPr>
                      <w:rFonts w:hint="eastAsia" w:ascii="宋体" w:hAnsi="宋体" w:cs="宋体"/>
                      <w:sz w:val="18"/>
                      <w:szCs w:val="18"/>
                    </w:rPr>
                    <w:t>研发人员人数</w:t>
                  </w:r>
                </w:p>
              </w:tc>
              <w:tc>
                <w:tcPr>
                  <w:tcW w:w="0" w:type="auto"/>
                  <w:noWrap w:val="0"/>
                  <w:vAlign w:val="center"/>
                </w:tcPr>
                <w:p w14:paraId="6D0BA4F5">
                  <w:pPr>
                    <w:jc w:val="center"/>
                    <w:rPr>
                      <w:rFonts w:hint="eastAsia" w:ascii="宋体" w:hAnsi="宋体" w:cs="宋体"/>
                      <w:sz w:val="18"/>
                      <w:szCs w:val="18"/>
                    </w:rPr>
                  </w:pPr>
                  <w:r>
                    <w:rPr>
                      <w:rFonts w:hint="eastAsia" w:ascii="宋体" w:hAnsi="宋体" w:cs="宋体"/>
                      <w:sz w:val="18"/>
                      <w:szCs w:val="18"/>
                    </w:rPr>
                    <w:t>研发人员占比</w:t>
                  </w:r>
                </w:p>
              </w:tc>
              <w:tc>
                <w:tcPr>
                  <w:tcW w:w="0" w:type="auto"/>
                  <w:noWrap w:val="0"/>
                  <w:vAlign w:val="center"/>
                </w:tcPr>
                <w:p w14:paraId="65A0C8A8">
                  <w:pPr>
                    <w:jc w:val="center"/>
                    <w:rPr>
                      <w:rFonts w:hint="eastAsia" w:ascii="宋体" w:hAnsi="宋体" w:cs="宋体"/>
                      <w:sz w:val="18"/>
                      <w:szCs w:val="18"/>
                    </w:rPr>
                  </w:pPr>
                  <w:r>
                    <w:rPr>
                      <w:rFonts w:hint="eastAsia" w:ascii="宋体" w:hAnsi="宋体" w:cs="宋体"/>
                      <w:sz w:val="18"/>
                      <w:szCs w:val="18"/>
                    </w:rPr>
                    <w:t>研发人员薪酬</w:t>
                  </w:r>
                </w:p>
              </w:tc>
            </w:tr>
            <w:tr w14:paraId="799F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06DFC917">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2023</w:t>
                  </w:r>
                </w:p>
              </w:tc>
              <w:tc>
                <w:tcPr>
                  <w:tcW w:w="0" w:type="auto"/>
                  <w:noWrap w:val="0"/>
                  <w:vAlign w:val="top"/>
                </w:tcPr>
                <w:p w14:paraId="78B4FB9F">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895万元</w:t>
                  </w:r>
                </w:p>
              </w:tc>
              <w:tc>
                <w:tcPr>
                  <w:tcW w:w="0" w:type="auto"/>
                  <w:noWrap w:val="0"/>
                  <w:vAlign w:val="top"/>
                </w:tcPr>
                <w:p w14:paraId="2AF1CB25">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7.4%</w:t>
                  </w:r>
                </w:p>
              </w:tc>
              <w:tc>
                <w:tcPr>
                  <w:tcW w:w="0" w:type="auto"/>
                  <w:noWrap w:val="0"/>
                  <w:vAlign w:val="top"/>
                </w:tcPr>
                <w:p w14:paraId="256EEF1B">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40</w:t>
                  </w:r>
                </w:p>
              </w:tc>
              <w:tc>
                <w:tcPr>
                  <w:tcW w:w="0" w:type="auto"/>
                  <w:noWrap w:val="0"/>
                  <w:vAlign w:val="top"/>
                </w:tcPr>
                <w:p w14:paraId="4494AF08">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44%</w:t>
                  </w:r>
                </w:p>
              </w:tc>
              <w:tc>
                <w:tcPr>
                  <w:tcW w:w="0" w:type="auto"/>
                  <w:noWrap w:val="0"/>
                  <w:vAlign w:val="top"/>
                </w:tcPr>
                <w:p w14:paraId="41E318E6">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542万元</w:t>
                  </w:r>
                </w:p>
              </w:tc>
            </w:tr>
            <w:tr w14:paraId="077E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02B997D">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2024</w:t>
                  </w:r>
                </w:p>
              </w:tc>
              <w:tc>
                <w:tcPr>
                  <w:tcW w:w="0" w:type="auto"/>
                  <w:noWrap w:val="0"/>
                  <w:vAlign w:val="top"/>
                </w:tcPr>
                <w:p w14:paraId="3338CAB6">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1262万元</w:t>
                  </w:r>
                </w:p>
              </w:tc>
              <w:tc>
                <w:tcPr>
                  <w:tcW w:w="0" w:type="auto"/>
                  <w:noWrap w:val="0"/>
                  <w:vAlign w:val="top"/>
                </w:tcPr>
                <w:p w14:paraId="4B80888C">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14.5%</w:t>
                  </w:r>
                </w:p>
              </w:tc>
              <w:tc>
                <w:tcPr>
                  <w:tcW w:w="0" w:type="auto"/>
                  <w:noWrap w:val="0"/>
                  <w:vAlign w:val="top"/>
                </w:tcPr>
                <w:p w14:paraId="65BE272A">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38</w:t>
                  </w:r>
                </w:p>
              </w:tc>
              <w:tc>
                <w:tcPr>
                  <w:tcW w:w="0" w:type="auto"/>
                  <w:noWrap w:val="0"/>
                  <w:vAlign w:val="top"/>
                </w:tcPr>
                <w:p w14:paraId="1D281ED5">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49%</w:t>
                  </w:r>
                </w:p>
              </w:tc>
              <w:tc>
                <w:tcPr>
                  <w:tcW w:w="0" w:type="auto"/>
                  <w:noWrap w:val="0"/>
                  <w:vAlign w:val="top"/>
                </w:tcPr>
                <w:p w14:paraId="79238B4E">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color w:val="000000"/>
                      <w:kern w:val="0"/>
                      <w:sz w:val="18"/>
                      <w:szCs w:val="18"/>
                    </w:rPr>
                  </w:pPr>
                  <w:r>
                    <w:rPr>
                      <w:rFonts w:hint="eastAsia" w:ascii="宋体" w:hAnsi="宋体" w:cs="宋体"/>
                      <w:snapToGrid w:val="0"/>
                      <w:color w:val="000000"/>
                      <w:kern w:val="0"/>
                      <w:sz w:val="18"/>
                      <w:szCs w:val="18"/>
                    </w:rPr>
                    <w:t>673万元</w:t>
                  </w:r>
                </w:p>
              </w:tc>
            </w:tr>
            <w:tr w14:paraId="2941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DEB7855">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kern w:val="0"/>
                      <w:sz w:val="18"/>
                      <w:szCs w:val="18"/>
                    </w:rPr>
                  </w:pPr>
                  <w:r>
                    <w:rPr>
                      <w:rFonts w:hint="eastAsia" w:ascii="宋体" w:hAnsi="宋体" w:cs="宋体"/>
                      <w:snapToGrid w:val="0"/>
                      <w:kern w:val="0"/>
                      <w:sz w:val="18"/>
                      <w:szCs w:val="18"/>
                    </w:rPr>
                    <w:t>2025</w:t>
                  </w:r>
                </w:p>
              </w:tc>
              <w:tc>
                <w:tcPr>
                  <w:tcW w:w="0" w:type="auto"/>
                  <w:noWrap w:val="0"/>
                  <w:vAlign w:val="top"/>
                </w:tcPr>
                <w:p w14:paraId="487DA449">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kern w:val="0"/>
                      <w:sz w:val="18"/>
                      <w:szCs w:val="18"/>
                    </w:rPr>
                  </w:pPr>
                  <w:r>
                    <w:rPr>
                      <w:rFonts w:hint="eastAsia" w:ascii="宋体" w:hAnsi="宋体" w:cs="宋体"/>
                      <w:snapToGrid w:val="0"/>
                      <w:kern w:val="0"/>
                      <w:sz w:val="18"/>
                      <w:szCs w:val="18"/>
                    </w:rPr>
                    <w:t>1049万元</w:t>
                  </w:r>
                </w:p>
              </w:tc>
              <w:tc>
                <w:tcPr>
                  <w:tcW w:w="0" w:type="auto"/>
                  <w:noWrap w:val="0"/>
                  <w:vAlign w:val="top"/>
                </w:tcPr>
                <w:p w14:paraId="71376492">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kern w:val="0"/>
                      <w:sz w:val="18"/>
                      <w:szCs w:val="18"/>
                    </w:rPr>
                  </w:pPr>
                  <w:r>
                    <w:rPr>
                      <w:rFonts w:hint="eastAsia" w:ascii="宋体" w:hAnsi="宋体" w:cs="宋体"/>
                      <w:snapToGrid w:val="0"/>
                      <w:kern w:val="0"/>
                      <w:sz w:val="18"/>
                      <w:szCs w:val="18"/>
                    </w:rPr>
                    <w:t>10.5%</w:t>
                  </w:r>
                </w:p>
              </w:tc>
              <w:tc>
                <w:tcPr>
                  <w:tcW w:w="0" w:type="auto"/>
                  <w:noWrap w:val="0"/>
                  <w:vAlign w:val="top"/>
                </w:tcPr>
                <w:p w14:paraId="0986E954">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kern w:val="0"/>
                      <w:sz w:val="18"/>
                      <w:szCs w:val="18"/>
                    </w:rPr>
                  </w:pPr>
                  <w:r>
                    <w:rPr>
                      <w:rFonts w:hint="eastAsia" w:ascii="宋体" w:hAnsi="宋体" w:cs="宋体"/>
                      <w:snapToGrid w:val="0"/>
                      <w:kern w:val="0"/>
                      <w:sz w:val="18"/>
                      <w:szCs w:val="18"/>
                    </w:rPr>
                    <w:t>39</w:t>
                  </w:r>
                </w:p>
              </w:tc>
              <w:tc>
                <w:tcPr>
                  <w:tcW w:w="0" w:type="auto"/>
                  <w:noWrap w:val="0"/>
                  <w:vAlign w:val="top"/>
                </w:tcPr>
                <w:p w14:paraId="28310F6D">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kern w:val="0"/>
                      <w:sz w:val="18"/>
                      <w:szCs w:val="18"/>
                    </w:rPr>
                  </w:pPr>
                  <w:r>
                    <w:rPr>
                      <w:rFonts w:hint="eastAsia" w:ascii="宋体" w:hAnsi="宋体" w:cs="宋体"/>
                      <w:snapToGrid w:val="0"/>
                      <w:kern w:val="0"/>
                      <w:sz w:val="18"/>
                      <w:szCs w:val="18"/>
                    </w:rPr>
                    <w:t>53%</w:t>
                  </w:r>
                </w:p>
              </w:tc>
              <w:tc>
                <w:tcPr>
                  <w:tcW w:w="0" w:type="auto"/>
                  <w:noWrap w:val="0"/>
                  <w:vAlign w:val="top"/>
                </w:tcPr>
                <w:p w14:paraId="380FB184">
                  <w:pPr>
                    <w:widowControl/>
                    <w:kinsoku w:val="0"/>
                    <w:autoSpaceDE w:val="0"/>
                    <w:autoSpaceDN w:val="0"/>
                    <w:adjustRightInd w:val="0"/>
                    <w:snapToGrid w:val="0"/>
                    <w:spacing w:before="93" w:beforeLines="30" w:after="93" w:afterLines="30"/>
                    <w:jc w:val="center"/>
                    <w:textAlignment w:val="baseline"/>
                    <w:rPr>
                      <w:rFonts w:ascii="宋体" w:hAnsi="宋体" w:cs="宋体"/>
                      <w:snapToGrid w:val="0"/>
                      <w:kern w:val="0"/>
                      <w:sz w:val="18"/>
                      <w:szCs w:val="18"/>
                    </w:rPr>
                  </w:pPr>
                  <w:r>
                    <w:rPr>
                      <w:rFonts w:hint="eastAsia" w:ascii="宋体" w:hAnsi="宋体" w:cs="宋体"/>
                      <w:snapToGrid w:val="0"/>
                      <w:kern w:val="0"/>
                      <w:sz w:val="18"/>
                      <w:szCs w:val="18"/>
                    </w:rPr>
                    <w:t>509万元</w:t>
                  </w:r>
                </w:p>
              </w:tc>
            </w:tr>
          </w:tbl>
          <w:p w14:paraId="66C9896D">
            <w:pPr>
              <w:pStyle w:val="9"/>
              <w:ind w:firstLine="422" w:firstLineChars="200"/>
              <w:rPr>
                <w:rFonts w:hint="eastAsia" w:ascii="宋体" w:hAnsi="宋体" w:cs="宋体"/>
                <w:bCs/>
                <w:sz w:val="21"/>
                <w:szCs w:val="21"/>
              </w:rPr>
            </w:pPr>
            <w:r>
              <w:rPr>
                <w:rFonts w:hint="eastAsia" w:ascii="宋体" w:hAnsi="宋体" w:cs="宋体"/>
                <w:b/>
                <w:bCs/>
                <w:sz w:val="21"/>
                <w:szCs w:val="21"/>
              </w:rPr>
              <w:t>※</w:t>
            </w:r>
            <w:r>
              <w:rPr>
                <w:rFonts w:hint="eastAsia" w:ascii="宋体" w:hAnsi="宋体" w:cs="宋体"/>
                <w:b/>
                <w:sz w:val="21"/>
                <w:szCs w:val="21"/>
              </w:rPr>
              <w:t>3.专利情况</w:t>
            </w:r>
            <w:r>
              <w:rPr>
                <w:rFonts w:hint="eastAsia" w:ascii="宋体" w:hAnsi="宋体" w:cs="宋体"/>
                <w:b/>
                <w:bCs/>
                <w:snapToGrid w:val="0"/>
                <w:kern w:val="0"/>
                <w:szCs w:val="21"/>
              </w:rPr>
              <w:t>：</w:t>
            </w:r>
            <w:r>
              <w:rPr>
                <w:rFonts w:hint="eastAsia" w:ascii="宋体" w:hAnsi="宋体" w:cs="宋体"/>
                <w:bCs/>
                <w:sz w:val="21"/>
                <w:szCs w:val="21"/>
                <w:u w:val="single"/>
              </w:rPr>
              <w:t>企业拥有发明专利24项、实用专利6项，权属清晰，不存在瑕疵及涉诉情况，具体情况详见附件2。</w:t>
            </w:r>
          </w:p>
          <w:p w14:paraId="0277BDD9">
            <w:pPr>
              <w:pStyle w:val="9"/>
              <w:rPr>
                <w:rFonts w:ascii="宋体" w:hAnsi="宋体" w:cs="宋体"/>
                <w:b/>
                <w:bCs/>
                <w:snapToGrid w:val="0"/>
                <w:kern w:val="0"/>
                <w:sz w:val="21"/>
                <w:szCs w:val="21"/>
              </w:rPr>
            </w:pPr>
            <w:r>
              <w:rPr>
                <w:rFonts w:hint="eastAsia" w:ascii="宋体" w:hAnsi="宋体" w:cs="宋体"/>
                <w:b/>
                <w:bCs/>
                <w:snapToGrid w:val="0"/>
                <w:kern w:val="0"/>
                <w:sz w:val="21"/>
                <w:szCs w:val="21"/>
              </w:rPr>
              <w:t>（八）综合效益分析</w:t>
            </w:r>
          </w:p>
          <w:p w14:paraId="2FB7CBDB">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u w:val="single"/>
              </w:rPr>
            </w:pPr>
            <w:r>
              <w:rPr>
                <w:rFonts w:hint="eastAsia" w:ascii="宋体" w:hAnsi="宋体" w:cs="宋体"/>
                <w:snapToGrid w:val="0"/>
                <w:kern w:val="0"/>
                <w:szCs w:val="21"/>
              </w:rPr>
              <w:t>1.当前综合效益（包括但不限于：对公有效户、代发签约及发薪量、日均存款、基本户、其他派生业务等</w:t>
            </w:r>
            <w:r>
              <w:rPr>
                <w:rFonts w:hint="eastAsia" w:ascii="宋体" w:hAnsi="宋体" w:cs="宋体"/>
                <w:b/>
                <w:bCs/>
                <w:snapToGrid w:val="0"/>
                <w:kern w:val="0"/>
                <w:szCs w:val="21"/>
              </w:rPr>
              <w:t>）：</w:t>
            </w:r>
            <w:r>
              <w:rPr>
                <w:rFonts w:hint="eastAsia" w:ascii="宋体" w:hAnsi="宋体" w:cs="宋体"/>
                <w:snapToGrid w:val="0"/>
                <w:kern w:val="0"/>
                <w:szCs w:val="21"/>
                <w:u w:val="single"/>
              </w:rPr>
              <w:t>截至目前，企业在我行日均存款7万元，折对公有效户年1户， 20名员工在我行签约代发，上年发薪量210万元，综合效益一般。</w:t>
            </w:r>
          </w:p>
          <w:p w14:paraId="202A92D3">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rPr>
            </w:pPr>
            <w:r>
              <w:rPr>
                <w:rFonts w:hint="eastAsia" w:ascii="宋体" w:hAnsi="宋体" w:cs="宋体"/>
                <w:snapToGrid w:val="0"/>
                <w:kern w:val="0"/>
                <w:szCs w:val="21"/>
              </w:rPr>
              <w:t>2.预计综合效益（包括但不限于：对公有效户、代发签约及发薪量、日均存款、基本户、其他派生业务等</w:t>
            </w:r>
            <w:r>
              <w:rPr>
                <w:rFonts w:hint="eastAsia" w:ascii="宋体" w:hAnsi="宋体" w:cs="宋体"/>
                <w:b/>
                <w:bCs/>
                <w:snapToGrid w:val="0"/>
                <w:kern w:val="0"/>
                <w:szCs w:val="21"/>
              </w:rPr>
              <w:t>）：</w:t>
            </w:r>
            <w:r>
              <w:rPr>
                <w:rFonts w:hint="eastAsia" w:ascii="宋体" w:hAnsi="宋体" w:cs="宋体"/>
                <w:snapToGrid w:val="0"/>
                <w:kern w:val="0"/>
                <w:szCs w:val="21"/>
                <w:u w:val="single"/>
              </w:rPr>
              <w:t>预计企业在我行可实现100名员工在我行签约代发，预计可带来年度发薪量1100万元，整体综合效益较好。</w:t>
            </w:r>
          </w:p>
          <w:p w14:paraId="682C2C6C">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（九）借款原因及还款能力分析</w:t>
            </w:r>
          </w:p>
          <w:p w14:paraId="760D1FA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u w:val="single"/>
              </w:rPr>
            </w:pPr>
            <w:r>
              <w:rPr>
                <w:rFonts w:hint="eastAsia" w:ascii="宋体" w:hAnsi="宋体" w:cs="宋体"/>
                <w:b/>
                <w:bCs/>
                <w:snapToGrid w:val="0"/>
                <w:color w:val="000000"/>
                <w:kern w:val="0"/>
                <w:szCs w:val="21"/>
              </w:rPr>
              <w:t>1.借款原因说明：</w:t>
            </w:r>
            <w:r>
              <w:rPr>
                <w:rFonts w:hint="eastAsia" w:ascii="宋体" w:hAnsi="宋体" w:cs="宋体"/>
                <w:snapToGrid w:val="0"/>
                <w:color w:val="000000"/>
                <w:kern w:val="0"/>
                <w:szCs w:val="21"/>
                <w:u w:val="single"/>
              </w:rPr>
              <w:t>借款人主营业务为网络技术及信息化项目建设。近年来，受宏观经济及行业大环境影响，公司下游主要客户（主要为企事业单位/大型企业）的项目验收及付款审批流程有所延长。目前，公司在手订单充足，项目交付正常，但大量资金沉淀在应收账款和未结算的项目款中，导致企业账面现金流与我行贷款到期日存在阶段性的“期限错配”。公司目前正在加紧催收应收款项，但难以在我行贷款到期前实现全额回笼，因此面临短期的流动资金紧张，需通过再融资业务实现资金周转。</w:t>
            </w:r>
          </w:p>
          <w:p w14:paraId="4E80C5C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rPr>
            </w:pPr>
            <w:r>
              <w:rPr>
                <w:rFonts w:hint="eastAsia" w:ascii="宋体" w:hAnsi="宋体" w:cs="宋体"/>
                <w:b/>
                <w:bCs/>
                <w:snapToGrid w:val="0"/>
                <w:kern w:val="0"/>
                <w:szCs w:val="21"/>
              </w:rPr>
              <w:t>2.营运资金需求测算</w:t>
            </w:r>
          </w:p>
          <w:p w14:paraId="5995F6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rPr>
            </w:pPr>
            <w:r>
              <w:rPr>
                <w:rFonts w:hint="eastAsia" w:ascii="宋体" w:hAnsi="宋体" w:cs="宋体"/>
                <w:b/>
                <w:bCs/>
                <w:snapToGrid w:val="0"/>
                <w:kern w:val="0"/>
                <w:szCs w:val="21"/>
              </w:rPr>
              <w:t>根据流动资金需求测算，</w:t>
            </w:r>
            <w:r>
              <w:rPr>
                <w:rFonts w:hint="eastAsia" w:ascii="宋体" w:hAnsi="宋体" w:cs="宋体"/>
                <w:snapToGrid w:val="0"/>
                <w:kern w:val="0"/>
                <w:szCs w:val="21"/>
              </w:rPr>
              <w:t>企业营运资金需求：</w:t>
            </w:r>
            <w:r>
              <w:rPr>
                <w:rFonts w:hint="eastAsia" w:ascii="宋体" w:hAnsi="宋体" w:cs="宋体"/>
                <w:snapToGrid w:val="0"/>
                <w:kern w:val="0"/>
                <w:szCs w:val="21"/>
                <w:u w:val="single"/>
              </w:rPr>
              <w:t>8521.35</w:t>
            </w:r>
            <w:r>
              <w:rPr>
                <w:rFonts w:hint="eastAsia" w:ascii="宋体" w:hAnsi="宋体" w:cs="宋体"/>
                <w:snapToGrid w:val="0"/>
                <w:kern w:val="0"/>
                <w:szCs w:val="21"/>
              </w:rPr>
              <w:t>万元</w:t>
            </w:r>
          </w:p>
          <w:p w14:paraId="5EE241B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rPr>
            </w:pPr>
            <w:r>
              <w:rPr>
                <w:rFonts w:hint="eastAsia" w:ascii="宋体" w:hAnsi="宋体" w:cs="宋体"/>
                <w:snapToGrid w:val="0"/>
                <w:kern w:val="0"/>
                <w:szCs w:val="21"/>
              </w:rPr>
              <w:t>（请附531系统测算表截图）</w:t>
            </w:r>
          </w:p>
          <w:p w14:paraId="3AAFE9C1">
            <w:pPr>
              <w:widowControl/>
              <w:kinsoku w:val="0"/>
              <w:autoSpaceDE w:val="0"/>
              <w:autoSpaceDN w:val="0"/>
              <w:adjustRightInd w:val="0"/>
              <w:snapToGrid w:val="0"/>
              <w:spacing w:before="93" w:beforeLines="30" w:after="93" w:afterLines="30"/>
              <w:ind w:firstLine="420"/>
              <w:jc w:val="left"/>
              <w:textAlignment w:val="baseline"/>
              <w:rPr>
                <w:u w:val="single"/>
              </w:rPr>
            </w:pPr>
            <w:r>
              <w:rPr>
                <w:rFonts w:hint="eastAsia"/>
              </w:rPr>
              <w:t>如上述测算过程存在数据调整，请补充说明：</w:t>
            </w:r>
            <w:r>
              <w:rPr>
                <w:rFonts w:hint="eastAsia"/>
                <w:u w:val="single"/>
              </w:rPr>
              <w:t>（1）公司在手订单量增加，预计销售收入增加，故预测销售收入年增长率为20%；</w:t>
            </w:r>
          </w:p>
          <w:p w14:paraId="7781822D">
            <w:pPr>
              <w:widowControl/>
              <w:kinsoku w:val="0"/>
              <w:autoSpaceDE w:val="0"/>
              <w:autoSpaceDN w:val="0"/>
              <w:adjustRightInd w:val="0"/>
              <w:snapToGrid w:val="0"/>
              <w:spacing w:before="93" w:beforeLines="30" w:after="93" w:afterLines="30"/>
              <w:ind w:firstLine="420"/>
              <w:jc w:val="left"/>
              <w:textAlignment w:val="baseline"/>
              <w:rPr>
                <w:u w:val="single"/>
              </w:rPr>
            </w:pPr>
            <w:r>
              <w:rPr>
                <w:rFonts w:hint="eastAsia"/>
                <w:u w:val="single"/>
              </w:rPr>
              <w:t>（2）公司应收账款账期延长，使得自有资金被日常周转占用，故预测自有资金为3000万元。；</w:t>
            </w:r>
          </w:p>
          <w:p w14:paraId="2369D722">
            <w:pPr>
              <w:widowControl/>
              <w:kinsoku w:val="0"/>
              <w:autoSpaceDE w:val="0"/>
              <w:autoSpaceDN w:val="0"/>
              <w:adjustRightInd w:val="0"/>
              <w:snapToGrid w:val="0"/>
              <w:spacing w:before="93" w:beforeLines="30" w:after="93" w:afterLines="30"/>
              <w:ind w:firstLine="420"/>
              <w:jc w:val="left"/>
              <w:textAlignment w:val="baseline"/>
              <w:rPr>
                <w:rFonts w:hint="eastAsia"/>
              </w:rPr>
            </w:pPr>
            <w:r>
              <w:rPr>
                <w:rFonts w:hint="eastAsia"/>
                <w:u w:val="single"/>
              </w:rPr>
              <w:t>（3）此次为再融资授信，用于归还我行原授信1000万元。</w:t>
            </w:r>
            <w:r>
              <w:rPr>
                <w:rFonts w:hint="eastAsia"/>
              </w:rPr>
              <w:t xml:space="preserve"> </w:t>
            </w:r>
          </w:p>
          <w:p w14:paraId="767AC595">
            <w:pPr>
              <w:widowControl/>
              <w:kinsoku w:val="0"/>
              <w:autoSpaceDE w:val="0"/>
              <w:autoSpaceDN w:val="0"/>
              <w:adjustRightInd w:val="0"/>
              <w:snapToGrid w:val="0"/>
              <w:spacing w:before="93" w:beforeLines="30" w:after="93" w:afterLines="30"/>
              <w:ind w:left="420" w:leftChars="200"/>
              <w:jc w:val="left"/>
              <w:textAlignment w:val="baseline"/>
              <w:rPr>
                <w:rFonts w:hint="eastAsia" w:ascii="宋体" w:hAnsi="宋体" w:cs="宋体"/>
                <w:b/>
                <w:snapToGrid w:val="0"/>
                <w:kern w:val="0"/>
                <w:szCs w:val="21"/>
              </w:rPr>
            </w:pPr>
            <w:r>
              <w:rPr>
                <w:rFonts w:hint="eastAsia" w:ascii="宋体" w:hAnsi="宋体" w:cs="宋体"/>
                <w:b/>
                <w:snapToGrid w:val="0"/>
                <w:kern w:val="0"/>
                <w:szCs w:val="21"/>
              </w:rPr>
              <w:t>3.还款能力分析：</w:t>
            </w:r>
          </w:p>
          <w:p w14:paraId="7ADE4F6F">
            <w:pPr>
              <w:widowControl/>
              <w:kinsoku w:val="0"/>
              <w:autoSpaceDE w:val="0"/>
              <w:autoSpaceDN w:val="0"/>
              <w:adjustRightInd w:val="0"/>
              <w:snapToGrid w:val="0"/>
              <w:spacing w:before="93" w:beforeLines="30" w:after="93" w:afterLines="30"/>
              <w:ind w:left="420" w:leftChars="200"/>
              <w:jc w:val="left"/>
              <w:textAlignment w:val="baseline"/>
              <w:rPr>
                <w:rFonts w:hint="eastAsia" w:ascii="宋体" w:hAnsi="宋体" w:cs="宋体"/>
                <w:bCs/>
                <w:snapToGrid w:val="0"/>
                <w:kern w:val="0"/>
                <w:szCs w:val="21"/>
              </w:rPr>
            </w:pPr>
            <w:r>
              <w:rPr>
                <w:rFonts w:hint="eastAsia" w:ascii="宋体" w:hAnsi="宋体" w:cs="宋体"/>
                <w:bCs/>
                <w:snapToGrid w:val="0"/>
                <w:kern w:val="0"/>
                <w:szCs w:val="21"/>
              </w:rPr>
              <w:t>①第一还款来源（经营性现金流分析）：</w:t>
            </w:r>
            <w:r>
              <w:rPr>
                <w:rFonts w:hint="eastAsia" w:ascii="宋体" w:hAnsi="宋体" w:cs="宋体"/>
                <w:bCs/>
                <w:snapToGrid w:val="0"/>
                <w:kern w:val="0"/>
                <w:szCs w:val="21"/>
                <w:u w:val="single"/>
              </w:rPr>
              <w:t>公司下游以院校、水利及事业单位为主，客户资质优良、回款保障度高，虽应收账款周转较慢、账期较长，但经营现金流净额稳定，具备持续偿债能力。</w:t>
            </w:r>
          </w:p>
          <w:p w14:paraId="613B3A36">
            <w:pPr>
              <w:widowControl/>
              <w:kinsoku w:val="0"/>
              <w:autoSpaceDE w:val="0"/>
              <w:autoSpaceDN w:val="0"/>
              <w:adjustRightInd w:val="0"/>
              <w:snapToGrid w:val="0"/>
              <w:spacing w:before="93" w:beforeLines="30" w:after="93" w:afterLines="30"/>
              <w:ind w:left="210" w:leftChars="100"/>
              <w:jc w:val="left"/>
              <w:textAlignment w:val="baseline"/>
              <w:rPr>
                <w:rFonts w:ascii="宋体" w:hAnsi="宋体" w:cs="宋体"/>
                <w:bCs/>
                <w:snapToGrid w:val="0"/>
                <w:kern w:val="0"/>
                <w:szCs w:val="21"/>
                <w:u w:val="single"/>
              </w:rPr>
            </w:pPr>
            <w:r>
              <w:rPr>
                <w:rFonts w:hint="eastAsia" w:ascii="宋体" w:hAnsi="宋体" w:cs="宋体"/>
                <w:bCs/>
                <w:snapToGrid w:val="0"/>
                <w:kern w:val="0"/>
                <w:szCs w:val="21"/>
              </w:rPr>
              <w:t xml:space="preserve">  ②第二还款来源（抵质押物变现能力分析及其他渠道现金流分析）：</w:t>
            </w:r>
            <w:r>
              <w:rPr>
                <w:rFonts w:hint="eastAsia" w:ascii="宋体" w:hAnsi="宋体" w:cs="宋体"/>
                <w:bCs/>
                <w:snapToGrid w:val="0"/>
                <w:kern w:val="0"/>
                <w:szCs w:val="21"/>
                <w:u w:val="single"/>
              </w:rPr>
              <w:t xml:space="preserve">公司可获得政府补贴、税收返还等稳定补充现金流，股东及融资渠道支持充足，整体偿债保障充分。 </w:t>
            </w:r>
          </w:p>
          <w:p w14:paraId="4D180D0A">
            <w:pPr>
              <w:widowControl/>
              <w:kinsoku w:val="0"/>
              <w:autoSpaceDE w:val="0"/>
              <w:autoSpaceDN w:val="0"/>
              <w:adjustRightInd w:val="0"/>
              <w:snapToGrid w:val="0"/>
              <w:spacing w:before="93" w:beforeLines="30" w:after="93" w:afterLines="30"/>
              <w:ind w:firstLine="420"/>
              <w:jc w:val="left"/>
              <w:textAlignment w:val="baseline"/>
            </w:pPr>
            <w:r>
              <w:rPr>
                <w:rFonts w:hint="eastAsia" w:ascii="宋体" w:hAnsi="宋体" w:cs="宋体"/>
                <w:b/>
                <w:snapToGrid w:val="0"/>
                <w:kern w:val="0"/>
                <w:szCs w:val="21"/>
              </w:rPr>
              <w:t>4.</w:t>
            </w:r>
            <w:r>
              <w:rPr>
                <w:rFonts w:hint="eastAsia" w:ascii="宋体" w:hAnsi="宋体" w:cs="宋体"/>
                <w:snapToGrid w:val="0"/>
                <w:kern w:val="0"/>
                <w:szCs w:val="21"/>
              </w:rPr>
              <w:t>（若有）</w:t>
            </w:r>
            <w:r>
              <w:rPr>
                <w:rFonts w:hint="eastAsia" w:ascii="宋体" w:hAnsi="宋体" w:cs="宋体"/>
                <w:snapToGrid w:val="0"/>
                <w:color w:val="000000"/>
                <w:kern w:val="0"/>
                <w:szCs w:val="21"/>
              </w:rPr>
              <w:t>续授信客户需对比前次授信方案，反映调整/变动原因</w:t>
            </w:r>
            <w:r>
              <w:rPr>
                <w:rFonts w:hint="eastAsia" w:ascii="宋体" w:hAnsi="宋体" w:cs="宋体"/>
                <w:snapToGrid w:val="0"/>
                <w:kern w:val="0"/>
                <w:szCs w:val="21"/>
              </w:rPr>
              <w:t>：</w:t>
            </w:r>
            <w:r>
              <w:rPr>
                <w:rFonts w:hint="eastAsia" w:ascii="宋体" w:hAnsi="宋体" w:cs="宋体"/>
                <w:snapToGrid w:val="0"/>
                <w:kern w:val="0"/>
                <w:szCs w:val="21"/>
                <w:u w:val="single"/>
              </w:rPr>
              <w:t xml:space="preserve">  因公司面临短期现金流紧张，</w:t>
            </w:r>
            <w:r>
              <w:rPr>
                <w:rFonts w:hint="eastAsia" w:ascii="宋体" w:hAnsi="宋体" w:cs="宋体"/>
                <w:snapToGrid w:val="0"/>
                <w:color w:val="000000"/>
                <w:kern w:val="0"/>
                <w:szCs w:val="21"/>
                <w:u w:val="single"/>
              </w:rPr>
              <w:t>难以在我行贷款到期前实现应收账款全额回笼，故申请通过再融资业务实现资金周转，此次申请新增实际控制人个人连带责任担保。</w:t>
            </w:r>
            <w:r>
              <w:rPr>
                <w:rFonts w:hint="eastAsia" w:ascii="宋体" w:hAnsi="宋体" w:cs="宋体"/>
                <w:snapToGrid w:val="0"/>
                <w:kern w:val="0"/>
                <w:szCs w:val="21"/>
                <w:u w:val="single"/>
              </w:rPr>
              <w:t xml:space="preserve">                            </w:t>
            </w:r>
          </w:p>
          <w:p w14:paraId="64E49971">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FF0000"/>
                <w:kern w:val="0"/>
                <w:szCs w:val="21"/>
              </w:rPr>
            </w:pPr>
            <w:r>
              <w:rPr>
                <w:rFonts w:hint="eastAsia" w:ascii="宋体" w:hAnsi="宋体" w:cs="宋体"/>
                <w:b/>
                <w:snapToGrid w:val="0"/>
                <w:color w:val="000000"/>
                <w:kern w:val="0"/>
                <w:szCs w:val="21"/>
              </w:rPr>
              <w:t>（十）担保分析</w:t>
            </w:r>
          </w:p>
          <w:p w14:paraId="04715F90">
            <w:pPr>
              <w:spacing w:before="156" w:beforeLines="50" w:after="156" w:afterLines="50"/>
              <w:jc w:val="left"/>
              <w:rPr>
                <w:rFonts w:hint="eastAsia" w:ascii="宋体" w:hAnsi="宋体" w:cs="宋体"/>
                <w:b/>
                <w:szCs w:val="21"/>
              </w:rPr>
            </w:pPr>
            <w:r>
              <w:rPr>
                <w:rFonts w:hint="eastAsia" w:ascii="宋体" w:hAnsi="宋体" w:cs="宋体"/>
                <w:b/>
                <w:szCs w:val="21"/>
              </w:rPr>
              <w:t>1.个人担保</w:t>
            </w:r>
          </w:p>
          <w:p w14:paraId="3A63F7D9">
            <w:pPr>
              <w:pStyle w:val="11"/>
              <w:ind w:firstLine="420" w:firstLineChars="200"/>
              <w:rPr>
                <w:rFonts w:ascii="宋体" w:hAnsi="宋体" w:cs="宋体"/>
                <w:kern w:val="2"/>
                <w:sz w:val="21"/>
                <w:szCs w:val="21"/>
              </w:rPr>
            </w:pPr>
            <w:r>
              <w:rPr>
                <w:rFonts w:hint="eastAsia" w:ascii="宋体" w:hAnsi="宋体" w:cs="宋体"/>
                <w:kern w:val="2"/>
                <w:sz w:val="21"/>
                <w:szCs w:val="21"/>
              </w:rPr>
              <w:t>担保人：黄祖海（身份证号码：350124197704201694），</w:t>
            </w:r>
            <w:r>
              <w:rPr>
                <w:rFonts w:hint="eastAsia"/>
              </w:rPr>
              <w:t>担保方式：个人连带责任保证担保。</w:t>
            </w:r>
          </w:p>
          <w:p w14:paraId="1D3632F4">
            <w:pPr>
              <w:ind w:firstLine="420" w:firstLineChars="200"/>
              <w:rPr>
                <w:rFonts w:hint="eastAsia"/>
              </w:rPr>
            </w:pPr>
            <w:r>
              <w:rPr>
                <w:rFonts w:hint="eastAsia"/>
              </w:rPr>
              <w:t>黄祖海先生为福建中锐网络股份有限公司的创始人及实际控制人，总持股比例为30.1627%，担任董事长职务。其个人利益与公司经营高度绑定，对公司拥有绝对经营决策权。本次追加其个人连带责任保证，强化了实控人与银行债权的风险共担机制，体现了其对公司度过短期流动性难关的信心。</w:t>
            </w:r>
          </w:p>
          <w:p w14:paraId="3B5BB62B">
            <w:pPr>
              <w:widowControl/>
              <w:kinsoku w:val="0"/>
              <w:autoSpaceDE w:val="0"/>
              <w:autoSpaceDN w:val="0"/>
              <w:adjustRightInd w:val="0"/>
              <w:snapToGrid w:val="0"/>
              <w:jc w:val="left"/>
              <w:textAlignment w:val="baseline"/>
              <w:rPr>
                <w:rFonts w:ascii="宋体" w:hAnsi="宋体" w:cs="宋体"/>
                <w:b/>
                <w:bCs/>
                <w:snapToGrid w:val="0"/>
                <w:color w:val="FF0000"/>
                <w:kern w:val="0"/>
                <w:szCs w:val="21"/>
                <w:u w:val="single"/>
              </w:rPr>
            </w:pPr>
            <w:r>
              <w:rPr>
                <w:rFonts w:hint="eastAsia" w:ascii="宋体" w:hAnsi="宋体" w:cs="宋体"/>
                <w:b/>
                <w:bCs/>
                <w:snapToGrid w:val="0"/>
                <w:kern w:val="0"/>
                <w:szCs w:val="21"/>
              </w:rPr>
              <w:t>（十一）经营单位授信申报结论及方案：</w:t>
            </w:r>
            <w:r>
              <w:rPr>
                <w:rFonts w:hint="eastAsia" w:ascii="宋体" w:hAnsi="宋体" w:cs="宋体"/>
                <w:b/>
                <w:bCs/>
                <w:snapToGrid w:val="0"/>
                <w:color w:val="FF0000"/>
                <w:kern w:val="0"/>
                <w:szCs w:val="21"/>
              </w:rPr>
              <w:t>（</w:t>
            </w:r>
            <w:r>
              <w:rPr>
                <w:rFonts w:hint="eastAsia" w:ascii="宋体" w:hAnsi="宋体" w:cs="宋体"/>
                <w:b/>
                <w:bCs/>
                <w:snapToGrid w:val="0"/>
                <w:color w:val="FF0000"/>
                <w:kern w:val="0"/>
                <w:szCs w:val="21"/>
                <w:u w:val="single"/>
              </w:rPr>
              <w:t>围绕“现金流、杠杆率、可持续、垒小户、配结算、强担保”六要素展开 ，基于“六要素”综合评判客户是否准入，如何设置合理授信方案及贷后管控措施）</w:t>
            </w:r>
          </w:p>
          <w:p w14:paraId="10BBED0E">
            <w:pPr>
              <w:widowControl/>
              <w:ind w:firstLine="422" w:firstLineChars="200"/>
              <w:rPr>
                <w:rFonts w:hint="eastAsia" w:ascii="宋体" w:hAnsi="宋体" w:cs="宋体"/>
                <w:b/>
                <w:szCs w:val="21"/>
              </w:rPr>
            </w:pPr>
            <w:r>
              <w:rPr>
                <w:rFonts w:hint="eastAsia" w:ascii="宋体" w:hAnsi="宋体" w:cs="宋体"/>
                <w:b/>
                <w:szCs w:val="21"/>
              </w:rPr>
              <w:t>1.综合评价（围绕“六要素”）：</w:t>
            </w:r>
          </w:p>
          <w:p w14:paraId="097794DB">
            <w:pPr>
              <w:widowControl/>
              <w:ind w:firstLine="422" w:firstLineChars="200"/>
              <w:rPr>
                <w:rFonts w:hint="eastAsia" w:ascii="宋体" w:hAnsi="宋体" w:cs="宋体"/>
                <w:snapToGrid w:val="0"/>
                <w:kern w:val="0"/>
                <w:szCs w:val="21"/>
                <w:u w:val="single"/>
              </w:rPr>
            </w:pPr>
            <w:r>
              <w:rPr>
                <w:rFonts w:hint="eastAsia" w:ascii="宋体" w:hAnsi="宋体" w:cs="宋体"/>
                <w:b/>
                <w:bCs/>
                <w:snapToGrid w:val="0"/>
                <w:kern w:val="0"/>
                <w:szCs w:val="21"/>
                <w:u w:val="single"/>
              </w:rPr>
              <w:t>现金流：</w:t>
            </w:r>
            <w:r>
              <w:rPr>
                <w:rFonts w:hint="eastAsia" w:ascii="宋体" w:hAnsi="宋体" w:cs="宋体"/>
                <w:snapToGrid w:val="0"/>
                <w:kern w:val="0"/>
                <w:szCs w:val="21"/>
                <w:u w:val="single"/>
              </w:rPr>
              <w:t>借款人在手订单及未结算应收账款总额足以覆盖我行敞口及外部欠款。只要给予合理的流转时间（再融资），随着下游项目验收结款，其经营性现金流将在未来3-6个月内迎来修复，具备第一还款来源的真实自偿性。</w:t>
            </w:r>
          </w:p>
          <w:p w14:paraId="6FF23C9E">
            <w:pPr>
              <w:widowControl/>
              <w:ind w:firstLine="422" w:firstLineChars="200"/>
              <w:rPr>
                <w:rFonts w:hint="eastAsia" w:ascii="宋体" w:hAnsi="宋体" w:cs="宋体"/>
                <w:snapToGrid w:val="0"/>
                <w:kern w:val="0"/>
                <w:szCs w:val="21"/>
                <w:u w:val="single"/>
              </w:rPr>
            </w:pPr>
            <w:r>
              <w:rPr>
                <w:rFonts w:hint="eastAsia" w:ascii="宋体" w:hAnsi="宋体" w:cs="宋体"/>
                <w:b/>
                <w:bCs/>
                <w:snapToGrid w:val="0"/>
                <w:kern w:val="0"/>
                <w:szCs w:val="21"/>
                <w:u w:val="single"/>
              </w:rPr>
              <w:t>杠杆率:</w:t>
            </w:r>
            <w:r>
              <w:rPr>
                <w:rFonts w:hint="eastAsia"/>
              </w:rPr>
              <w:t xml:space="preserve"> </w:t>
            </w:r>
            <w:r>
              <w:rPr>
                <w:rFonts w:hint="eastAsia" w:ascii="宋体" w:hAnsi="宋体" w:cs="宋体"/>
                <w:snapToGrid w:val="0"/>
                <w:kern w:val="0"/>
                <w:szCs w:val="21"/>
                <w:u w:val="single"/>
              </w:rPr>
              <w:t>剔除应收账款的时间价值损耗，该司的核心资产负债率仍处于行业合理区间（IT网络工程行业特性）。此次申请我行950万元再融资为“平移置换”，并未增加企业整体融资杠杆和实质性债务负担，风险敞口未扩大。</w:t>
            </w:r>
          </w:p>
          <w:p w14:paraId="639D12AC">
            <w:pPr>
              <w:widowControl/>
              <w:ind w:firstLine="422" w:firstLineChars="200"/>
              <w:rPr>
                <w:rFonts w:ascii="宋体" w:hAnsi="宋体" w:cs="宋体"/>
                <w:snapToGrid w:val="0"/>
                <w:kern w:val="0"/>
                <w:szCs w:val="21"/>
                <w:u w:val="single"/>
              </w:rPr>
            </w:pPr>
            <w:r>
              <w:rPr>
                <w:rFonts w:hint="eastAsia" w:ascii="宋体" w:hAnsi="宋体" w:cs="宋体"/>
                <w:b/>
                <w:bCs/>
                <w:snapToGrid w:val="0"/>
                <w:kern w:val="0"/>
                <w:szCs w:val="21"/>
                <w:u w:val="single"/>
              </w:rPr>
              <w:t>可持续：</w:t>
            </w:r>
            <w:r>
              <w:rPr>
                <w:rFonts w:hint="eastAsia" w:ascii="宋体" w:hAnsi="宋体" w:cs="宋体"/>
                <w:snapToGrid w:val="0"/>
                <w:kern w:val="0"/>
                <w:szCs w:val="21"/>
                <w:u w:val="single"/>
              </w:rPr>
              <w:t>公司主营业务运作正常，核心技术团队未流失，与下游企事业单位的业务合作仍在持续。当前的资金调配优先用于“保交付、保运营”，恰恰证明企业在积极自救以维持主业的可持续性。只要主业还在运转，企业就具备盘活的根基。</w:t>
            </w:r>
          </w:p>
          <w:p w14:paraId="63DB6C8F">
            <w:pPr>
              <w:widowControl/>
              <w:ind w:firstLine="422" w:firstLineChars="200"/>
              <w:rPr>
                <w:rFonts w:ascii="宋体" w:hAnsi="宋体" w:cs="宋体"/>
                <w:snapToGrid w:val="0"/>
                <w:kern w:val="0"/>
                <w:szCs w:val="21"/>
                <w:u w:val="single"/>
              </w:rPr>
            </w:pPr>
            <w:r>
              <w:rPr>
                <w:rFonts w:hint="eastAsia" w:ascii="宋体" w:hAnsi="宋体" w:cs="宋体"/>
                <w:b/>
                <w:bCs/>
                <w:snapToGrid w:val="0"/>
                <w:kern w:val="0"/>
                <w:szCs w:val="21"/>
                <w:u w:val="single"/>
              </w:rPr>
              <w:t>垒小户（多头贷款、交叉授信、超融）：</w:t>
            </w:r>
            <w:r>
              <w:rPr>
                <w:rFonts w:hint="eastAsia" w:ascii="宋体" w:hAnsi="宋体" w:cs="宋体"/>
                <w:snapToGrid w:val="0"/>
                <w:kern w:val="0"/>
                <w:szCs w:val="21"/>
                <w:u w:val="single"/>
              </w:rPr>
              <w:t>该公司现有合作银行8家，均是短贷产品。我行此次申请再融资授信敞口额度950万元，用于归还我行贷款。公司名下无房产，该公司成立时间较长，上下游客户稳定且较优质，研发能力较强，团队专业能力较强，法人及团队长经验丰富，企业抗风险能力较强，不存在融资银行垒小户现象。</w:t>
            </w:r>
          </w:p>
          <w:p w14:paraId="5F8FB363">
            <w:pPr>
              <w:widowControl/>
              <w:ind w:firstLine="422" w:firstLineChars="200"/>
              <w:rPr>
                <w:rFonts w:hint="eastAsia" w:ascii="宋体" w:hAnsi="宋体" w:cs="宋体"/>
                <w:snapToGrid w:val="0"/>
                <w:kern w:val="0"/>
                <w:szCs w:val="21"/>
                <w:u w:val="single"/>
              </w:rPr>
            </w:pPr>
            <w:r>
              <w:rPr>
                <w:rFonts w:hint="eastAsia" w:ascii="宋体" w:hAnsi="宋体" w:cs="宋体"/>
                <w:b/>
                <w:bCs/>
                <w:snapToGrid w:val="0"/>
                <w:kern w:val="0"/>
                <w:szCs w:val="21"/>
                <w:u w:val="single"/>
              </w:rPr>
              <w:t>配结算：</w:t>
            </w:r>
            <w:r>
              <w:rPr>
                <w:rFonts w:hint="eastAsia" w:ascii="宋体" w:hAnsi="宋体" w:cs="宋体"/>
                <w:snapToGrid w:val="0"/>
                <w:kern w:val="0"/>
                <w:szCs w:val="21"/>
                <w:u w:val="single"/>
              </w:rPr>
              <w:t>借款人在我行整体结算较少，后续将加强营销结算和代发业务。</w:t>
            </w:r>
          </w:p>
          <w:p w14:paraId="57459A1B">
            <w:pPr>
              <w:widowControl/>
              <w:ind w:firstLine="422" w:firstLineChars="200"/>
              <w:rPr>
                <w:rFonts w:hint="eastAsia" w:ascii="宋体" w:hAnsi="宋体" w:cs="宋体"/>
                <w:snapToGrid w:val="0"/>
                <w:kern w:val="0"/>
                <w:szCs w:val="21"/>
                <w:u w:val="single"/>
              </w:rPr>
            </w:pPr>
            <w:r>
              <w:rPr>
                <w:rFonts w:hint="eastAsia" w:ascii="宋体" w:hAnsi="宋体" w:cs="宋体"/>
                <w:b/>
                <w:bCs/>
                <w:snapToGrid w:val="0"/>
                <w:kern w:val="0"/>
                <w:szCs w:val="21"/>
                <w:u w:val="single"/>
              </w:rPr>
              <w:t>强担保：</w:t>
            </w:r>
            <w:r>
              <w:rPr>
                <w:rFonts w:hint="eastAsia" w:ascii="宋体" w:hAnsi="宋体" w:cs="宋体"/>
                <w:snapToGrid w:val="0"/>
                <w:kern w:val="0"/>
                <w:szCs w:val="21"/>
                <w:u w:val="single"/>
              </w:rPr>
              <w:t>该公司名下无房产，我行此次申请再融资授信额度追加实控人个人连带责任保证。</w:t>
            </w:r>
          </w:p>
          <w:p w14:paraId="7A5A1054">
            <w:pPr>
              <w:ind w:firstLine="420" w:firstLineChars="200"/>
              <w:rPr>
                <w:rFonts w:ascii="宋体" w:hAnsi="宋体"/>
                <w:u w:val="single"/>
              </w:rPr>
            </w:pPr>
            <w:r>
              <w:rPr>
                <w:rFonts w:hint="eastAsia" w:ascii="宋体" w:hAnsi="宋体"/>
                <w:u w:val="single"/>
              </w:rPr>
              <w:t>虽然公司短期存在明确的信用瑕疵，但其核心业务未废、应收账款真实存在。若此时抽贷，将直接导致企业资金链断裂，我行1000万贷款将实质性逾期；通过结构化授信重塑，实施再融资（借新还旧），是以时间换空间、保全我行信贷资产的最优解。基于六要素综合评估，建议予以准入。</w:t>
            </w:r>
          </w:p>
          <w:p w14:paraId="0B35DF1B">
            <w:pPr>
              <w:ind w:firstLine="422" w:firstLineChars="200"/>
              <w:rPr>
                <w:rFonts w:hint="eastAsia" w:ascii="宋体" w:hAnsi="宋体" w:cs="宋体"/>
                <w:szCs w:val="21"/>
              </w:rPr>
            </w:pPr>
            <w:r>
              <w:rPr>
                <w:rFonts w:hint="eastAsia" w:ascii="宋体" w:hAnsi="宋体" w:cs="宋体"/>
                <w:b/>
                <w:szCs w:val="21"/>
              </w:rPr>
              <w:t>2.申报授信方案：</w:t>
            </w:r>
            <w:r>
              <w:rPr>
                <w:rFonts w:hint="eastAsia" w:ascii="宋体" w:hAnsi="宋体"/>
                <w:u w:val="single"/>
              </w:rPr>
              <w:t>拟申请给予借款人再融资授信额度950万元（敞口950万元），授信期限1年，按月付息，利率执行相关定价审批部门意见，提供实际控制人黄祖海担保，额度仅用于归还我行贷款。</w:t>
            </w:r>
            <w:r>
              <w:rPr>
                <w:rFonts w:hint="eastAsia" w:ascii="宋体" w:hAnsi="宋体" w:cs="宋体"/>
                <w:b/>
                <w:szCs w:val="21"/>
                <w:u w:val="single"/>
              </w:rPr>
              <w:t xml:space="preserve"> </w:t>
            </w:r>
          </w:p>
          <w:p w14:paraId="79C51C04">
            <w:pPr>
              <w:adjustRightInd w:val="0"/>
              <w:snapToGrid w:val="0"/>
              <w:spacing w:before="93" w:beforeLines="30" w:after="93" w:afterLines="30"/>
              <w:rPr>
                <w:rFonts w:hint="eastAsia" w:ascii="宋体" w:hAnsi="宋体" w:cs="宋体"/>
                <w:b/>
                <w:snapToGrid w:val="0"/>
                <w:kern w:val="0"/>
                <w:szCs w:val="21"/>
              </w:rPr>
            </w:pPr>
          </w:p>
          <w:p w14:paraId="493273AF">
            <w:pPr>
              <w:adjustRightInd w:val="0"/>
              <w:snapToGrid w:val="0"/>
              <w:spacing w:before="93" w:beforeLines="30" w:after="93" w:afterLines="30"/>
              <w:rPr>
                <w:rFonts w:hint="eastAsia" w:ascii="宋体" w:hAnsi="宋体" w:cs="宋体"/>
                <w:bCs/>
                <w:snapToGrid w:val="0"/>
                <w:kern w:val="0"/>
                <w:szCs w:val="21"/>
              </w:rPr>
            </w:pPr>
            <w:r>
              <w:rPr>
                <w:rFonts w:hint="eastAsia" w:ascii="宋体" w:hAnsi="宋体" w:cs="宋体"/>
                <w:b/>
                <w:snapToGrid w:val="0"/>
                <w:kern w:val="0"/>
                <w:szCs w:val="21"/>
              </w:rPr>
              <w:t>尽职调查：经营单位对上述材料真实性负责。</w:t>
            </w:r>
          </w:p>
          <w:p w14:paraId="6202710F">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p>
          <w:p w14:paraId="674C9C8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共同调查人:</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p>
          <w:p w14:paraId="7C091395">
            <w:pPr>
              <w:adjustRightInd w:val="0"/>
              <w:snapToGrid w:val="0"/>
              <w:spacing w:before="93" w:beforeLines="30" w:after="93" w:afterLines="30"/>
              <w:ind w:firstLine="420" w:firstLineChars="200"/>
              <w:rPr>
                <w:rFonts w:ascii="宋体" w:hAnsi="宋体" w:cs="宋体"/>
                <w:bCs/>
                <w:snapToGrid w:val="0"/>
                <w:color w:val="000000"/>
                <w:kern w:val="0"/>
                <w:szCs w:val="21"/>
              </w:rPr>
            </w:pPr>
            <w:r>
              <w:rPr>
                <w:rFonts w:hint="eastAsia" w:ascii="宋体" w:hAnsi="宋体" w:cs="宋体"/>
                <w:bCs/>
                <w:snapToGrid w:val="0"/>
                <w:color w:val="000000"/>
                <w:kern w:val="0"/>
                <w:szCs w:val="21"/>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p>
          <w:p w14:paraId="24E95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p>
          <w:p w14:paraId="416DE0EB">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p>
        </w:tc>
      </w:tr>
      <w:tr w14:paraId="3A8230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EB1C378">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省分行（辖行）普惠部审查岗意见</w:t>
            </w:r>
            <w:r>
              <w:rPr>
                <w:rFonts w:hint="eastAsia" w:ascii="宋体" w:hAnsi="宋体" w:cs="宋体"/>
                <w:b/>
                <w:bCs/>
                <w:snapToGrid w:val="0"/>
                <w:color w:val="FF0000"/>
                <w:kern w:val="0"/>
                <w:szCs w:val="21"/>
              </w:rPr>
              <w:t>（可另附）</w:t>
            </w:r>
            <w:r>
              <w:rPr>
                <w:rFonts w:hint="eastAsia" w:ascii="宋体" w:hAnsi="宋体" w:cs="宋体"/>
                <w:b/>
                <w:bCs/>
                <w:snapToGrid w:val="0"/>
                <w:color w:val="000000"/>
                <w:kern w:val="0"/>
                <w:szCs w:val="21"/>
              </w:rPr>
              <w:t>：</w:t>
            </w:r>
          </w:p>
          <w:p w14:paraId="4639A210">
            <w:pPr>
              <w:pStyle w:val="11"/>
              <w:numPr>
                <w:ilvl w:val="0"/>
                <w:numId w:val="1"/>
              </w:numPr>
              <w:rPr>
                <w:rFonts w:hint="eastAsia" w:ascii="宋体" w:hAnsi="宋体"/>
                <w:b/>
                <w:kern w:val="2"/>
                <w:sz w:val="21"/>
                <w:szCs w:val="21"/>
              </w:rPr>
            </w:pPr>
            <w:r>
              <w:rPr>
                <w:rFonts w:hint="eastAsia" w:ascii="宋体" w:hAnsi="宋体"/>
                <w:b/>
                <w:kern w:val="2"/>
                <w:sz w:val="21"/>
                <w:szCs w:val="21"/>
              </w:rPr>
              <w:t>主要风险及管控措施</w:t>
            </w:r>
          </w:p>
          <w:p w14:paraId="7290AEB9">
            <w:pPr>
              <w:numPr>
                <w:ilvl w:val="0"/>
                <w:numId w:val="1"/>
              </w:numPr>
              <w:rPr>
                <w:rFonts w:hint="eastAsia"/>
              </w:rPr>
            </w:pPr>
            <w:r>
              <w:rPr>
                <w:rFonts w:hint="eastAsia" w:ascii="国标宋体" w:hAnsi="国标宋体" w:eastAsia="国标宋体" w:cs="国标宋体"/>
                <w:b/>
                <w:szCs w:val="21"/>
              </w:rPr>
              <w:t>审查审批意见</w:t>
            </w:r>
          </w:p>
          <w:p w14:paraId="24F32B0C">
            <w:pPr>
              <w:rPr>
                <w:rFonts w:hint="eastAsia"/>
              </w:rPr>
            </w:pPr>
          </w:p>
          <w:p w14:paraId="4AF41ADC">
            <w:pPr>
              <w:rPr>
                <w:rFonts w:hint="eastAsia"/>
              </w:rPr>
            </w:pPr>
          </w:p>
          <w:p w14:paraId="31514E32">
            <w:pPr>
              <w:pStyle w:val="2"/>
              <w:rPr>
                <w:rFonts w:hint="eastAsia"/>
              </w:rPr>
            </w:pPr>
          </w:p>
          <w:p w14:paraId="70B911A2">
            <w:pPr>
              <w:rPr>
                <w:rFonts w:hint="eastAsia"/>
              </w:rPr>
            </w:pPr>
          </w:p>
          <w:p w14:paraId="72CE7D8E">
            <w:pPr>
              <w:pStyle w:val="2"/>
              <w:rPr>
                <w:rFonts w:hint="eastAsia"/>
              </w:rPr>
            </w:pPr>
          </w:p>
          <w:p w14:paraId="0684ED22">
            <w:pPr>
              <w:rPr>
                <w:rFonts w:hint="eastAsia"/>
              </w:rPr>
            </w:pPr>
          </w:p>
          <w:p w14:paraId="509DA1AE">
            <w:pPr>
              <w:pStyle w:val="2"/>
              <w:rPr>
                <w:rFonts w:hint="eastAsia"/>
              </w:rPr>
            </w:pPr>
          </w:p>
          <w:p w14:paraId="23C1187F">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 xml:space="preserve">      审查员：                             日期：  　 年    月    日</w:t>
            </w:r>
          </w:p>
        </w:tc>
      </w:tr>
      <w:tr w14:paraId="1B571D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3B2F573">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rPr>
            </w:pPr>
            <w:r>
              <w:rPr>
                <w:rFonts w:hint="eastAsia" w:ascii="宋体" w:hAnsi="宋体" w:cs="宋体"/>
                <w:b/>
                <w:bCs/>
                <w:snapToGrid w:val="0"/>
                <w:color w:val="000000"/>
                <w:kern w:val="0"/>
                <w:szCs w:val="21"/>
              </w:rPr>
              <w:t>省分行（辖行）</w:t>
            </w:r>
            <w:r>
              <w:rPr>
                <w:rFonts w:hint="eastAsia" w:ascii="宋体" w:hAnsi="宋体" w:cs="宋体"/>
                <w:b/>
                <w:snapToGrid w:val="0"/>
                <w:color w:val="000000"/>
                <w:kern w:val="0"/>
                <w:szCs w:val="21"/>
              </w:rPr>
              <w:t>普惠部审批意见：</w:t>
            </w:r>
          </w:p>
          <w:p w14:paraId="603E6CF4">
            <w:pPr>
              <w:pStyle w:val="2"/>
              <w:rPr>
                <w:rFonts w:hint="eastAsia"/>
              </w:rPr>
            </w:pPr>
          </w:p>
          <w:p w14:paraId="01E4D0CA">
            <w:pPr>
              <w:rPr>
                <w:rFonts w:hint="eastAsia"/>
              </w:rPr>
            </w:pPr>
          </w:p>
          <w:p w14:paraId="7ACBC4AF">
            <w:pPr>
              <w:pStyle w:val="2"/>
              <w:rPr>
                <w:rFonts w:hint="eastAsia"/>
              </w:rPr>
            </w:pPr>
          </w:p>
          <w:p w14:paraId="3AB2F307">
            <w:pPr>
              <w:rPr>
                <w:rFonts w:hint="eastAsia"/>
              </w:rPr>
            </w:pPr>
          </w:p>
          <w:p w14:paraId="20D27F37">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审批人：                             日期：  　 年    月    日</w:t>
            </w:r>
          </w:p>
        </w:tc>
      </w:tr>
      <w:tr w14:paraId="0ACF98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7BDE3E6D">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rPr>
            </w:pPr>
            <w:r>
              <w:rPr>
                <w:rFonts w:hint="eastAsia" w:ascii="宋体" w:hAnsi="宋体" w:cs="宋体"/>
                <w:b/>
                <w:bCs/>
                <w:snapToGrid w:val="0"/>
                <w:color w:val="000000"/>
                <w:kern w:val="0"/>
                <w:szCs w:val="21"/>
              </w:rPr>
              <w:t>省分行（辖行）</w:t>
            </w:r>
            <w:r>
              <w:rPr>
                <w:rFonts w:hint="eastAsia" w:ascii="宋体" w:hAnsi="宋体" w:cs="宋体"/>
                <w:b/>
                <w:snapToGrid w:val="0"/>
                <w:color w:val="000000"/>
                <w:kern w:val="0"/>
                <w:szCs w:val="21"/>
              </w:rPr>
              <w:t>分管行长审批意见：</w:t>
            </w:r>
          </w:p>
          <w:p w14:paraId="19267CA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p>
          <w:p w14:paraId="271E4039">
            <w:pPr>
              <w:pStyle w:val="2"/>
              <w:rPr>
                <w:rFonts w:hint="eastAsia" w:ascii="宋体" w:hAnsi="宋体" w:cs="宋体"/>
                <w:snapToGrid w:val="0"/>
                <w:color w:val="000000"/>
                <w:kern w:val="0"/>
                <w:szCs w:val="21"/>
              </w:rPr>
            </w:pPr>
          </w:p>
          <w:p w14:paraId="21A60EA1">
            <w:pPr>
              <w:rPr>
                <w:rFonts w:hint="eastAsia" w:ascii="宋体" w:hAnsi="宋体" w:cs="宋体"/>
                <w:snapToGrid w:val="0"/>
                <w:color w:val="000000"/>
                <w:kern w:val="0"/>
                <w:szCs w:val="21"/>
              </w:rPr>
            </w:pPr>
          </w:p>
          <w:p w14:paraId="1DA9A2ED">
            <w:pPr>
              <w:pStyle w:val="2"/>
              <w:rPr>
                <w:rFonts w:hint="eastAsia" w:ascii="宋体" w:hAnsi="宋体" w:cs="宋体"/>
                <w:snapToGrid w:val="0"/>
                <w:color w:val="000000"/>
                <w:kern w:val="0"/>
                <w:szCs w:val="21"/>
              </w:rPr>
            </w:pPr>
          </w:p>
          <w:p w14:paraId="0A0A8EB3">
            <w:pPr>
              <w:rPr>
                <w:rFonts w:hint="eastAsia" w:ascii="宋体" w:hAnsi="宋体" w:cs="宋体"/>
                <w:snapToGrid w:val="0"/>
                <w:color w:val="000000"/>
                <w:kern w:val="0"/>
                <w:szCs w:val="21"/>
              </w:rPr>
            </w:pPr>
          </w:p>
          <w:p w14:paraId="3B558452">
            <w:pPr>
              <w:pStyle w:val="2"/>
              <w:rPr>
                <w:rFonts w:hint="eastAsia"/>
              </w:rPr>
            </w:pPr>
          </w:p>
          <w:p w14:paraId="6C1A30FC">
            <w:pPr>
              <w:pStyle w:val="2"/>
              <w:rPr>
                <w:rFonts w:hint="eastAsia"/>
              </w:rPr>
            </w:pPr>
          </w:p>
          <w:p w14:paraId="0C2F400B">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分管行长：                           日期：  　 年    月    日</w:t>
            </w:r>
          </w:p>
        </w:tc>
      </w:tr>
    </w:tbl>
    <w:p w14:paraId="6810E6CE">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D150B">
    <w:pPr>
      <w:spacing w:line="14" w:lineRule="auto"/>
      <w:rPr>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66D5"/>
    <w:rsid w:val="00022A18"/>
    <w:rsid w:val="00042BDE"/>
    <w:rsid w:val="00075618"/>
    <w:rsid w:val="000971E9"/>
    <w:rsid w:val="000C46BA"/>
    <w:rsid w:val="0010018A"/>
    <w:rsid w:val="00110333"/>
    <w:rsid w:val="001176A0"/>
    <w:rsid w:val="0012758E"/>
    <w:rsid w:val="00142C18"/>
    <w:rsid w:val="00151AEF"/>
    <w:rsid w:val="00161606"/>
    <w:rsid w:val="0017217D"/>
    <w:rsid w:val="001818F8"/>
    <w:rsid w:val="001A1796"/>
    <w:rsid w:val="001A6CCC"/>
    <w:rsid w:val="0022755B"/>
    <w:rsid w:val="002376B3"/>
    <w:rsid w:val="00246374"/>
    <w:rsid w:val="00271168"/>
    <w:rsid w:val="00283906"/>
    <w:rsid w:val="002F5FD2"/>
    <w:rsid w:val="00301DA6"/>
    <w:rsid w:val="00317385"/>
    <w:rsid w:val="00327B9D"/>
    <w:rsid w:val="0033348A"/>
    <w:rsid w:val="00366AAA"/>
    <w:rsid w:val="003D50A0"/>
    <w:rsid w:val="003E12EF"/>
    <w:rsid w:val="003E4F16"/>
    <w:rsid w:val="003E52DB"/>
    <w:rsid w:val="003F14C9"/>
    <w:rsid w:val="003F1B51"/>
    <w:rsid w:val="00462E32"/>
    <w:rsid w:val="004D16B6"/>
    <w:rsid w:val="004E691F"/>
    <w:rsid w:val="004F5CA7"/>
    <w:rsid w:val="005073B0"/>
    <w:rsid w:val="005565D3"/>
    <w:rsid w:val="005D1326"/>
    <w:rsid w:val="005E3714"/>
    <w:rsid w:val="005E5820"/>
    <w:rsid w:val="00602056"/>
    <w:rsid w:val="006111D6"/>
    <w:rsid w:val="00615FC7"/>
    <w:rsid w:val="0064696B"/>
    <w:rsid w:val="00671D9F"/>
    <w:rsid w:val="0067783D"/>
    <w:rsid w:val="00693E0E"/>
    <w:rsid w:val="006C4AB3"/>
    <w:rsid w:val="006D0F28"/>
    <w:rsid w:val="006D444A"/>
    <w:rsid w:val="00735646"/>
    <w:rsid w:val="00742225"/>
    <w:rsid w:val="00764A8B"/>
    <w:rsid w:val="00777401"/>
    <w:rsid w:val="007D63F4"/>
    <w:rsid w:val="007E60AE"/>
    <w:rsid w:val="008113C9"/>
    <w:rsid w:val="00836BD9"/>
    <w:rsid w:val="0084070E"/>
    <w:rsid w:val="008445F9"/>
    <w:rsid w:val="00885279"/>
    <w:rsid w:val="00886508"/>
    <w:rsid w:val="008E720A"/>
    <w:rsid w:val="008E791F"/>
    <w:rsid w:val="00934E96"/>
    <w:rsid w:val="0096525A"/>
    <w:rsid w:val="0098535B"/>
    <w:rsid w:val="009B1411"/>
    <w:rsid w:val="009B5209"/>
    <w:rsid w:val="00A138A8"/>
    <w:rsid w:val="00A166EE"/>
    <w:rsid w:val="00A514D4"/>
    <w:rsid w:val="00A5228A"/>
    <w:rsid w:val="00A80FC3"/>
    <w:rsid w:val="00AC74D9"/>
    <w:rsid w:val="00AD7241"/>
    <w:rsid w:val="00B17733"/>
    <w:rsid w:val="00B36E41"/>
    <w:rsid w:val="00B57398"/>
    <w:rsid w:val="00B922CC"/>
    <w:rsid w:val="00B934A9"/>
    <w:rsid w:val="00BD36AC"/>
    <w:rsid w:val="00BD58BB"/>
    <w:rsid w:val="00BD5AE5"/>
    <w:rsid w:val="00BE0E64"/>
    <w:rsid w:val="00BF2681"/>
    <w:rsid w:val="00C24D03"/>
    <w:rsid w:val="00C27B60"/>
    <w:rsid w:val="00C61539"/>
    <w:rsid w:val="00C71C04"/>
    <w:rsid w:val="00C923CA"/>
    <w:rsid w:val="00C92696"/>
    <w:rsid w:val="00CA666B"/>
    <w:rsid w:val="00CA6DE7"/>
    <w:rsid w:val="00CC6019"/>
    <w:rsid w:val="00CE1219"/>
    <w:rsid w:val="00CF5123"/>
    <w:rsid w:val="00D10ACF"/>
    <w:rsid w:val="00D11979"/>
    <w:rsid w:val="00D261E9"/>
    <w:rsid w:val="00D63EFC"/>
    <w:rsid w:val="00D72E2E"/>
    <w:rsid w:val="00D90AA0"/>
    <w:rsid w:val="00D961DC"/>
    <w:rsid w:val="00DE20BE"/>
    <w:rsid w:val="00DE75B3"/>
    <w:rsid w:val="00E14B94"/>
    <w:rsid w:val="00E40E29"/>
    <w:rsid w:val="00E54C48"/>
    <w:rsid w:val="00E5633B"/>
    <w:rsid w:val="00E56752"/>
    <w:rsid w:val="00E916F0"/>
    <w:rsid w:val="00E95C00"/>
    <w:rsid w:val="00EC3FD0"/>
    <w:rsid w:val="00ED0EC2"/>
    <w:rsid w:val="00EE3E13"/>
    <w:rsid w:val="00F005AE"/>
    <w:rsid w:val="00F371B8"/>
    <w:rsid w:val="00F63D95"/>
    <w:rsid w:val="00F833A4"/>
    <w:rsid w:val="00F87486"/>
    <w:rsid w:val="00F95334"/>
    <w:rsid w:val="00FD3C39"/>
    <w:rsid w:val="00FF0982"/>
    <w:rsid w:val="06DB1BB4"/>
    <w:rsid w:val="07B27654"/>
    <w:rsid w:val="07E763E4"/>
    <w:rsid w:val="0BC762E6"/>
    <w:rsid w:val="0D954BD9"/>
    <w:rsid w:val="0EC97A27"/>
    <w:rsid w:val="12E93877"/>
    <w:rsid w:val="1495378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4583655"/>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字符"/>
    <w:link w:val="9"/>
    <w:uiPriority w:val="0"/>
    <w:rPr>
      <w:kern w:val="2"/>
      <w:sz w:val="18"/>
      <w:szCs w:val="18"/>
    </w:rPr>
  </w:style>
  <w:style w:type="character" w:customStyle="1" w:styleId="17">
    <w:name w:val="页眉 字符"/>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 w:type="character" w:customStyle="1" w:styleId="21">
    <w:name w:val="font11"/>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8949</Words>
  <Characters>10456</Characters>
  <Lines>87</Lines>
  <Paragraphs>24</Paragraphs>
  <TotalTime>0</TotalTime>
  <ScaleCrop>false</ScaleCrop>
  <LinksUpToDate>false</LinksUpToDate>
  <CharactersWithSpaces>11289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2022-01-27T01:10:00Z</dcterms:created>
  <dc:creator>bocsz</dc:creator>
  <cp:lastModifiedBy>Mr</cp:lastModifiedBy>
  <cp:lastPrinted>2025-12-05T17:27:00Z</cp:lastPrinted>
  <dcterms:modified xsi:type="dcterms:W3CDTF">2026-04-04T09:11:19Z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9A9D16302B424E9584EDEA2D561420B4_13</vt:lpwstr>
  </property>
</Properties>
</file>