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comments.xml" ContentType="application/vnd.openxmlformats-officedocument.wordprocessingml.comments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55B943">
      <w:pPr>
        <w:rPr>
          <w:rFonts w:hint="eastAsia" w:ascii="宋体" w:hAnsi="宋体" w:cs="宋体"/>
          <w:sz w:val="28"/>
          <w:szCs w:val="36"/>
        </w:rPr>
      </w:pPr>
      <w:bookmarkStart w:id="0" w:name="_GoBack"/>
      <w:bookmarkEnd w:id="0"/>
      <w:r>
        <w:rPr>
          <w:rFonts w:hint="eastAsia" w:ascii="宋体" w:hAnsi="宋体" w:cs="宋体"/>
          <w:sz w:val="28"/>
          <w:szCs w:val="36"/>
        </w:rPr>
        <w:t>附件1：</w:t>
      </w:r>
    </w:p>
    <w:tbl>
      <w:tblPr>
        <w:tblStyle w:val="13"/>
        <w:tblW w:w="1106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64"/>
      </w:tblGrid>
      <w:tr w14:paraId="5B7C5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28" w:hRule="atLeast"/>
          <w:jc w:val="center"/>
        </w:trPr>
        <w:tc>
          <w:tcPr>
            <w:tcW w:w="11064" w:type="dxa"/>
            <w:noWrap w:val="0"/>
            <w:vAlign w:val="top"/>
          </w:tcPr>
          <w:p w14:paraId="0E4D79E6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 w:val="32"/>
                <w:szCs w:val="32"/>
                <w:lang w:eastAsia="zh-CN"/>
              </w:rPr>
              <w:t>福建省分行普惠法人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 w:val="32"/>
                <w:szCs w:val="32"/>
              </w:rPr>
              <w:t>授信申报及审查审批意见表（202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 w:val="32"/>
                <w:szCs w:val="32"/>
                <w:lang w:val="en-US" w:eastAsia="zh-CN"/>
              </w:rPr>
              <w:t>5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 w:val="32"/>
                <w:szCs w:val="32"/>
              </w:rPr>
              <w:t>新版）</w:t>
            </w:r>
          </w:p>
        </w:tc>
      </w:tr>
      <w:tr w14:paraId="4CC12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1" w:hRule="atLeast"/>
          <w:jc w:val="center"/>
        </w:trPr>
        <w:tc>
          <w:tcPr>
            <w:tcW w:w="11064" w:type="dxa"/>
            <w:noWrap w:val="0"/>
            <w:vAlign w:val="top"/>
          </w:tcPr>
          <w:p w14:paraId="4CF78940">
            <w:pPr>
              <w:spacing w:before="62" w:beforeLines="2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1"/>
                <w:szCs w:val="21"/>
                <w:highlight w:val="none"/>
                <w:lang w:val="en-US" w:eastAsia="zh-CN" w:bidi="ar-SA"/>
              </w:rPr>
              <w:t>客户名称：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 xml:space="preserve"> 福建中锐网络股份有限公司 </w:t>
            </w:r>
          </w:p>
          <w:p w14:paraId="54CB5F37">
            <w:pPr>
              <w:spacing w:line="240" w:lineRule="auto"/>
              <w:jc w:val="both"/>
              <w:outlineLvl w:val="0"/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val="en-US" w:eastAsia="zh-CN"/>
              </w:rPr>
              <w:t>集团名称（如涉及）：</w:t>
            </w:r>
          </w:p>
          <w:p w14:paraId="0C2EFAED">
            <w:commentRangeStart w:id="0"/>
            <w:pPr>
              <w:pStyle w:val="11"/>
              <w:rPr>
                <w:rFonts w:hint="eastAsia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val="en-US" w:eastAsia="zh-CN"/>
              </w:rPr>
              <w:t>申报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单位：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ab/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ab/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ab/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ab/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ab/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val="en-US" w:eastAsia="zh-CN"/>
              </w:rPr>
              <w:t>客户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经</w:t>
            </w:r>
            <w:r>
              <w:rPr>
                <w:rFonts w:hint="eastAsia" w:ascii="宋体" w:hAnsi="宋体" w:eastAsia="宋体" w:cs="宋体"/>
                <w:b/>
                <w:i w:val="0"/>
                <w:iCs w:val="0"/>
                <w:sz w:val="21"/>
                <w:szCs w:val="21"/>
                <w:highlight w:val="none"/>
              </w:rPr>
              <w:t>理</w:t>
            </w:r>
            <w:r>
              <w:rPr>
                <w:rFonts w:hint="eastAsia" w:ascii="宋体" w:hAnsi="宋体" w:eastAsia="宋体" w:cs="宋体"/>
                <w:b/>
                <w:i w:val="0"/>
                <w:iCs w:val="0"/>
                <w:sz w:val="21"/>
                <w:szCs w:val="21"/>
                <w:highlight w:val="none"/>
                <w:lang w:eastAsia="zh-CN"/>
              </w:rPr>
              <w:t>：</w:t>
            </w:r>
            <w:r>
              <w:rPr>
                <w:rFonts w:hint="eastAsia" w:ascii="宋体" w:hAnsi="宋体" w:eastAsia="宋体" w:cs="宋体"/>
                <w:b/>
                <w:i w:val="0"/>
                <w:iCs w:val="0"/>
                <w:sz w:val="21"/>
                <w:szCs w:val="21"/>
                <w:highlight w:val="none"/>
                <w:lang w:val="en-US" w:eastAsia="zh-CN"/>
              </w:rPr>
              <w:t xml:space="preserve">                联系电话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：</w:t>
            </w:r>
            <w:commentRangeEnd w:id="0"/>
            <w:r>
              <w:rPr>
                <w:rStyle w:val="CommentReference"/>
              </w:rPr>
              <w:commentReference w:id="0"/>
            </w:r>
          </w:p>
          <w:p w14:paraId="3777922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授信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方案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：□新客户</w:t>
            </w:r>
          </w:p>
          <w:p w14:paraId="2DA73A3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ind w:firstLine="1054" w:firstLineChars="50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☑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存量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客户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bCs/>
                <w:szCs w:val="21"/>
              </w:rPr>
              <w:t>原有额度批复日期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: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年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月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日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）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 xml:space="preserve">☑维持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sym w:font="Wingdings 2" w:char="00A3"/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增加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□减少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授信方案调整</w:t>
            </w:r>
          </w:p>
          <w:p w14:paraId="68968EB1">
            <w:commentRangeStart w:id="1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lang w:eastAsia="zh-CN"/>
              </w:rPr>
              <w:t>国标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</w:rPr>
              <w:t>行业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门类-大类-中类-小类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eastAsia="zh-CN"/>
              </w:rPr>
              <w:t>）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</w:rPr>
              <w:t>：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 xml:space="preserve">                          </w:t>
            </w:r>
            <w:commentRangeEnd w:id="1"/>
            <w:r>
              <w:rPr>
                <w:rStyle w:val="CommentReference"/>
              </w:rPr>
              <w:commentReference w:id="1"/>
            </w:r>
          </w:p>
          <w:p w14:paraId="3E70D6A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规模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划型：□微型 ☑小型 □中型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所属客群：☑支持类 □审慎类 □禁止类</w:t>
            </w:r>
          </w:p>
          <w:p w14:paraId="007D558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划型要素：上年度资产总额 18575万元；上年度销售额 8712万元；上年度末员工人数      人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</w:r>
          </w:p>
          <w:p w14:paraId="14F4997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trike w:val="0"/>
                <w:dstrike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环境、社会和治理风险分类</w:t>
            </w:r>
            <w:r>
              <w:rPr>
                <w:rFonts w:hint="eastAsia" w:ascii="宋体" w:hAnsi="宋体" w:eastAsia="宋体" w:cs="宋体"/>
                <w:b/>
                <w:bCs/>
                <w:strike w:val="0"/>
                <w:dstrike w:val="0"/>
                <w:sz w:val="21"/>
                <w:szCs w:val="21"/>
                <w:highlight w:val="none"/>
                <w:lang w:val="en-US" w:eastAsia="zh-CN"/>
              </w:rPr>
              <w:t>（ESG评价）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：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☑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A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sym w:font="Wingdings 2" w:char="00A3"/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 xml:space="preserve">B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C</w:t>
            </w:r>
            <w:r>
              <w:rPr>
                <w:rFonts w:hint="eastAsia" w:ascii="宋体" w:hAnsi="宋体" w:eastAsia="宋体" w:cs="宋体"/>
                <w:b/>
                <w:bCs/>
                <w:strike w:val="0"/>
                <w:dstrike w:val="0"/>
                <w:sz w:val="21"/>
                <w:szCs w:val="21"/>
                <w:highlight w:val="none"/>
                <w:lang w:val="en-US" w:eastAsia="zh-CN"/>
              </w:rPr>
              <w:t>（如涉及A/B类,须在其他负面信息栏反馈ESG风险评价）</w:t>
            </w:r>
          </w:p>
          <w:p w14:paraId="6953AC58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反洗钱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风险等级：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☑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低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sym w:font="Wingdings 2" w:char="00A3"/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一般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eastAsia="zh-CN"/>
              </w:rPr>
              <w:t>较高（</w:t>
            </w:r>
            <w:r>
              <w:rPr>
                <w:rFonts w:hint="eastAsia" w:ascii="宋体" w:hAnsi="宋体" w:eastAsia="宋体" w:cs="宋体"/>
                <w:b/>
                <w:bCs/>
                <w:strike w:val="0"/>
                <w:dstrike w:val="0"/>
                <w:sz w:val="21"/>
                <w:szCs w:val="21"/>
                <w:highlight w:val="none"/>
                <w:lang w:val="en-US" w:eastAsia="zh-CN"/>
              </w:rPr>
              <w:t>须在其他负面信息栏说明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eastAsia="zh-CN"/>
              </w:rPr>
              <w:t>）；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eastAsia="zh-CN"/>
              </w:rPr>
              <w:t>高（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不得准入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eastAsia="zh-CN"/>
              </w:rPr>
              <w:t>）</w:t>
            </w:r>
          </w:p>
          <w:p w14:paraId="11732687">
            <w:commentRangeStart w:id="2"/>
            <w:pPr>
              <w:pStyle w:val="7"/>
              <w:rPr>
                <w:rFonts w:hint="default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lang w:val="en-US" w:eastAsia="zh-CN" w:bidi="ar-SA"/>
              </w:rPr>
              <w:t>绿通标识：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 xml:space="preserve">        </w:t>
            </w:r>
            <w:commentRangeEnd w:id="2"/>
            <w:r>
              <w:rPr>
                <w:rStyle w:val="CommentReference"/>
              </w:rPr>
              <w:commentReference w:id="2"/>
            </w:r>
          </w:p>
        </w:tc>
      </w:tr>
      <w:tr w14:paraId="0D714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8" w:hRule="atLeast"/>
          <w:jc w:val="center"/>
        </w:trPr>
        <w:tc>
          <w:tcPr>
            <w:tcW w:w="11064" w:type="dxa"/>
            <w:noWrap w:val="0"/>
            <w:vAlign w:val="top"/>
          </w:tcPr>
          <w:p w14:paraId="663E39A1">
            <w:pPr>
              <w:spacing w:before="62" w:beforeLines="2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申报额度： 1000万元；申报敞口 1000万元；【上一期授信敞口（若有）：  500万元】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</w:r>
          </w:p>
          <w:p w14:paraId="2F13B6BC">
            <w:pPr>
              <w:spacing w:before="62" w:beforeLines="2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业务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品种：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一般短期流动资金贷款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；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业务期限：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 12个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none"/>
                <w:lang w:val="en-US" w:eastAsia="zh-CN"/>
              </w:rPr>
              <w:t>月；授信期限：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 1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none"/>
                <w:lang w:val="en-US" w:eastAsia="zh-CN"/>
              </w:rPr>
              <w:t>年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     </w:t>
            </w:r>
          </w:p>
          <w:p w14:paraId="1D0618AE">
            <w:pPr>
              <w:spacing w:before="62" w:beforeLines="2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担保方式：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500万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抵押+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500万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信用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none"/>
                <w:lang w:val="en-US" w:eastAsia="zh-CN"/>
              </w:rPr>
              <w:t>；【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上一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期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授信担保方式：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  500万抵押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none"/>
                <w:lang w:val="en-US" w:eastAsia="zh-CN"/>
              </w:rPr>
              <w:t>】</w:t>
            </w:r>
          </w:p>
          <w:p w14:paraId="119CF21D">
            <w:pPr>
              <w:spacing w:before="62" w:beforeLines="2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PD评级：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6级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none"/>
                <w:lang w:eastAsia="zh-CN"/>
              </w:rPr>
              <w:t>【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上一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期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授信评级：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 7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none"/>
              </w:rPr>
              <w:t>级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none"/>
                <w:lang w:eastAsia="zh-CN"/>
              </w:rPr>
              <w:t>】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   </w:t>
            </w:r>
          </w:p>
        </w:tc>
      </w:tr>
      <w:tr w14:paraId="20545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1" w:hRule="atLeast"/>
          <w:jc w:val="center"/>
        </w:trPr>
        <w:tc>
          <w:tcPr>
            <w:tcW w:w="110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DE904E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一、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经营单位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尽调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情况</w:t>
            </w:r>
          </w:p>
          <w:p w14:paraId="46AC6F1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（一）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借款人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简介</w:t>
            </w:r>
          </w:p>
          <w:p w14:paraId="7159615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2" w:firstLineChars="200"/>
              <w:jc w:val="left"/>
              <w:textAlignment w:val="baseline"/>
              <w:rPr>
                <w:rFonts w:hint="default" w:ascii="宋体" w:hAnsi="宋体" w:eastAsia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1.借款人概况：</w:t>
            </w:r>
          </w:p>
          <w:p w14:paraId="1B564AC8">
            <w:commentRangeStart w:id="3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企业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成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立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于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_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___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经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营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地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址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（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坐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落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  <w:t>地点、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场地面积、自有或租用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  <w:t>、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是否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已对外抵押）：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位于</w:t>
            </w:r>
            <w:r>
              <w:rPr>
                <w:rFonts w:hint="eastAsia" w:ascii="宋体" w:hAnsi="宋体" w:cs="仿宋"/>
                <w:b w:val="0"/>
                <w:bCs/>
                <w:color w:val="auto"/>
                <w:kern w:val="2"/>
                <w:sz w:val="21"/>
                <w:szCs w:val="21"/>
                <w:highlight w:val="none"/>
                <w:u w:val="single"/>
                <w:lang w:val="en-US" w:eastAsia="zh-CN"/>
              </w:rPr>
              <w:t>福州市马尾区罗星东路2号海峡经贸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广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场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  <w:t>1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#楼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A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6</w:t>
            </w:r>
            <w:r>
              <w:rPr>
                <w:rFonts w:hint="eastAsia" w:ascii="宋体" w:hAnsi="宋体" w:cs="仿宋"/>
                <w:b w:val="0"/>
                <w:bCs/>
                <w:color w:val="auto"/>
                <w:kern w:val="2"/>
                <w:sz w:val="21"/>
                <w:szCs w:val="21"/>
                <w:highlight w:val="none"/>
                <w:u w:val="single"/>
                <w:lang w:val="en-US" w:eastAsia="zh-CN"/>
              </w:rPr>
              <w:t>15室（自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贸试验区内），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  <w:t>生</w:t>
            </w: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产经营地址为福州保税区综合大楼15层20#（自贸试验区内）。</w:t>
            </w:r>
            <w:commentRangeEnd w:id="3"/>
            <w:r>
              <w:rPr>
                <w:rStyle w:val="CommentReference"/>
              </w:rPr>
              <w:commentReference w:id="3"/>
            </w:r>
          </w:p>
          <w:p w14:paraId="4986ECC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none"/>
                <w:lang w:val="en-US" w:eastAsia="zh-CN"/>
              </w:rPr>
              <w:t>已取得资质情况：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☑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不涉及；</w:t>
            </w:r>
          </w:p>
          <w:p w14:paraId="44CF5D83">
            <w:commentRangeStart w:id="4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2108" w:firstLineChars="100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排污许可证（</w:t>
            </w: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none"/>
                <w:lang w:val="en-US" w:eastAsia="zh-CN"/>
              </w:rPr>
              <w:t>编号：____，有效期至</w:t>
            </w: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none"/>
                <w:lang w:val="en-US" w:eastAsia="zh-CN"/>
              </w:rPr>
              <w:t>年</w:t>
            </w: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none"/>
                <w:lang w:val="en-US" w:eastAsia="zh-CN"/>
              </w:rPr>
              <w:t>月</w:t>
            </w: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none"/>
                <w:lang w:val="en-US" w:eastAsia="zh-CN"/>
              </w:rPr>
              <w:t>日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）；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排污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登记回执；</w:t>
            </w:r>
            <w:commentRangeEnd w:id="4"/>
            <w:r>
              <w:rPr>
                <w:rStyle w:val="CommentReference"/>
              </w:rPr>
              <w:commentReference w:id="4"/>
            </w:r>
          </w:p>
          <w:p w14:paraId="6CDB29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2108" w:firstLineChars="1000"/>
              <w:jc w:val="left"/>
              <w:textAlignment w:val="baseline"/>
              <w:rPr>
                <w:rFonts w:hint="eastAsia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其他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single"/>
                <w:lang w:val="en-US" w:eastAsia="zh-CN"/>
              </w:rPr>
              <w:t>食品生产许可证/食品生产许可证/建筑工程施工总承包一级等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u w:val="single"/>
                <w:lang w:val="en-US" w:eastAsia="zh-CN"/>
              </w:rPr>
              <w:t xml:space="preserve">      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u w:val="none"/>
                <w:lang w:val="en-US" w:eastAsia="zh-CN"/>
              </w:rPr>
              <w:t>；</w:t>
            </w:r>
          </w:p>
          <w:p w14:paraId="1931416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实际主营业务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（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请勿直接罗列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营业执照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经营范围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表述）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主营芯片设计，产品主要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用于智慧水利、智慧教育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。</w:t>
            </w:r>
          </w:p>
          <w:p w14:paraId="0959F8FD">
            <w:commentRangeStart w:id="5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上年度末社保人数     人；注册资本： 4100万元、实收资本：        万元；法定代表人： 黄祖海 。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commentRangeEnd w:id="5"/>
            <w:r>
              <w:rPr>
                <w:rStyle w:val="CommentReference"/>
              </w:rPr>
              <w:commentReference w:id="5"/>
            </w:r>
          </w:p>
          <w:p w14:paraId="5EAD39A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2310" w:firstLineChars="1100"/>
              <w:jc w:val="left"/>
              <w:textAlignment w:val="baseline"/>
              <w:rPr>
                <w:rFonts w:hint="eastAsia"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  <w:lang w:eastAsia="zh-CN"/>
              </w:rPr>
              <w:t>最新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股权结构表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lang w:val="en-US" w:eastAsia="zh-CN"/>
              </w:rPr>
              <w:t xml:space="preserve">           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 xml:space="preserve">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单位：万元</w:t>
            </w:r>
          </w:p>
          <w:tbl>
            <w:tblPr>
              <w:tblStyle w:val="13"/>
              <w:tblW w:w="0" w:type="auto"/>
              <w:jc w:val="center"/>
              <w:tblBorders>
                <w:top w:val="single" w:color="000000" w:sz="0" w:space="0"/>
                <w:left w:val="single" w:color="000000" w:sz="0" w:space="0"/>
                <w:bottom w:val="single" w:color="000000" w:sz="0" w:space="0"/>
                <w:right w:val="single" w:color="000000" w:sz="0" w:space="0"/>
                <w:insideH w:val="single" w:color="000000" w:sz="0" w:space="0"/>
                <w:insideV w:val="single" w:color="000000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56"/>
              <w:gridCol w:w="2001"/>
              <w:gridCol w:w="1161"/>
              <w:gridCol w:w="1266"/>
              <w:gridCol w:w="1056"/>
            </w:tblGrid>
            <w:tr w14:paraId="547A40DA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3C988E8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  <w:t>股东名称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9C2DCE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  <w:t>认缴出资额/持股数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26B1A0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  <w:t>出资比例%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0840E3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  <w:t>实际出资额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C94200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  <w:t>出资形式</w:t>
                  </w:r>
                </w:p>
              </w:tc>
            </w:tr>
            <w:tr w14:paraId="7696C81A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10A32E9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福建中锐汉鼎信息技术有限公司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13A18E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4100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B77F9B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0A03FF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100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B733E0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</w:tr>
            <w:tr w14:paraId="7D9AFE7B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2" w:hRule="atLeast"/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24DC015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福建中锐教育科技有限公司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C2931C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4100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4B16B7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1D149A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100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F243B6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</w:tr>
            <w:tr w14:paraId="0CAD9291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36D3D55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北京中锐青云科技有限公司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6ED707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4100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4D4B4D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2F5A7A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100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5ECBB6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</w:tr>
            <w:tr w14:paraId="4764A2BF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3F91409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厦门中锐软件科技有限公司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FFA916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4100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309DFB9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EF9571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100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EA9D72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</w:tr>
            <w:tr w14:paraId="5DDC6E5C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784C282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</w:rPr>
                    <w:t>合计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9EC9BD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16400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1CDDC8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</w:rPr>
                    <w:t>100%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7C8042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16400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870006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货币</w:t>
                  </w:r>
                </w:p>
              </w:tc>
            </w:tr>
          </w:tbl>
          <w:p w14:paraId="247BBB47">
            <w:commentRangeStart w:id="6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股权穿透后实际控制人持股比例：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实控人____，持股比例____%。</w:t>
            </w:r>
            <w:commentRangeEnd w:id="6"/>
            <w:r>
              <w:rPr>
                <w:rStyle w:val="CommentReference"/>
              </w:rPr>
              <w:commentReference w:id="6"/>
            </w:r>
          </w:p>
          <w:p w14:paraId="360105F5">
            <w:commentRangeStart w:id="7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u w:val="single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过往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两年企业股权变动情况及变动原因：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u w:val="single"/>
              </w:rPr>
              <w:t xml:space="preserve">                                              </w:t>
            </w:r>
            <w:commentRangeEnd w:id="7"/>
            <w:r>
              <w:rPr>
                <w:rStyle w:val="CommentReference"/>
              </w:rPr>
              <w:commentReference w:id="7"/>
            </w:r>
          </w:p>
          <w:p w14:paraId="176872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2" w:firstLineChars="200"/>
              <w:jc w:val="left"/>
              <w:textAlignment w:val="baseline"/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lang w:val="en-US" w:eastAsia="zh-CN"/>
              </w:rPr>
              <w:t>实控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</w:rPr>
              <w:t>人黄祖海，湖南大学电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yellow"/>
                <w:lang w:eastAsia="zh-CN"/>
              </w:rPr>
              <w:t>子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yellow"/>
                <w:lang w:val="en-US" w:eastAsia="zh-CN"/>
              </w:rPr>
              <w:t>商务专业本科学历。2000年5月至2001年12月，任福建实达网络科技有限公司技术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yellow"/>
                <w:lang w:eastAsia="zh-CN"/>
              </w:rPr>
              <w:t>工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</w:rPr>
              <w:t>程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kern w:val="0"/>
                <w:szCs w:val="21"/>
                <w:u w:val="single"/>
                <w:lang w:eastAsia="zh-CN"/>
              </w:rPr>
              <w:t>师；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kern w:val="0"/>
                <w:szCs w:val="21"/>
                <w:u w:val="single"/>
                <w:lang w:val="en-US" w:eastAsia="zh-CN"/>
              </w:rPr>
              <w:t>2002年1月至2003年1月，任福建实达网络科技有限公司技术经理；2003年1月至2011年12月，任福建星网锐捷网络有限公司技术部总经理；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>2012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>年1月至2016年3月，任福建中锐网络科技有限公司法定代表人、执行董事兼总经理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>；2016年3月至今，任福建中锐网络股份有限公司董事长兼总裁。身份证号：350124197704201694.</w:t>
            </w:r>
          </w:p>
          <w:p w14:paraId="566E66D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2" w:firstLineChars="200"/>
              <w:jc w:val="left"/>
              <w:textAlignment w:val="baseline"/>
              <w:rPr>
                <w:rFonts w:hint="default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lang w:val="en-US" w:eastAsia="zh-CN"/>
              </w:rPr>
              <w:t>3.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实地走访情况：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描述实地走访观察到的车间运作情况、存货情况、内部办公区人员及管理等情况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kern w:val="0"/>
                <w:szCs w:val="21"/>
                <w:highlight w:val="none"/>
                <w:u w:val="single"/>
              </w:rPr>
              <w:t>。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auto"/>
                <w:kern w:val="0"/>
                <w:szCs w:val="21"/>
                <w:highlight w:val="none"/>
                <w:u w:val="single"/>
                <w:lang w:eastAsia="zh-CN"/>
              </w:rPr>
              <w:t>如：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车间运转正常，人员正常到岗上班，存货与报表相匹配。</w:t>
            </w:r>
          </w:p>
          <w:p w14:paraId="654EDA8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2" w:firstLineChars="200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※</w:t>
            </w:r>
            <w:r>
              <w:rPr>
                <w:rFonts w:hint="eastAsia" w:ascii="宋体" w:hAnsi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4.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历年</w:t>
            </w:r>
            <w:r>
              <w:rPr>
                <w:rFonts w:hint="eastAsia" w:ascii="宋体" w:hAnsi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股权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融资情况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（</w:t>
            </w:r>
            <w:r>
              <w:rPr>
                <w:rFonts w:hint="eastAsia" w:ascii="宋体" w:hAnsi="宋体" w:cs="宋体"/>
                <w:b/>
                <w:sz w:val="21"/>
                <w:szCs w:val="21"/>
                <w:highlight w:val="none"/>
                <w:lang w:val="en-US" w:eastAsia="zh-CN"/>
              </w:rPr>
              <w:t>如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val="en-US" w:eastAsia="zh-CN"/>
              </w:rPr>
              <w:t>为</w:t>
            </w:r>
            <w:r>
              <w:rPr>
                <w:rFonts w:hint="eastAsia" w:ascii="宋体" w:hAnsi="宋体" w:cs="宋体"/>
                <w:b/>
                <w:sz w:val="21"/>
                <w:szCs w:val="21"/>
                <w:highlight w:val="none"/>
                <w:lang w:val="en-US" w:eastAsia="zh-CN"/>
              </w:rPr>
              <w:t>科技型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val="en-US" w:eastAsia="zh-CN"/>
              </w:rPr>
              <w:t>企业，请填列下表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）</w:t>
            </w:r>
            <w:r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</w:rPr>
              <w:t>：</w:t>
            </w:r>
          </w:p>
          <w:tbl>
            <w:tblPr>
              <w:tblStyle w:val="13"/>
              <w:tblW w:w="1017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806"/>
              <w:gridCol w:w="1204"/>
              <w:gridCol w:w="1359"/>
              <w:gridCol w:w="1950"/>
              <w:gridCol w:w="1919"/>
              <w:gridCol w:w="1934"/>
            </w:tblGrid>
            <w:tr w14:paraId="0D296E9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06" w:type="dxa"/>
                  <w:noWrap w:val="0"/>
                  <w:vAlign w:val="center"/>
                </w:tcPr>
                <w:p w14:paraId="1B848019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股权融资时间</w:t>
                  </w:r>
                </w:p>
              </w:tc>
              <w:tc>
                <w:tcPr>
                  <w:tcW w:w="1204" w:type="dxa"/>
                  <w:noWrap w:val="0"/>
                  <w:vAlign w:val="center"/>
                </w:tcPr>
                <w:p w14:paraId="4BD7A175">
                  <w:pPr>
                    <w:adjustRightInd w:val="0"/>
                    <w:snapToGrid w:val="0"/>
                    <w:jc w:val="center"/>
                    <w:rPr>
                      <w:rFonts w:hint="default" w:ascii="宋体" w:hAnsi="宋体" w:eastAsia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融资金额</w:t>
                  </w:r>
                </w:p>
              </w:tc>
              <w:tc>
                <w:tcPr>
                  <w:tcW w:w="1359" w:type="dxa"/>
                  <w:noWrap w:val="0"/>
                  <w:vAlign w:val="center"/>
                </w:tcPr>
                <w:p w14:paraId="5164D282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投资机构</w:t>
                  </w:r>
                </w:p>
              </w:tc>
              <w:tc>
                <w:tcPr>
                  <w:tcW w:w="1950" w:type="dxa"/>
                  <w:noWrap w:val="0"/>
                  <w:vAlign w:val="center"/>
                </w:tcPr>
                <w:p w14:paraId="68B551EA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融资阶段</w:t>
                  </w:r>
                </w:p>
                <w:p w14:paraId="19512620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eastAsia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（</w:t>
                  </w: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天使轮/A/B/C…</w:t>
                  </w: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）</w:t>
                  </w:r>
                </w:p>
              </w:tc>
              <w:tc>
                <w:tcPr>
                  <w:tcW w:w="1919" w:type="dxa"/>
                  <w:noWrap w:val="0"/>
                  <w:vAlign w:val="center"/>
                </w:tcPr>
                <w:p w14:paraId="7B83BEBC">
                  <w:pPr>
                    <w:adjustRightInd w:val="0"/>
                    <w:snapToGrid w:val="0"/>
                    <w:jc w:val="center"/>
                    <w:rPr>
                      <w:rFonts w:hint="default" w:ascii="宋体" w:hAnsi="宋体" w:eastAsia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投后估值</w:t>
                  </w:r>
                </w:p>
              </w:tc>
              <w:tc>
                <w:tcPr>
                  <w:tcW w:w="1934" w:type="dxa"/>
                  <w:noWrap w:val="0"/>
                  <w:vAlign w:val="center"/>
                </w:tcPr>
                <w:p w14:paraId="073CE059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是否存在对赌条款（若有，</w:t>
                  </w: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请</w:t>
                  </w: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说明）</w:t>
                  </w:r>
                </w:p>
              </w:tc>
            </w:tr>
            <w:tr w14:paraId="3A4E890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06" w:type="dxa"/>
                  <w:noWrap w:val="0"/>
                  <w:vAlign w:val="center"/>
                </w:tcPr>
                <w:p w14:paraId="281CA77D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2025年</w:t>
                  </w:r>
                </w:p>
              </w:tc>
              <w:tc>
                <w:tcPr>
                  <w:tcW w:w="1204" w:type="dxa"/>
                  <w:noWrap w:val="0"/>
                  <w:vAlign w:val="center"/>
                </w:tcPr>
                <w:p w14:paraId="6AC1320E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213</w:t>
                  </w:r>
                </w:p>
              </w:tc>
              <w:tc>
                <w:tcPr>
                  <w:tcW w:w="1359" w:type="dxa"/>
                  <w:noWrap w:val="0"/>
                  <w:vAlign w:val="center"/>
                </w:tcPr>
                <w:p w14:paraId="12462613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北京中锐青云科技有限公司</w:t>
                  </w:r>
                </w:p>
              </w:tc>
              <w:tc>
                <w:tcPr>
                  <w:tcW w:w="1950" w:type="dxa"/>
                  <w:noWrap w:val="0"/>
                  <w:vAlign w:val="center"/>
                </w:tcPr>
                <w:p w14:paraId="404C0D85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天使轮</w:t>
                  </w:r>
                </w:p>
              </w:tc>
              <w:tc>
                <w:tcPr>
                  <w:tcW w:w="1919" w:type="dxa"/>
                  <w:noWrap w:val="0"/>
                  <w:vAlign w:val="center"/>
                </w:tcPr>
                <w:p w14:paraId="18888B5B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2134</w:t>
                  </w:r>
                </w:p>
              </w:tc>
              <w:tc>
                <w:tcPr>
                  <w:tcW w:w="1934" w:type="dxa"/>
                  <w:noWrap w:val="0"/>
                  <w:vAlign w:val="center"/>
                </w:tcPr>
                <w:p w14:paraId="55CC0F5B">
                  <w:pPr>
                    <w:adjustRightInd w:val="0"/>
                    <w:snapToGrid w:val="0"/>
                    <w:jc w:val="center"/>
                    <w:rPr>
                      <w:rFonts w:hint="default" w:ascii="宋体" w:hAnsi="宋体" w:eastAsia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Cs/>
                      <w:snapToGrid w:val="0"/>
                      <w:kern w:val="0"/>
                      <w:sz w:val="15"/>
                      <w:szCs w:val="15"/>
                      <w:highlight w:val="none"/>
                      <w:lang w:val="en-US" w:eastAsia="zh-CN"/>
                    </w:rPr>
                    <w:t>若企业反馈“无”，建议出具书面声明并加盖公章</w:t>
                  </w:r>
                </w:p>
              </w:tc>
            </w:tr>
            <w:tr w14:paraId="4F7BE80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06" w:type="dxa"/>
                  <w:noWrap w:val="0"/>
                  <w:vAlign w:val="center"/>
                </w:tcPr>
                <w:p w14:paraId="3E17328D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2024年</w:t>
                  </w:r>
                </w:p>
              </w:tc>
              <w:tc>
                <w:tcPr>
                  <w:tcW w:w="1204" w:type="dxa"/>
                  <w:noWrap w:val="0"/>
                  <w:vAlign w:val="center"/>
                </w:tcPr>
                <w:p w14:paraId="4EE82F08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0</w:t>
                  </w:r>
                </w:p>
              </w:tc>
              <w:tc>
                <w:tcPr>
                  <w:tcW w:w="1359" w:type="dxa"/>
                  <w:noWrap w:val="0"/>
                  <w:vAlign w:val="center"/>
                </w:tcPr>
                <w:p w14:paraId="03794F96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福建中锐汉鼎信息技术有限公司</w:t>
                  </w:r>
                </w:p>
              </w:tc>
              <w:tc>
                <w:tcPr>
                  <w:tcW w:w="1950" w:type="dxa"/>
                  <w:noWrap w:val="0"/>
                  <w:vAlign w:val="center"/>
                </w:tcPr>
                <w:p w14:paraId="51D8A8F6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天使轮</w:t>
                  </w:r>
                </w:p>
              </w:tc>
              <w:tc>
                <w:tcPr>
                  <w:tcW w:w="1919" w:type="dxa"/>
                  <w:noWrap w:val="0"/>
                  <w:vAlign w:val="center"/>
                </w:tcPr>
                <w:p w14:paraId="17F9A247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0</w:t>
                  </w:r>
                </w:p>
              </w:tc>
              <w:tc>
                <w:tcPr>
                  <w:tcW w:w="1934" w:type="dxa"/>
                  <w:noWrap w:val="0"/>
                  <w:vAlign w:val="center"/>
                </w:tcPr>
                <w:p w14:paraId="506E34A5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有（须于</w:t>
                  </w:r>
                  <w:r>
                    <w:rPr>
                      <w:rFonts w:hint="eastAsia" w:ascii="宋体" w:hAnsi="宋体" w:eastAsia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2026年上市）</w:t>
                  </w:r>
                </w:p>
              </w:tc>
            </w:tr>
            <w:tr w14:paraId="070419B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06" w:type="dxa"/>
                  <w:noWrap w:val="0"/>
                  <w:vAlign w:val="center"/>
                </w:tcPr>
                <w:p w14:paraId="35F72E72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204" w:type="dxa"/>
                  <w:noWrap w:val="0"/>
                  <w:vAlign w:val="center"/>
                </w:tcPr>
                <w:p w14:paraId="3E6223B1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359" w:type="dxa"/>
                  <w:noWrap w:val="0"/>
                  <w:vAlign w:val="center"/>
                </w:tcPr>
                <w:p w14:paraId="3BE62158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950" w:type="dxa"/>
                  <w:noWrap w:val="0"/>
                  <w:vAlign w:val="center"/>
                </w:tcPr>
                <w:p w14:paraId="595331AD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919" w:type="dxa"/>
                  <w:noWrap w:val="0"/>
                  <w:vAlign w:val="center"/>
                </w:tcPr>
                <w:p w14:paraId="1ACFD4BF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934" w:type="dxa"/>
                  <w:noWrap w:val="0"/>
                  <w:vAlign w:val="center"/>
                </w:tcPr>
                <w:p w14:paraId="57932EC5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</w:tr>
          </w:tbl>
          <w:p w14:paraId="3A5E6995">
            <w:pPr>
              <w:pStyle w:val="11"/>
              <w:numPr>
                <w:ilvl w:val="0"/>
                <w:numId w:val="0"/>
              </w:numPr>
              <w:ind w:firstLine="422" w:firstLineChars="200"/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u w:val="singl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 w:val="21"/>
                <w:szCs w:val="21"/>
                <w:highlight w:val="none"/>
                <w:lang w:val="en-US" w:eastAsia="zh-CN" w:bidi="ar-SA"/>
              </w:rPr>
              <w:t>5.与我行历史授信合作（如为存量客户，请填写）：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u w:val="single"/>
                <w:lang w:val="en-US" w:eastAsia="zh-CN" w:bidi="ar-SA"/>
              </w:rPr>
              <w:t>自2017年以来，我行与借款人建立授信合作关系，近三年分别给予其500、400、500万授信敞口。</w:t>
            </w:r>
          </w:p>
          <w:p w14:paraId="2F0C5C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/>
              <w:ind w:firstLine="422" w:firstLineChars="20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6.上一期授后要求落实情况（包括但不限于负债率、融资总额控制等）：</w:t>
            </w:r>
          </w:p>
          <w:tbl>
            <w:tblPr>
              <w:tblStyle w:val="14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10"/>
              <w:gridCol w:w="1776"/>
              <w:gridCol w:w="2709"/>
              <w:gridCol w:w="5643"/>
            </w:tblGrid>
            <w:tr w14:paraId="653C905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082" w:hRule="atLeast"/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4CD7B72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贷款提用情况</w:t>
                  </w:r>
                </w:p>
              </w:tc>
              <w:tc>
                <w:tcPr>
                  <w:tcW w:w="0" w:type="auto"/>
                  <w:gridSpan w:val="3"/>
                  <w:noWrap w:val="0"/>
                  <w:vAlign w:val="top"/>
                </w:tcPr>
                <w:p w14:paraId="42C95EA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left"/>
                    <w:textAlignment w:val="baseline"/>
                    <w:rPr>
                      <w:rFonts w:hint="default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截至 2025 年 12 月 2025年12月31日 日，经531系统查询，借款人 2025 年 12 月   日提贷 4730万元，到期日 2026 年 3 月   日，贷款采取自主支付方式发放，通过调取借款人账户流水，1. 0万元向 福建中锐网络股份有限公司 有限公司支付 福建中锐网络股份有限公司 货款（已提供发票）；2. 0万元转至工行同户名账户，穿透查看用于向 0 个人支付采购竹刨花原料款 0万元，其余用于支付税款；3.____万元元转至农行同户名账户(基本户），用于向37个员工支付工资款。</w:t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</w:p>
              </w:tc>
            </w:tr>
            <w:tr w14:paraId="648601E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vMerge w:val="restart"/>
                  <w:noWrap w:val="0"/>
                  <w:vAlign w:val="top"/>
                </w:tcPr>
                <w:p w14:paraId="48F9149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上一期授信条件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0F0BBD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序号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0881EE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  <w:t>授信条件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86C64F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具体落实情况</w:t>
                  </w:r>
                </w:p>
              </w:tc>
            </w:tr>
            <w:tr w14:paraId="5632D33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vMerge w:val="continue"/>
                  <w:noWrap w:val="0"/>
                  <w:vAlign w:val="top"/>
                </w:tcPr>
                <w:p w14:paraId="69A80B4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default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09AF09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8CD28B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t>借款人需在授信期间内，保持资产负债率不高于70%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7BFCEC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如未落实，请说明原因</w:t>
                  </w:r>
                </w:p>
              </w:tc>
            </w:tr>
            <w:tr w14:paraId="4D8D3F6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vMerge w:val="continue"/>
                  <w:noWrap w:val="0"/>
                  <w:vAlign w:val="top"/>
                </w:tcPr>
                <w:p w14:paraId="72EE11F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default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5DB165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2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452237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t>借款人需在授信期间内，保持流动比率不低于1.2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1AB5E7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t>已落实，2025年末资产负债率为42.51%，流动比率为1.82</w:t>
                  </w:r>
                </w:p>
              </w:tc>
            </w:tr>
            <w:tr w14:paraId="0E3EFB2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vMerge w:val="restart"/>
                  <w:noWrap w:val="0"/>
                  <w:vAlign w:val="top"/>
                </w:tcPr>
                <w:p w14:paraId="6BEB847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上一期贷后要求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07B0CA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序号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850D8A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  <w:t>贷后要求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A95866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具体落实情况</w:t>
                  </w:r>
                </w:p>
              </w:tc>
            </w:tr>
            <w:tr w14:paraId="1AD951E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vMerge w:val="continue"/>
                  <w:noWrap w:val="0"/>
                  <w:vAlign w:val="top"/>
                </w:tcPr>
                <w:p w14:paraId="464EA31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default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303063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8067C1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t>借款人需在授信期间内，保持利息保障倍数不低于2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300BC0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如未落实，请说明原因</w:t>
                  </w:r>
                </w:p>
              </w:tc>
            </w:tr>
            <w:tr w14:paraId="191E8E0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vMerge w:val="continue"/>
                  <w:noWrap w:val="0"/>
                  <w:vAlign w:val="top"/>
                </w:tcPr>
                <w:p w14:paraId="2CA7FB3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default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DC3DE0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2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2A667B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t>借款人需在授信期间内，保持销售收入增长率不低于10%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F1CC85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t>已落实，2025年销售收入较2024年增长14.89%</w:t>
                  </w:r>
                </w:p>
              </w:tc>
            </w:tr>
          </w:tbl>
          <w:p w14:paraId="77E93048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/>
              <w:ind w:firstLine="422" w:firstLineChars="200"/>
              <w:jc w:val="left"/>
              <w:textAlignment w:val="baseline"/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  <w:t>7.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授信及风险信号提示及反馈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  <w:t>531系统模块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</w:rPr>
              <w:t>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黄色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预警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提示法定代表人目前信用卡存在逾期，经核实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eastAsia="zh-CN"/>
              </w:rPr>
              <w:t>，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……。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综合评判，未对借款人造成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实质性风险。</w:t>
            </w:r>
          </w:p>
          <w:p w14:paraId="08933178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/>
              <w:ind w:firstLine="422" w:firstLineChars="200"/>
              <w:jc w:val="left"/>
              <w:textAlignment w:val="baseline"/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8.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其他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负面信息解释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包括但不限于ESG评价、诉讼、反洗钱“较高”风险等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： 基于已读取材料，未见企业主动披露的诉讼、行政处罚、失信等重大负面事项；但ESG评价、反洗钱等级及司法监管外部检索结果不以当前材料为穷尽，仍需以行内系统和权威公开查询结果补充核验。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</w:p>
          <w:p w14:paraId="4FBC1882">
            <w:commentRangeStart w:id="8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 w:after="93" w:afterLines="30"/>
              <w:ind w:firstLine="422" w:firstLineChars="200"/>
              <w:jc w:val="left"/>
              <w:textAlignment w:val="baseline"/>
              <w:rPr>
                <w:rFonts w:hint="default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 w:val="0"/>
                <w:snapToGrid w:val="0"/>
                <w:color w:val="000000"/>
                <w:kern w:val="0"/>
                <w:szCs w:val="21"/>
                <w:highlight w:val="none"/>
                <w:u w:val="none"/>
                <w:lang w:val="en-US" w:eastAsia="zh-CN"/>
              </w:rPr>
              <w:t>9.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none"/>
                <w:lang w:val="en-US"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若有）PD评级较上期下滑，分析原因：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 xml:space="preserve">                                                                </w:t>
            </w:r>
            <w:commentRangeEnd w:id="8"/>
            <w:r>
              <w:rPr>
                <w:rStyle w:val="CommentReference"/>
              </w:rPr>
              <w:commentReference w:id="8"/>
            </w:r>
          </w:p>
          <w:p w14:paraId="51F4DBA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</w:rPr>
              <w:t>（二）法定代表人/实控人简介</w:t>
            </w:r>
            <w:r>
              <w:rPr>
                <w:rFonts w:hint="eastAsia" w:ascii="宋体" w:hAnsi="宋体" w:cs="宋体"/>
                <w:b/>
                <w:snapToGrid w:val="0"/>
                <w:kern w:val="0"/>
                <w:szCs w:val="21"/>
              </w:rPr>
              <w:t>（如果为同一人，仅需填写一次情况）</w:t>
            </w:r>
          </w:p>
          <w:p w14:paraId="43C74FAA">
            <w:commentRangeStart w:id="9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 w:firstLineChars="200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法定代表人：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张XX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中国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国籍，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已婚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>/未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>/离异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福建福州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人，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</w:rPr>
              <w:t>1965年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生，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本科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学历，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行业工作经历：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eastAsia="zh-CN"/>
              </w:rPr>
              <w:t>（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描述过往从业及任职情况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eastAsia="zh-CN"/>
              </w:rPr>
              <w:t>）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>2001年毕业于清华大学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；1997年——2002年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XX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公司总经理；2003年——2005年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XX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有限公司总经理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  <w:t>；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2005年——至今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XX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有限公司董事长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</w:rPr>
              <w:t xml:space="preserve"> 。</w:t>
            </w:r>
            <w:commentRangeEnd w:id="9"/>
            <w:r>
              <w:rPr>
                <w:rStyle w:val="CommentReference"/>
              </w:rPr>
              <w:commentReference w:id="9"/>
            </w:r>
          </w:p>
          <w:p w14:paraId="7D5D22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 w:firstLineChars="200"/>
              <w:jc w:val="left"/>
              <w:textAlignment w:val="baseline"/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</w:rPr>
              <w:t>实际控制人：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张祖海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</w:rPr>
              <w:t>，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中国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lang w:eastAsia="zh-CN"/>
              </w:rPr>
              <w:t>国籍，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已婚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>/未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>/离异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福建福州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人，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</w:rPr>
              <w:t>1965年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生，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本科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学历，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</w:rPr>
              <w:t>行业工作经历：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描述过往从业及任职情况                            </w:t>
            </w:r>
          </w:p>
          <w:p w14:paraId="63CD3B7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  <w:t>（三）借款人及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</w:rPr>
              <w:t>实控人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  <w:t>家庭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</w:rPr>
              <w:t>资产情况（房产、投资、金融资产等）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：</w:t>
            </w:r>
          </w:p>
          <w:tbl>
            <w:tblPr>
              <w:tblStyle w:val="13"/>
              <w:tblW w:w="0" w:type="auto"/>
              <w:jc w:val="center"/>
              <w:tblBorders>
                <w:top w:val="none" w:color="auto" w:sz="6" w:space="0"/>
                <w:left w:val="none" w:color="auto" w:sz="6" w:space="0"/>
                <w:bottom w:val="none" w:color="auto" w:sz="6" w:space="0"/>
                <w:right w:val="none" w:color="auto" w:sz="6" w:space="0"/>
                <w:insideH w:val="outset" w:color="auto" w:sz="6" w:space="0"/>
                <w:insideV w:val="outset" w:color="auto" w:sz="6" w:space="0"/>
              </w:tblBorders>
              <w:shd w:val="clear" w:color="auto" w:fill="FFFFFF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25"/>
              <w:gridCol w:w="606"/>
              <w:gridCol w:w="606"/>
              <w:gridCol w:w="676"/>
              <w:gridCol w:w="786"/>
              <w:gridCol w:w="856"/>
              <w:gridCol w:w="3202"/>
              <w:gridCol w:w="1799"/>
              <w:gridCol w:w="676"/>
              <w:gridCol w:w="716"/>
            </w:tblGrid>
            <w:tr w14:paraId="0CC3F115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09" w:hRule="atLeast"/>
                <w:jc w:val="center"/>
              </w:trPr>
              <w:tc>
                <w:tcPr>
                  <w:tcW w:w="0" w:type="auto"/>
                  <w:gridSpan w:val="10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2A6617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1.借款人主要资产及投资情况</w:t>
                  </w:r>
                </w:p>
              </w:tc>
            </w:tr>
            <w:tr w14:paraId="3ABE0F8C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1378" w:hRule="atLeast"/>
                <w:jc w:val="center"/>
              </w:trPr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681EEE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资产名称</w:t>
                  </w:r>
                </w:p>
                <w:p w14:paraId="26718EC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（及坐落位置）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C79243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所有权人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105D05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资产类型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BB4422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权属</w:t>
                  </w:r>
                </w:p>
                <w:p w14:paraId="00A9990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及权属证号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0266A9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资产概况</w:t>
                  </w:r>
                </w:p>
                <w:p w14:paraId="4CEC630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（面积等）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CEC5EB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/>
                      <w:sz w:val="18"/>
                      <w:szCs w:val="18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lang w:val="en-US" w:eastAsia="zh-CN"/>
                    </w:rPr>
                    <w:t>账面或购置价</w:t>
                  </w:r>
                </w:p>
                <w:p w14:paraId="098E1974">
                  <w:pPr>
                    <w:pStyle w:val="8"/>
                    <w:ind w:left="0" w:leftChars="0" w:firstLine="0" w:firstLineChars="0"/>
                    <w:jc w:val="center"/>
                    <w:rPr>
                      <w:rFonts w:hint="default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（万元）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4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1720D7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市场或评估价</w:t>
                  </w:r>
                </w:p>
                <w:p w14:paraId="3113C9F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（万元）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4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08C2B7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 w:ascii="宋体" w:hAnsi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sz w:val="20"/>
                      <w:szCs w:val="20"/>
                    </w:rPr>
                    <w:t>自用/出租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8B51ED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抵质押情况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1475322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/>
                      <w:sz w:val="18"/>
                      <w:szCs w:val="18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lang w:val="en-US" w:eastAsia="zh-CN"/>
                    </w:rPr>
                    <w:t>融资金额</w:t>
                  </w:r>
                </w:p>
                <w:p w14:paraId="51916BA7">
                  <w:pPr>
                    <w:pStyle w:val="8"/>
                    <w:ind w:left="0" w:leftChars="0" w:firstLine="0" w:firstLineChars="0"/>
                    <w:jc w:val="center"/>
                    <w:rPr>
                      <w:rFonts w:hint="default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（万元）</w:t>
                  </w:r>
                </w:p>
              </w:tc>
            </w:tr>
            <w:tr w14:paraId="253D73EB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53" w:hRule="atLeast"/>
                <w:jc w:val="center"/>
              </w:trPr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D1650F4">
                  <w:pPr>
                    <w:pStyle w:val="12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400" w:lineRule="atLeast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84CD52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400" w:lineRule="atLeast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899A63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400" w:lineRule="atLeast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3A54D7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9D08A3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0660E4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4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DE70C6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根据外网（安居客），该楼盘二手均价价格约在8000元/平，总体价格约为112万元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4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1B6C1C6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出租，出租方____公司/个人，年租金____万元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491016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C86ACA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</w:tr>
            <w:tr w14:paraId="169A90AA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43" w:hRule="atLeast"/>
                <w:jc w:val="center"/>
              </w:trPr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417019C">
                  <w:pPr>
                    <w:pStyle w:val="12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400" w:lineRule="atLeast"/>
                    <w:ind w:left="0" w:right="0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26BBF5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400" w:lineRule="atLeast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0D74C8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400" w:lineRule="atLeast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DB3086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64A384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5E58D0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4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164A00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4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025BDD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A7275F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AA8F94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</w:tr>
            <w:tr w14:paraId="0FE5A806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22" w:hRule="atLeast"/>
                <w:jc w:val="center"/>
              </w:trPr>
              <w:tc>
                <w:tcPr>
                  <w:tcW w:w="0" w:type="auto"/>
                  <w:gridSpan w:val="10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320806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21"/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其他：</w:t>
                  </w:r>
                </w:p>
              </w:tc>
            </w:tr>
            <w:tr w14:paraId="6ACFB58C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53" w:hRule="atLeast"/>
                <w:jc w:val="center"/>
              </w:trPr>
              <w:tc>
                <w:tcPr>
                  <w:tcW w:w="0" w:type="auto"/>
                  <w:gridSpan w:val="10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0BA3CE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21"/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2</w:t>
                  </w:r>
                  <w:r>
                    <w:rPr>
                      <w:rFonts w:hint="eastAsia" w:ascii="宋体" w:hAnsi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.</w:t>
                  </w: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实控人家庭资产</w:t>
                  </w:r>
                  <w:r>
                    <w:rPr>
                      <w:rFonts w:hint="eastAsia" w:ascii="宋体" w:hAnsi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情况</w:t>
                  </w: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（</w:t>
                  </w:r>
                  <w:r>
                    <w:rPr>
                      <w:rFonts w:hint="eastAsia" w:ascii="宋体" w:hAnsi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实控人、</w:t>
                  </w: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配偶及参与经营的子女）</w:t>
                  </w:r>
                </w:p>
              </w:tc>
            </w:tr>
            <w:tr w14:paraId="162B3BAA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1361" w:hRule="atLeast"/>
                <w:jc w:val="center"/>
              </w:trPr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8C789A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资产名称</w:t>
                  </w:r>
                </w:p>
                <w:p w14:paraId="67A6449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（及坐落位置）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75EAAB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所有权人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C6E621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资产类型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E7EE97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权属</w:t>
                  </w:r>
                </w:p>
                <w:p w14:paraId="65CC152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及权属证号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56310E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资产概况</w:t>
                  </w:r>
                </w:p>
                <w:p w14:paraId="04F082E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（面积等）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DC2FDA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账面或购置价</w:t>
                  </w:r>
                </w:p>
                <w:p w14:paraId="356248A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（万元）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4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D6EDA4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市场或评估价</w:t>
                  </w:r>
                </w:p>
                <w:p w14:paraId="61E79B2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（万元）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4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FB69A0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自用/出租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30FEE5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抵质押情况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6FA3D6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融资金额</w:t>
                  </w:r>
                </w:p>
                <w:p w14:paraId="1648515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（万元）</w:t>
                  </w:r>
                </w:p>
              </w:tc>
            </w:tr>
            <w:tr w14:paraId="4FAE6BD7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22" w:hRule="atLeast"/>
                <w:jc w:val="center"/>
              </w:trPr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03EDAD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1230989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8B74C4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A367E8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3FE726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CCA4B1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4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BF2F04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4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E8117B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E4C4CA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11AC12E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</w:tr>
            <w:tr w14:paraId="26C6DFA5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22" w:hRule="atLeast"/>
                <w:jc w:val="center"/>
              </w:trPr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F7892E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35397C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A2A065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52E430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0063D0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2DF23C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4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521519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4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D99A4F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33AAB1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61F17E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</w:tr>
            <w:tr w14:paraId="58BF039E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22" w:hRule="atLeast"/>
                <w:jc w:val="center"/>
              </w:trPr>
              <w:tc>
                <w:tcPr>
                  <w:tcW w:w="0" w:type="auto"/>
                  <w:gridSpan w:val="10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9A23E2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21"/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其他：</w:t>
                  </w:r>
                </w:p>
              </w:tc>
            </w:tr>
          </w:tbl>
          <w:p w14:paraId="59B7822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（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四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）关联企业情况</w:t>
            </w:r>
          </w:p>
          <w:p w14:paraId="75AADBA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default" w:ascii="宋体" w:hAnsi="宋体" w:cs="宋体"/>
                <w:snapToGrid w:val="0"/>
                <w:color w:val="000000"/>
                <w:kern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1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关联企业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 xml:space="preserve">经营情况                                                       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 w:val="21"/>
                <w:szCs w:val="21"/>
                <w:highlight w:val="none"/>
                <w:lang w:val="en-US" w:eastAsia="zh-CN"/>
              </w:rPr>
              <w:t>单位（万元）</w:t>
            </w:r>
          </w:p>
          <w:tbl>
            <w:tblPr>
              <w:tblStyle w:val="13"/>
              <w:tblW w:w="10834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04"/>
              <w:gridCol w:w="829"/>
              <w:gridCol w:w="829"/>
              <w:gridCol w:w="829"/>
              <w:gridCol w:w="767"/>
              <w:gridCol w:w="962"/>
              <w:gridCol w:w="1118"/>
              <w:gridCol w:w="1076"/>
              <w:gridCol w:w="1710"/>
              <w:gridCol w:w="1710"/>
            </w:tblGrid>
            <w:tr w14:paraId="7BABBF9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04" w:type="dxa"/>
                  <w:noWrap w:val="0"/>
                  <w:vAlign w:val="center"/>
                </w:tcPr>
                <w:p w14:paraId="061E59EF">
                  <w:pPr>
                    <w:adjustRightInd w:val="0"/>
                    <w:snapToGrid w:val="0"/>
                    <w:jc w:val="center"/>
                    <w:rPr>
                      <w:rFonts w:hint="default" w:ascii="宋体" w:hAnsi="宋体" w:eastAsia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企业名称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2A8DFDF6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成立时间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65F14B6D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股权结构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4F5E7192">
                  <w:pPr>
                    <w:adjustRightInd w:val="0"/>
                    <w:snapToGrid w:val="0"/>
                    <w:jc w:val="center"/>
                    <w:rPr>
                      <w:rFonts w:hint="default" w:ascii="宋体" w:hAnsi="宋体" w:eastAsia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主营业务及产品</w:t>
                  </w:r>
                </w:p>
              </w:tc>
              <w:tc>
                <w:tcPr>
                  <w:tcW w:w="767" w:type="dxa"/>
                  <w:noWrap w:val="0"/>
                  <w:vAlign w:val="center"/>
                </w:tcPr>
                <w:p w14:paraId="22D96D94">
                  <w:pPr>
                    <w:adjustRightInd w:val="0"/>
                    <w:snapToGrid w:val="0"/>
                    <w:jc w:val="center"/>
                    <w:rPr>
                      <w:rFonts w:hint="default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注册资本/实收资本</w:t>
                  </w:r>
                </w:p>
              </w:tc>
              <w:tc>
                <w:tcPr>
                  <w:tcW w:w="962" w:type="dxa"/>
                  <w:noWrap w:val="0"/>
                  <w:vAlign w:val="center"/>
                </w:tcPr>
                <w:p w14:paraId="574875EA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上</w:t>
                  </w: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  <w:t>年</w:t>
                  </w: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主营</w:t>
                  </w:r>
                </w:p>
                <w:p w14:paraId="5258BE36">
                  <w:pPr>
                    <w:adjustRightInd w:val="0"/>
                    <w:snapToGrid w:val="0"/>
                    <w:jc w:val="center"/>
                    <w:rPr>
                      <w:rFonts w:hint="default" w:ascii="宋体" w:hAnsi="宋体" w:eastAsia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业务收入</w:t>
                  </w:r>
                </w:p>
              </w:tc>
              <w:tc>
                <w:tcPr>
                  <w:tcW w:w="1118" w:type="dxa"/>
                  <w:noWrap w:val="0"/>
                  <w:vAlign w:val="center"/>
                </w:tcPr>
                <w:p w14:paraId="33E0D499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上年</w:t>
                  </w:r>
                </w:p>
                <w:p w14:paraId="18AADDE2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  <w:t>净利润</w:t>
                  </w:r>
                </w:p>
              </w:tc>
              <w:tc>
                <w:tcPr>
                  <w:tcW w:w="1076" w:type="dxa"/>
                  <w:noWrap w:val="0"/>
                  <w:vAlign w:val="center"/>
                </w:tcPr>
                <w:p w14:paraId="6C440ACE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  <w:t>最新</w:t>
                  </w:r>
                </w:p>
                <w:p w14:paraId="337E6AA4">
                  <w:pPr>
                    <w:adjustRightInd w:val="0"/>
                    <w:snapToGrid w:val="0"/>
                    <w:jc w:val="center"/>
                    <w:rPr>
                      <w:rFonts w:hint="default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  <w:t>融资</w:t>
                  </w: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总敞口</w:t>
                  </w:r>
                </w:p>
              </w:tc>
              <w:tc>
                <w:tcPr>
                  <w:tcW w:w="1710" w:type="dxa"/>
                  <w:noWrap w:val="0"/>
                  <w:vAlign w:val="center"/>
                </w:tcPr>
                <w:p w14:paraId="3DA7091A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  <w:t>与借款企业关联交易、资金往来情况（若有）</w:t>
                  </w:r>
                </w:p>
              </w:tc>
              <w:tc>
                <w:tcPr>
                  <w:tcW w:w="1710" w:type="dxa"/>
                  <w:noWrap w:val="0"/>
                  <w:vAlign w:val="center"/>
                </w:tcPr>
                <w:p w14:paraId="3D1A1005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涉诉情况</w:t>
                  </w:r>
                </w:p>
              </w:tc>
            </w:tr>
            <w:tr w14:paraId="538B5AD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0" w:hRule="atLeast"/>
                <w:jc w:val="center"/>
              </w:trPr>
              <w:tc>
                <w:tcPr>
                  <w:tcW w:w="1004" w:type="dxa"/>
                  <w:noWrap w:val="0"/>
                  <w:vAlign w:val="center"/>
                </w:tcPr>
                <w:p w14:paraId="4A7456AC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  <w:t>关联企业1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1008F3C6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2018-1-11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4A52BDE9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中锐网络100%控股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273F808C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智慧水利</w:t>
                  </w:r>
                </w:p>
              </w:tc>
              <w:tc>
                <w:tcPr>
                  <w:tcW w:w="767" w:type="dxa"/>
                  <w:noWrap w:val="0"/>
                  <w:vAlign w:val="center"/>
                </w:tcPr>
                <w:p w14:paraId="4BDE07B0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1000</w:t>
                  </w:r>
                </w:p>
              </w:tc>
              <w:tc>
                <w:tcPr>
                  <w:tcW w:w="962" w:type="dxa"/>
                  <w:noWrap w:val="0"/>
                  <w:vAlign w:val="center"/>
                </w:tcPr>
                <w:p w14:paraId="27370591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118" w:type="dxa"/>
                  <w:noWrap w:val="0"/>
                  <w:vAlign w:val="center"/>
                </w:tcPr>
                <w:p w14:paraId="181CF02D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-682</w:t>
                  </w:r>
                </w:p>
              </w:tc>
              <w:tc>
                <w:tcPr>
                  <w:tcW w:w="1076" w:type="dxa"/>
                  <w:noWrap w:val="0"/>
                  <w:vAlign w:val="center"/>
                </w:tcPr>
                <w:p w14:paraId="2A359A35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0</w:t>
                  </w:r>
                </w:p>
              </w:tc>
              <w:tc>
                <w:tcPr>
                  <w:tcW w:w="1710" w:type="dxa"/>
                  <w:noWrap w:val="0"/>
                  <w:vAlign w:val="center"/>
                </w:tcPr>
                <w:p w14:paraId="7F37E320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710" w:type="dxa"/>
                  <w:noWrap w:val="0"/>
                  <w:vAlign w:val="center"/>
                </w:tcPr>
                <w:p w14:paraId="231EF09B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</w:tr>
            <w:tr w14:paraId="11B7B9D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04" w:type="dxa"/>
                  <w:noWrap w:val="0"/>
                  <w:vAlign w:val="center"/>
                </w:tcPr>
                <w:p w14:paraId="0097D715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  <w:t>关联企业2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1491492F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2022-6-28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3FB9048D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中锐网络100%控股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6D8BB1EB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智慧教育</w:t>
                  </w:r>
                </w:p>
              </w:tc>
              <w:tc>
                <w:tcPr>
                  <w:tcW w:w="767" w:type="dxa"/>
                  <w:noWrap w:val="0"/>
                  <w:vAlign w:val="center"/>
                </w:tcPr>
                <w:p w14:paraId="4FC6E265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1000</w:t>
                  </w:r>
                </w:p>
              </w:tc>
              <w:tc>
                <w:tcPr>
                  <w:tcW w:w="962" w:type="dxa"/>
                  <w:noWrap w:val="0"/>
                  <w:vAlign w:val="center"/>
                </w:tcPr>
                <w:p w14:paraId="21CAB3FB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118" w:type="dxa"/>
                  <w:noWrap w:val="0"/>
                  <w:vAlign w:val="center"/>
                </w:tcPr>
                <w:p w14:paraId="6B5E1F50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-1275</w:t>
                  </w:r>
                </w:p>
              </w:tc>
              <w:tc>
                <w:tcPr>
                  <w:tcW w:w="1076" w:type="dxa"/>
                  <w:noWrap w:val="0"/>
                  <w:vAlign w:val="center"/>
                </w:tcPr>
                <w:p w14:paraId="029BCC51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0</w:t>
                  </w:r>
                </w:p>
              </w:tc>
              <w:tc>
                <w:tcPr>
                  <w:tcW w:w="1710" w:type="dxa"/>
                  <w:noWrap w:val="0"/>
                  <w:vAlign w:val="center"/>
                </w:tcPr>
                <w:p w14:paraId="2300C235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710" w:type="dxa"/>
                  <w:noWrap w:val="0"/>
                  <w:vAlign w:val="center"/>
                </w:tcPr>
                <w:p w14:paraId="36DB45E6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</w:tr>
            <w:tr w14:paraId="38721A1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04" w:type="dxa"/>
                  <w:noWrap w:val="0"/>
                  <w:vAlign w:val="center"/>
                </w:tcPr>
                <w:p w14:paraId="3B01D451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  <w:t>关联企业3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015781B6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2020-9-23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083DF333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中锐网络100%控股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33D32FE1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产教融合创新服务</w:t>
                  </w:r>
                </w:p>
              </w:tc>
              <w:tc>
                <w:tcPr>
                  <w:tcW w:w="767" w:type="dxa"/>
                  <w:noWrap w:val="0"/>
                  <w:vAlign w:val="center"/>
                </w:tcPr>
                <w:p w14:paraId="45BB1E80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1000</w:t>
                  </w:r>
                </w:p>
              </w:tc>
              <w:tc>
                <w:tcPr>
                  <w:tcW w:w="962" w:type="dxa"/>
                  <w:noWrap w:val="0"/>
                  <w:vAlign w:val="center"/>
                </w:tcPr>
                <w:p w14:paraId="636D877D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118" w:type="dxa"/>
                  <w:noWrap w:val="0"/>
                  <w:vAlign w:val="center"/>
                </w:tcPr>
                <w:p w14:paraId="653A6791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16</w:t>
                  </w:r>
                </w:p>
              </w:tc>
              <w:tc>
                <w:tcPr>
                  <w:tcW w:w="1076" w:type="dxa"/>
                  <w:noWrap w:val="0"/>
                  <w:vAlign w:val="center"/>
                </w:tcPr>
                <w:p w14:paraId="12B81FBD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213.4</w:t>
                  </w:r>
                </w:p>
              </w:tc>
              <w:tc>
                <w:tcPr>
                  <w:tcW w:w="1710" w:type="dxa"/>
                  <w:noWrap w:val="0"/>
                  <w:vAlign w:val="center"/>
                </w:tcPr>
                <w:p w14:paraId="7F329693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710" w:type="dxa"/>
                  <w:noWrap w:val="0"/>
                  <w:vAlign w:val="center"/>
                </w:tcPr>
                <w:p w14:paraId="22ED5D53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</w:tr>
          </w:tbl>
          <w:p w14:paraId="13FBDFEC">
            <w:pPr>
              <w:ind w:firstLine="422" w:firstLineChars="200"/>
              <w:jc w:val="left"/>
              <w:outlineLvl w:val="0"/>
              <w:rPr>
                <w:rFonts w:hint="eastAsia" w:ascii="宋体" w:hAnsi="宋体" w:eastAsia="宋体" w:cs="宋体"/>
                <w:snapToGrid w:val="0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</w:rPr>
              <w:t>关联企业关系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lang w:eastAsia="zh-CN"/>
              </w:rPr>
              <w:t>：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lang w:eastAsia="zh-CN"/>
              </w:rPr>
              <w:t>可附图</w:t>
            </w:r>
          </w:p>
          <w:p w14:paraId="29070FDD">
            <w:pPr>
              <w:ind w:firstLine="422" w:firstLineChars="200"/>
              <w:jc w:val="left"/>
              <w:outlineLvl w:val="0"/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关联企业情况小结：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企业关联方众多，但仅关联企业1、2有实际经营，总体经营规模不大，与借款企业存在少量关联交易、资金往来。</w:t>
            </w:r>
          </w:p>
          <w:p w14:paraId="0BB5025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2.集团合并财务数据（若有）：</w:t>
            </w:r>
          </w:p>
          <w:tbl>
            <w:tblPr>
              <w:tblStyle w:val="13"/>
              <w:tblW w:w="10350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61"/>
              <w:gridCol w:w="604"/>
              <w:gridCol w:w="606"/>
              <w:gridCol w:w="569"/>
              <w:gridCol w:w="409"/>
              <w:gridCol w:w="596"/>
              <w:gridCol w:w="607"/>
              <w:gridCol w:w="628"/>
              <w:gridCol w:w="563"/>
              <w:gridCol w:w="651"/>
              <w:gridCol w:w="661"/>
              <w:gridCol w:w="540"/>
              <w:gridCol w:w="639"/>
              <w:gridCol w:w="563"/>
              <w:gridCol w:w="540"/>
              <w:gridCol w:w="585"/>
              <w:gridCol w:w="728"/>
            </w:tblGrid>
            <w:tr w14:paraId="577A9AA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714" w:hRule="atLeast"/>
                <w:jc w:val="center"/>
              </w:trPr>
              <w:tc>
                <w:tcPr>
                  <w:tcW w:w="861" w:type="dxa"/>
                  <w:noWrap w:val="0"/>
                  <w:vAlign w:val="center"/>
                </w:tcPr>
                <w:p w14:paraId="77374A6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年份</w:t>
                  </w:r>
                </w:p>
              </w:tc>
              <w:tc>
                <w:tcPr>
                  <w:tcW w:w="604" w:type="dxa"/>
                  <w:noWrap w:val="0"/>
                  <w:vAlign w:val="center"/>
                </w:tcPr>
                <w:p w14:paraId="625FABD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总资产</w:t>
                  </w:r>
                </w:p>
              </w:tc>
              <w:tc>
                <w:tcPr>
                  <w:tcW w:w="606" w:type="dxa"/>
                  <w:noWrap w:val="0"/>
                  <w:vAlign w:val="center"/>
                </w:tcPr>
                <w:p w14:paraId="5E59333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净资产</w:t>
                  </w:r>
                </w:p>
              </w:tc>
              <w:tc>
                <w:tcPr>
                  <w:tcW w:w="569" w:type="dxa"/>
                  <w:noWrap w:val="0"/>
                  <w:vAlign w:val="center"/>
                </w:tcPr>
                <w:p w14:paraId="4C97DCB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负债率</w:t>
                  </w:r>
                </w:p>
              </w:tc>
              <w:tc>
                <w:tcPr>
                  <w:tcW w:w="409" w:type="dxa"/>
                  <w:noWrap w:val="0"/>
                  <w:vAlign w:val="center"/>
                </w:tcPr>
                <w:p w14:paraId="4F2C01F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流</w:t>
                  </w:r>
                </w:p>
                <w:p w14:paraId="4385287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动</w:t>
                  </w:r>
                </w:p>
                <w:p w14:paraId="3A9DB61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eastAsia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比</w:t>
                  </w:r>
                </w:p>
              </w:tc>
              <w:tc>
                <w:tcPr>
                  <w:tcW w:w="596" w:type="dxa"/>
                  <w:noWrap w:val="0"/>
                  <w:vAlign w:val="center"/>
                </w:tcPr>
                <w:p w14:paraId="2CE2C4A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主营</w:t>
                  </w: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业务</w:t>
                  </w:r>
                </w:p>
                <w:p w14:paraId="6ED6FCD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收入</w:t>
                  </w:r>
                </w:p>
              </w:tc>
              <w:tc>
                <w:tcPr>
                  <w:tcW w:w="607" w:type="dxa"/>
                  <w:noWrap w:val="0"/>
                  <w:vAlign w:val="center"/>
                </w:tcPr>
                <w:p w14:paraId="03AEF65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毛利率</w:t>
                  </w:r>
                </w:p>
              </w:tc>
              <w:tc>
                <w:tcPr>
                  <w:tcW w:w="628" w:type="dxa"/>
                  <w:noWrap w:val="0"/>
                  <w:vAlign w:val="center"/>
                </w:tcPr>
                <w:p w14:paraId="024263E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净利润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65AC7AC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货币资金</w:t>
                  </w:r>
                </w:p>
              </w:tc>
              <w:tc>
                <w:tcPr>
                  <w:tcW w:w="651" w:type="dxa"/>
                  <w:noWrap w:val="0"/>
                  <w:vAlign w:val="center"/>
                </w:tcPr>
                <w:p w14:paraId="5CBB328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应收</w:t>
                  </w:r>
                </w:p>
                <w:p w14:paraId="62F8470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账款</w:t>
                  </w:r>
                </w:p>
              </w:tc>
              <w:tc>
                <w:tcPr>
                  <w:tcW w:w="661" w:type="dxa"/>
                  <w:noWrap w:val="0"/>
                  <w:vAlign w:val="center"/>
                </w:tcPr>
                <w:p w14:paraId="7382430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default" w:ascii="宋体" w:hAnsi="宋体" w:eastAsia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其他应收款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1DA8466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存货</w:t>
                  </w:r>
                </w:p>
              </w:tc>
              <w:tc>
                <w:tcPr>
                  <w:tcW w:w="639" w:type="dxa"/>
                  <w:noWrap w:val="0"/>
                  <w:vAlign w:val="center"/>
                </w:tcPr>
                <w:p w14:paraId="4FC4208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固定资产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5C33C2E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银行</w:t>
                  </w: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借款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51563B9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应付账款</w:t>
                  </w:r>
                </w:p>
              </w:tc>
              <w:tc>
                <w:tcPr>
                  <w:tcW w:w="585" w:type="dxa"/>
                  <w:noWrap w:val="0"/>
                  <w:vAlign w:val="center"/>
                </w:tcPr>
                <w:p w14:paraId="3F8F564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default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其他应付款</w:t>
                  </w:r>
                </w:p>
              </w:tc>
              <w:tc>
                <w:tcPr>
                  <w:tcW w:w="728" w:type="dxa"/>
                  <w:noWrap w:val="0"/>
                  <w:vAlign w:val="center"/>
                </w:tcPr>
                <w:p w14:paraId="2894615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default" w:ascii="宋体" w:hAnsi="宋体" w:eastAsia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经营性现金流</w:t>
                  </w:r>
                </w:p>
              </w:tc>
            </w:tr>
            <w:tr w14:paraId="0C4F67C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44" w:hRule="atLeast"/>
                <w:jc w:val="center"/>
              </w:trPr>
              <w:tc>
                <w:tcPr>
                  <w:tcW w:w="861" w:type="dxa"/>
                  <w:noWrap w:val="0"/>
                  <w:vAlign w:val="center"/>
                </w:tcPr>
                <w:p w14:paraId="4C2566B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left="210" w:hanging="180" w:hangingChars="100"/>
                    <w:jc w:val="center"/>
                    <w:textAlignment w:val="baseline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20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22</w:t>
                  </w:r>
                </w:p>
              </w:tc>
              <w:tc>
                <w:tcPr>
                  <w:tcW w:w="604" w:type="dxa"/>
                  <w:noWrap w:val="0"/>
                  <w:vAlign w:val="center"/>
                </w:tcPr>
                <w:p w14:paraId="5B8485C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17895</w:t>
                  </w:r>
                </w:p>
              </w:tc>
              <w:tc>
                <w:tcPr>
                  <w:tcW w:w="606" w:type="dxa"/>
                  <w:noWrap w:val="0"/>
                  <w:vAlign w:val="center"/>
                </w:tcPr>
                <w:p w14:paraId="0DC793F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8357</w:t>
                  </w:r>
                </w:p>
              </w:tc>
              <w:tc>
                <w:tcPr>
                  <w:tcW w:w="569" w:type="dxa"/>
                  <w:noWrap w:val="0"/>
                  <w:vAlign w:val="center"/>
                </w:tcPr>
                <w:p w14:paraId="68F0FD6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53.29%</w:t>
                  </w:r>
                </w:p>
              </w:tc>
              <w:tc>
                <w:tcPr>
                  <w:tcW w:w="409" w:type="dxa"/>
                  <w:noWrap w:val="0"/>
                  <w:vAlign w:val="center"/>
                </w:tcPr>
                <w:p w14:paraId="756846D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1.5</w:t>
                  </w:r>
                </w:p>
              </w:tc>
              <w:tc>
                <w:tcPr>
                  <w:tcW w:w="596" w:type="dxa"/>
                  <w:noWrap w:val="0"/>
                  <w:vAlign w:val="center"/>
                </w:tcPr>
                <w:p w14:paraId="238B48A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21198</w:t>
                  </w:r>
                </w:p>
              </w:tc>
              <w:tc>
                <w:tcPr>
                  <w:tcW w:w="607" w:type="dxa"/>
                  <w:noWrap w:val="0"/>
                  <w:vAlign w:val="center"/>
                </w:tcPr>
                <w:p w14:paraId="15A89F2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30.55%</w:t>
                  </w:r>
                </w:p>
              </w:tc>
              <w:tc>
                <w:tcPr>
                  <w:tcW w:w="628" w:type="dxa"/>
                  <w:noWrap w:val="0"/>
                  <w:vAlign w:val="center"/>
                </w:tcPr>
                <w:p w14:paraId="0034665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983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458397B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1104</w:t>
                  </w:r>
                </w:p>
              </w:tc>
              <w:tc>
                <w:tcPr>
                  <w:tcW w:w="651" w:type="dxa"/>
                  <w:noWrap w:val="0"/>
                  <w:vAlign w:val="center"/>
                </w:tcPr>
                <w:p w14:paraId="2D55384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4410</w:t>
                  </w:r>
                </w:p>
              </w:tc>
              <w:tc>
                <w:tcPr>
                  <w:tcW w:w="661" w:type="dxa"/>
                  <w:noWrap w:val="0"/>
                  <w:vAlign w:val="center"/>
                </w:tcPr>
                <w:p w14:paraId="5E2A28D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1432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58BC093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5301</w:t>
                  </w:r>
                </w:p>
              </w:tc>
              <w:tc>
                <w:tcPr>
                  <w:tcW w:w="639" w:type="dxa"/>
                  <w:noWrap w:val="0"/>
                  <w:vAlign w:val="center"/>
                </w:tcPr>
                <w:p w14:paraId="6C0CA0E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161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6050D7C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3000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47FA720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1490</w:t>
                  </w:r>
                </w:p>
              </w:tc>
              <w:tc>
                <w:tcPr>
                  <w:tcW w:w="585" w:type="dxa"/>
                  <w:noWrap w:val="0"/>
                  <w:vAlign w:val="center"/>
                </w:tcPr>
                <w:p w14:paraId="69958BD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63</w:t>
                  </w:r>
                </w:p>
              </w:tc>
              <w:tc>
                <w:tcPr>
                  <w:tcW w:w="728" w:type="dxa"/>
                  <w:noWrap w:val="0"/>
                  <w:vAlign w:val="center"/>
                </w:tcPr>
                <w:p w14:paraId="1C1A39D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-4373</w:t>
                  </w:r>
                </w:p>
              </w:tc>
            </w:tr>
            <w:tr w14:paraId="31F337B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44" w:hRule="atLeast"/>
                <w:jc w:val="center"/>
              </w:trPr>
              <w:tc>
                <w:tcPr>
                  <w:tcW w:w="861" w:type="dxa"/>
                  <w:noWrap w:val="0"/>
                  <w:vAlign w:val="center"/>
                </w:tcPr>
                <w:p w14:paraId="4136E61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left="210" w:hanging="180" w:hangingChars="100"/>
                    <w:jc w:val="center"/>
                    <w:textAlignment w:val="baseline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202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3</w:t>
                  </w:r>
                </w:p>
              </w:tc>
              <w:tc>
                <w:tcPr>
                  <w:tcW w:w="604" w:type="dxa"/>
                  <w:noWrap w:val="0"/>
                  <w:vAlign w:val="center"/>
                </w:tcPr>
                <w:p w14:paraId="7708557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17940</w:t>
                  </w:r>
                </w:p>
              </w:tc>
              <w:tc>
                <w:tcPr>
                  <w:tcW w:w="606" w:type="dxa"/>
                  <w:noWrap w:val="0"/>
                  <w:vAlign w:val="center"/>
                </w:tcPr>
                <w:p w14:paraId="3C37947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8927</w:t>
                  </w:r>
                </w:p>
              </w:tc>
              <w:tc>
                <w:tcPr>
                  <w:tcW w:w="569" w:type="dxa"/>
                  <w:noWrap w:val="0"/>
                  <w:vAlign w:val="center"/>
                </w:tcPr>
                <w:p w14:paraId="59DA321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50.25%</w:t>
                  </w:r>
                </w:p>
              </w:tc>
              <w:tc>
                <w:tcPr>
                  <w:tcW w:w="409" w:type="dxa"/>
                  <w:noWrap w:val="0"/>
                  <w:vAlign w:val="center"/>
                </w:tcPr>
                <w:p w14:paraId="75646B6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1.57</w:t>
                  </w:r>
                </w:p>
              </w:tc>
              <w:tc>
                <w:tcPr>
                  <w:tcW w:w="596" w:type="dxa"/>
                  <w:noWrap w:val="0"/>
                  <w:vAlign w:val="center"/>
                </w:tcPr>
                <w:p w14:paraId="0788FF1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12130</w:t>
                  </w:r>
                </w:p>
              </w:tc>
              <w:tc>
                <w:tcPr>
                  <w:tcW w:w="607" w:type="dxa"/>
                  <w:noWrap w:val="0"/>
                  <w:vAlign w:val="center"/>
                </w:tcPr>
                <w:p w14:paraId="3B2C72D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27.3%</w:t>
                  </w:r>
                </w:p>
              </w:tc>
              <w:tc>
                <w:tcPr>
                  <w:tcW w:w="628" w:type="dxa"/>
                  <w:noWrap w:val="0"/>
                  <w:vAlign w:val="center"/>
                </w:tcPr>
                <w:p w14:paraId="59348EA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393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037A573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1522</w:t>
                  </w:r>
                </w:p>
              </w:tc>
              <w:tc>
                <w:tcPr>
                  <w:tcW w:w="651" w:type="dxa"/>
                  <w:noWrap w:val="0"/>
                  <w:vAlign w:val="center"/>
                </w:tcPr>
                <w:p w14:paraId="69E5BC4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6354</w:t>
                  </w:r>
                </w:p>
              </w:tc>
              <w:tc>
                <w:tcPr>
                  <w:tcW w:w="661" w:type="dxa"/>
                  <w:noWrap w:val="0"/>
                  <w:vAlign w:val="center"/>
                </w:tcPr>
                <w:p w14:paraId="646E526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3621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7748410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2545</w:t>
                  </w:r>
                </w:p>
              </w:tc>
              <w:tc>
                <w:tcPr>
                  <w:tcW w:w="639" w:type="dxa"/>
                  <w:noWrap w:val="0"/>
                  <w:vAlign w:val="center"/>
                </w:tcPr>
                <w:p w14:paraId="0EC80B8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256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4C4B3ED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4000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1D14E01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1847</w:t>
                  </w:r>
                </w:p>
              </w:tc>
              <w:tc>
                <w:tcPr>
                  <w:tcW w:w="585" w:type="dxa"/>
                  <w:noWrap w:val="0"/>
                  <w:vAlign w:val="center"/>
                </w:tcPr>
                <w:p w14:paraId="0417F75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185</w:t>
                  </w:r>
                </w:p>
              </w:tc>
              <w:tc>
                <w:tcPr>
                  <w:tcW w:w="728" w:type="dxa"/>
                  <w:noWrap w:val="0"/>
                  <w:vAlign w:val="center"/>
                </w:tcPr>
                <w:p w14:paraId="606928A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269</w:t>
                  </w:r>
                </w:p>
              </w:tc>
            </w:tr>
            <w:tr w14:paraId="7D30D38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44" w:hRule="atLeast"/>
                <w:jc w:val="center"/>
              </w:trPr>
              <w:tc>
                <w:tcPr>
                  <w:tcW w:w="861" w:type="dxa"/>
                  <w:noWrap w:val="0"/>
                  <w:vAlign w:val="center"/>
                </w:tcPr>
                <w:p w14:paraId="0B8FEC8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left="210" w:hanging="180" w:hangingChars="100"/>
                    <w:jc w:val="center"/>
                    <w:textAlignment w:val="baseline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202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4</w:t>
                  </w:r>
                </w:p>
              </w:tc>
              <w:tc>
                <w:tcPr>
                  <w:tcW w:w="604" w:type="dxa"/>
                  <w:noWrap w:val="0"/>
                  <w:vAlign w:val="center"/>
                </w:tcPr>
                <w:p w14:paraId="6FDE54F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18575</w:t>
                  </w:r>
                </w:p>
              </w:tc>
              <w:tc>
                <w:tcPr>
                  <w:tcW w:w="606" w:type="dxa"/>
                  <w:noWrap w:val="0"/>
                  <w:vAlign w:val="center"/>
                </w:tcPr>
                <w:p w14:paraId="54795DE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9256</w:t>
                  </w:r>
                </w:p>
              </w:tc>
              <w:tc>
                <w:tcPr>
                  <w:tcW w:w="569" w:type="dxa"/>
                  <w:noWrap w:val="0"/>
                  <w:vAlign w:val="center"/>
                </w:tcPr>
                <w:p w14:paraId="0356396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50.17%</w:t>
                  </w:r>
                </w:p>
              </w:tc>
              <w:tc>
                <w:tcPr>
                  <w:tcW w:w="409" w:type="dxa"/>
                  <w:noWrap w:val="0"/>
                  <w:vAlign w:val="center"/>
                </w:tcPr>
                <w:p w14:paraId="281581D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1.58</w:t>
                  </w:r>
                </w:p>
              </w:tc>
              <w:tc>
                <w:tcPr>
                  <w:tcW w:w="596" w:type="dxa"/>
                  <w:noWrap w:val="0"/>
                  <w:vAlign w:val="center"/>
                </w:tcPr>
                <w:p w14:paraId="294EB8A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8712</w:t>
                  </w:r>
                </w:p>
              </w:tc>
              <w:tc>
                <w:tcPr>
                  <w:tcW w:w="607" w:type="dxa"/>
                  <w:noWrap w:val="0"/>
                  <w:vAlign w:val="center"/>
                </w:tcPr>
                <w:p w14:paraId="7B92646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38.8%</w:t>
                  </w:r>
                </w:p>
              </w:tc>
              <w:tc>
                <w:tcPr>
                  <w:tcW w:w="628" w:type="dxa"/>
                  <w:noWrap w:val="0"/>
                  <w:vAlign w:val="center"/>
                </w:tcPr>
                <w:p w14:paraId="14DF8D1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329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4336EEF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506</w:t>
                  </w:r>
                </w:p>
              </w:tc>
              <w:tc>
                <w:tcPr>
                  <w:tcW w:w="651" w:type="dxa"/>
                  <w:noWrap w:val="0"/>
                  <w:vAlign w:val="center"/>
                </w:tcPr>
                <w:p w14:paraId="546EDC9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9253</w:t>
                  </w:r>
                </w:p>
              </w:tc>
              <w:tc>
                <w:tcPr>
                  <w:tcW w:w="661" w:type="dxa"/>
                  <w:noWrap w:val="0"/>
                  <w:vAlign w:val="center"/>
                </w:tcPr>
                <w:p w14:paraId="458213F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3522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153FBBD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1166</w:t>
                  </w:r>
                </w:p>
              </w:tc>
              <w:tc>
                <w:tcPr>
                  <w:tcW w:w="639" w:type="dxa"/>
                  <w:noWrap w:val="0"/>
                  <w:vAlign w:val="center"/>
                </w:tcPr>
                <w:p w14:paraId="16AD6FD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164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5923024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4990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40C41D2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2333</w:t>
                  </w:r>
                </w:p>
              </w:tc>
              <w:tc>
                <w:tcPr>
                  <w:tcW w:w="585" w:type="dxa"/>
                  <w:noWrap w:val="0"/>
                  <w:vAlign w:val="center"/>
                </w:tcPr>
                <w:p w14:paraId="70CE0EE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648</w:t>
                  </w:r>
                </w:p>
              </w:tc>
              <w:tc>
                <w:tcPr>
                  <w:tcW w:w="728" w:type="dxa"/>
                  <w:noWrap w:val="0"/>
                  <w:vAlign w:val="center"/>
                </w:tcPr>
                <w:p w14:paraId="25CEA4A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-896</w:t>
                  </w:r>
                </w:p>
              </w:tc>
            </w:tr>
            <w:tr w14:paraId="29EF884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44" w:hRule="atLeast"/>
                <w:jc w:val="center"/>
              </w:trPr>
              <w:tc>
                <w:tcPr>
                  <w:tcW w:w="861" w:type="dxa"/>
                  <w:noWrap w:val="0"/>
                  <w:vAlign w:val="center"/>
                </w:tcPr>
                <w:p w14:paraId="0498ED3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left="210" w:hanging="180" w:hangingChars="100"/>
                    <w:jc w:val="center"/>
                    <w:textAlignment w:val="baseline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202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4.4</w:t>
                  </w:r>
                </w:p>
              </w:tc>
              <w:tc>
                <w:tcPr>
                  <w:tcW w:w="604" w:type="dxa"/>
                  <w:noWrap w:val="0"/>
                  <w:vAlign w:val="center"/>
                </w:tcPr>
                <w:p w14:paraId="5950C83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606" w:type="dxa"/>
                  <w:noWrap w:val="0"/>
                  <w:vAlign w:val="center"/>
                </w:tcPr>
                <w:p w14:paraId="7DE9EE0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569" w:type="dxa"/>
                  <w:noWrap w:val="0"/>
                  <w:vAlign w:val="center"/>
                </w:tcPr>
                <w:p w14:paraId="5D1D694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409" w:type="dxa"/>
                  <w:noWrap w:val="0"/>
                  <w:vAlign w:val="center"/>
                </w:tcPr>
                <w:p w14:paraId="7FFC586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596" w:type="dxa"/>
                  <w:noWrap w:val="0"/>
                  <w:vAlign w:val="center"/>
                </w:tcPr>
                <w:p w14:paraId="497981E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607" w:type="dxa"/>
                  <w:noWrap w:val="0"/>
                  <w:vAlign w:val="center"/>
                </w:tcPr>
                <w:p w14:paraId="45E0AB1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628" w:type="dxa"/>
                  <w:noWrap w:val="0"/>
                  <w:vAlign w:val="center"/>
                </w:tcPr>
                <w:p w14:paraId="1314635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6DC32B0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651" w:type="dxa"/>
                  <w:noWrap w:val="0"/>
                  <w:vAlign w:val="center"/>
                </w:tcPr>
                <w:p w14:paraId="5306878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661" w:type="dxa"/>
                  <w:noWrap w:val="0"/>
                  <w:vAlign w:val="center"/>
                </w:tcPr>
                <w:p w14:paraId="1B4ACC2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7E47DE4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639" w:type="dxa"/>
                  <w:noWrap w:val="0"/>
                  <w:vAlign w:val="center"/>
                </w:tcPr>
                <w:p w14:paraId="1099369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51F60AC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666983F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585" w:type="dxa"/>
                  <w:noWrap w:val="0"/>
                  <w:vAlign w:val="center"/>
                </w:tcPr>
                <w:p w14:paraId="0229339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728" w:type="dxa"/>
                  <w:noWrap w:val="0"/>
                  <w:vAlign w:val="center"/>
                </w:tcPr>
                <w:p w14:paraId="4C161AD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</w:tr>
            <w:tr w14:paraId="41DBB39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54" w:hRule="atLeast"/>
                <w:jc w:val="center"/>
              </w:trPr>
              <w:tc>
                <w:tcPr>
                  <w:tcW w:w="861" w:type="dxa"/>
                  <w:noWrap w:val="0"/>
                  <w:vAlign w:val="center"/>
                </w:tcPr>
                <w:p>
                  <w:r>
                    <w:t>2025年末(新增)</w:t>
                  </w:r>
                </w:p>
              </w:tc>
              <w:tc>
                <w:tcPr>
                  <w:tcW w:w="604" w:type="dxa"/>
                  <w:noWrap w:val="0"/>
                  <w:vAlign w:val="center"/>
                </w:tcPr>
                <w:p w14:paraId="5F14769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16956</w:t>
                  </w:r>
                </w:p>
              </w:tc>
              <w:tc>
                <w:tcPr>
                  <w:tcW w:w="606" w:type="dxa"/>
                  <w:noWrap w:val="0"/>
                  <w:vAlign w:val="center"/>
                </w:tcPr>
                <w:p w14:paraId="09E9FF2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9749</w:t>
                  </w:r>
                </w:p>
              </w:tc>
              <w:tc>
                <w:tcPr>
                  <w:tcW w:w="569" w:type="dxa"/>
                  <w:noWrap w:val="0"/>
                  <w:vAlign w:val="center"/>
                </w:tcPr>
                <w:p w14:paraId="320CB7E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42.5%</w:t>
                  </w:r>
                </w:p>
              </w:tc>
              <w:tc>
                <w:tcPr>
                  <w:tcW w:w="409" w:type="dxa"/>
                  <w:noWrap w:val="0"/>
                  <w:vAlign w:val="center"/>
                </w:tcPr>
                <w:p w14:paraId="0699E2F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1.82</w:t>
                  </w:r>
                </w:p>
              </w:tc>
              <w:tc>
                <w:tcPr>
                  <w:tcW w:w="596" w:type="dxa"/>
                  <w:noWrap w:val="0"/>
                  <w:vAlign w:val="center"/>
                </w:tcPr>
                <w:p w14:paraId="25C8C81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10010</w:t>
                  </w:r>
                </w:p>
              </w:tc>
              <w:tc>
                <w:tcPr>
                  <w:tcW w:w="607" w:type="dxa"/>
                  <w:noWrap w:val="0"/>
                  <w:vAlign w:val="center"/>
                </w:tcPr>
                <w:p w14:paraId="1EC532F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38.02%</w:t>
                  </w:r>
                </w:p>
              </w:tc>
              <w:tc>
                <w:tcPr>
                  <w:tcW w:w="628" w:type="dxa"/>
                  <w:noWrap w:val="0"/>
                  <w:vAlign w:val="center"/>
                </w:tcPr>
                <w:p w14:paraId="3A4C5A3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494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7A1B609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286</w:t>
                  </w:r>
                </w:p>
              </w:tc>
              <w:tc>
                <w:tcPr>
                  <w:tcW w:w="651" w:type="dxa"/>
                  <w:noWrap w:val="0"/>
                  <w:vAlign w:val="center"/>
                </w:tcPr>
                <w:p w14:paraId="6D5CF8F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7430</w:t>
                  </w:r>
                </w:p>
              </w:tc>
              <w:tc>
                <w:tcPr>
                  <w:tcW w:w="661" w:type="dxa"/>
                  <w:noWrap w:val="0"/>
                  <w:vAlign w:val="center"/>
                </w:tcPr>
                <w:p w14:paraId="7AF555F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2774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706BCEC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2192</w:t>
                  </w:r>
                </w:p>
              </w:tc>
              <w:tc>
                <w:tcPr>
                  <w:tcW w:w="639" w:type="dxa"/>
                  <w:noWrap w:val="0"/>
                  <w:vAlign w:val="center"/>
                </w:tcPr>
                <w:p w14:paraId="34E4063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93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47F40CD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4730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1965F46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1026</w:t>
                  </w:r>
                </w:p>
              </w:tc>
              <w:tc>
                <w:tcPr>
                  <w:tcW w:w="585" w:type="dxa"/>
                  <w:noWrap w:val="0"/>
                  <w:vAlign w:val="center"/>
                </w:tcPr>
                <w:p w14:paraId="02BD285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168</w:t>
                  </w:r>
                </w:p>
              </w:tc>
              <w:tc>
                <w:tcPr>
                  <w:tcW w:w="728" w:type="dxa"/>
                  <w:noWrap w:val="0"/>
                  <w:vAlign w:val="center"/>
                </w:tcPr>
                <w:p w14:paraId="57D0B9F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791</w:t>
                  </w:r>
                </w:p>
              </w:tc>
            </w:tr>
          </w:tbl>
          <w:p w14:paraId="55916AE0">
            <w:commentRangeStart w:id="10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 w:firstLineChars="20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u w:val="single"/>
                <w:lang w:val="en-US" w:eastAsia="zh-CN"/>
              </w:rPr>
              <w:t>集团内因生产工艺等原因，互有关联销售，合计在____亿左右，剔除关联交易后，集团整体销售约____亿。</w:t>
            </w:r>
            <w:commentRangeEnd w:id="10"/>
            <w:r>
              <w:rPr>
                <w:rStyle w:val="CommentReference"/>
              </w:rPr>
              <w:commentReference w:id="10"/>
            </w:r>
          </w:p>
          <w:p w14:paraId="3CABD7D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3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.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我行集团授信或关联授信情况（若有）：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请描述集团或关联授信的最新授信方案及当前授信提用情况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none"/>
                <w:lang w:val="en-US" w:eastAsia="zh-CN"/>
              </w:rPr>
              <w:t>。</w:t>
            </w:r>
          </w:p>
          <w:p w14:paraId="55356AD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（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五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）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借款人</w:t>
            </w:r>
            <w:r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</w:rPr>
              <w:t>主要经营</w:t>
            </w:r>
            <w:r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  <w:lang w:val="en-US" w:eastAsia="zh-CN"/>
              </w:rPr>
              <w:t>及</w:t>
            </w:r>
            <w:r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</w:rPr>
              <w:t>财务情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况</w:t>
            </w:r>
          </w:p>
          <w:p w14:paraId="4B2F20E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1.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产品（业务）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及其市场应用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主营芯片设计，主要销售的芯片为28nm级，产品主要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用于智慧水利、智慧教育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等。</w:t>
            </w:r>
          </w:p>
          <w:p w14:paraId="6F6BDB2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2" w:firstLineChars="200"/>
              <w:jc w:val="left"/>
              <w:textAlignment w:val="baseline"/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2.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产品优势、企业核心竞争力: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企业产品准入门槛较高，技术……，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</w:rPr>
              <w:t>/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企业为传统行业企业，依托与上下游建立的多年稳定的合作关系经营。</w:t>
            </w:r>
          </w:p>
          <w:p w14:paraId="2C7F6AA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2" w:firstLineChars="2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3.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产品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生产、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销量、销售收入及结构占比情况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：  </w:t>
            </w:r>
          </w:p>
          <w:p w14:paraId="1C0B563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 w:firstLineChars="2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（若有）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生产工艺流程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lang w:eastAsia="zh-CN"/>
              </w:rPr>
              <w:t>可附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</w:rPr>
              <w:t>流程图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：</w:t>
            </w:r>
          </w:p>
          <w:p w14:paraId="7998D981">
            <w:commentRangeStart w:id="11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single"/>
                <w:lang w:val="en-US" w:eastAsia="zh-CN" w:bidi="ar-SA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（若有</w:t>
            </w: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Cs w:val="21"/>
                <w:lang w:val="en-US" w:eastAsia="zh-CN"/>
              </w:rPr>
              <w:t>）生产</w:t>
            </w: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>分析：公司拥有机器设备约____台（套），包含____生产线____套、全自动____机2台，半自动生产线____套等设备，年产约____万吨____（产品），____万吨____（产品）。企业2022-2024年产能利用率分别为65.32%、65.16%、64.12%，产销率约分别为98.09%、102.55%、98.15%。</w:t>
            </w:r>
            <w:commentRangeEnd w:id="11"/>
            <w:r>
              <w:rPr>
                <w:rStyle w:val="CommentReference"/>
              </w:rPr>
              <w:commentReference w:id="11"/>
            </w:r>
          </w:p>
          <w:tbl>
            <w:tblPr>
              <w:tblStyle w:val="14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left w:w="108" w:type="dxa"/>
                <w:right w:w="108" w:type="dxa"/>
              </w:tblCellMar>
            </w:tblPr>
            <w:tblGrid>
              <w:gridCol w:w="1296"/>
              <w:gridCol w:w="2306"/>
              <w:gridCol w:w="1116"/>
              <w:gridCol w:w="1926"/>
              <w:gridCol w:w="756"/>
              <w:gridCol w:w="756"/>
            </w:tblGrid>
            <w:tr w14:paraId="2272FC9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5035E13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  <w:t>主要产品名称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2329B4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上年销量</w:t>
                  </w:r>
                </w:p>
                <w:p w14:paraId="6E40FD3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 w:firstLineChars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单位：台/套/件...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）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85A2F4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highlight w:val="none"/>
                      <w:lang w:val="en-US" w:eastAsia="zh-CN"/>
                    </w:rPr>
                    <w:t>上年销售额</w:t>
                  </w:r>
                </w:p>
                <w:p w14:paraId="7A435155">
                  <w:pPr>
                    <w:pStyle w:val="9"/>
                    <w:jc w:val="center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（万元）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2C4673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上年销售额占比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%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）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993FAF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毛利润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3494D6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毛利率</w:t>
                  </w:r>
                </w:p>
              </w:tc>
            </w:tr>
            <w:tr w14:paraId="4CBB54C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0288490D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65CA615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E15DC63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1DEDD63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E4AA5EA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1E61B12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</w:tr>
            <w:tr w14:paraId="7101451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5F88A6EA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8FF873F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092F764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1FF8527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2EE86AD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13B96FCC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</w:tr>
          </w:tbl>
          <w:p w14:paraId="557D6191">
            <w:pPr>
              <w:rPr>
                <w:rFonts w:hint="eastAsia"/>
              </w:rPr>
            </w:pPr>
          </w:p>
          <w:tbl>
            <w:tblPr>
              <w:tblStyle w:val="14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296"/>
              <w:gridCol w:w="2306"/>
              <w:gridCol w:w="1566"/>
              <w:gridCol w:w="1926"/>
              <w:gridCol w:w="756"/>
              <w:gridCol w:w="756"/>
            </w:tblGrid>
            <w:tr w14:paraId="77BDBA5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380F695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  <w:t>主要产品名称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3F1BD1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本年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1-9月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销量</w:t>
                  </w:r>
                </w:p>
                <w:p w14:paraId="3A80B1C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 w:firstLineChars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单位：台/套/件...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）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A1F970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本年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1-9月</w:t>
                  </w:r>
                  <w:r>
                    <w:rPr>
                      <w:rFonts w:hint="eastAsia"/>
                      <w:sz w:val="18"/>
                      <w:szCs w:val="18"/>
                      <w:highlight w:val="none"/>
                      <w:lang w:val="en-US" w:eastAsia="zh-CN"/>
                    </w:rPr>
                    <w:t>销售额</w:t>
                  </w:r>
                </w:p>
                <w:p w14:paraId="7BEAC1A1">
                  <w:pPr>
                    <w:pStyle w:val="9"/>
                    <w:jc w:val="center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（万元）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0CB243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上年销售额占比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%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）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314CD9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毛利润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324238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毛利率</w:t>
                  </w:r>
                </w:p>
              </w:tc>
            </w:tr>
            <w:tr w14:paraId="0B1B661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3D279034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FC10C4D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B5EC27F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55442A7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387936F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16BD1865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</w:tr>
            <w:tr w14:paraId="3CAF74D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4EA9EF9F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23E7760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D28EA54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1E5DC2D7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8CD620F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FF11112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</w:tr>
          </w:tbl>
          <w:p w14:paraId="3FE5820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4.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上下游情况：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企业上游为中芯国际等，部分晶圆通过骏方微电子、成都锐杰微等民营企业下单采购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  <w:t>。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下游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客户有中电二十七所、中电五十四所、中电西安乾景防务、中国兵器工业导航与控制技术研究所等，客户资质较强，均为国有大型企业、院所。</w:t>
            </w:r>
          </w:p>
          <w:p w14:paraId="7EA0A4A4">
            <w:commentRangeStart w:id="12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843" w:firstLineChars="4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①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主要上游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前五大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：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 xml:space="preserve">  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 xml:space="preserve"> 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 xml:space="preserve">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 xml:space="preserve">                                   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单位：万元</w:t>
            </w:r>
            <w:commentRangeEnd w:id="12"/>
            <w:r>
              <w:rPr>
                <w:rStyle w:val="CommentReference"/>
              </w:rPr>
              <w:commentReference w:id="12"/>
            </w:r>
          </w:p>
          <w:tbl>
            <w:tblPr>
              <w:tblStyle w:val="13"/>
              <w:tblW w:w="10835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846"/>
              <w:gridCol w:w="990"/>
              <w:gridCol w:w="990"/>
              <w:gridCol w:w="1581"/>
              <w:gridCol w:w="1581"/>
              <w:gridCol w:w="1581"/>
              <w:gridCol w:w="820"/>
              <w:gridCol w:w="602"/>
              <w:gridCol w:w="844"/>
            </w:tblGrid>
            <w:tr w14:paraId="6D71D3A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85" w:hRule="atLeast"/>
                <w:jc w:val="center"/>
              </w:trPr>
              <w:tc>
                <w:tcPr>
                  <w:tcW w:w="1846" w:type="dxa"/>
                  <w:noWrap w:val="0"/>
                  <w:vAlign w:val="center"/>
                </w:tcPr>
                <w:p w14:paraId="707CB8B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  <w:t>主要上游供应商</w:t>
                  </w:r>
                </w:p>
              </w:tc>
              <w:tc>
                <w:tcPr>
                  <w:tcW w:w="990" w:type="dxa"/>
                  <w:noWrap w:val="0"/>
                  <w:vAlign w:val="center"/>
                </w:tcPr>
                <w:p w14:paraId="7B7AFFF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采购商品</w:t>
                  </w:r>
                </w:p>
              </w:tc>
              <w:tc>
                <w:tcPr>
                  <w:tcW w:w="990" w:type="dxa"/>
                  <w:noWrap w:val="0"/>
                  <w:vAlign w:val="center"/>
                </w:tcPr>
                <w:p w14:paraId="61FE809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上年采购额</w:t>
                  </w: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28FC57B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上年采购额占比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%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）</w:t>
                  </w: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3CE418A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今年1-9月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采购额</w:t>
                  </w: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116523C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今年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1-9月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采购额占比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%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）</w:t>
                  </w:r>
                </w:p>
              </w:tc>
              <w:tc>
                <w:tcPr>
                  <w:tcW w:w="820" w:type="dxa"/>
                  <w:noWrap w:val="0"/>
                  <w:vAlign w:val="center"/>
                </w:tcPr>
                <w:p w14:paraId="7559CC7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结算方式</w:t>
                  </w:r>
                </w:p>
              </w:tc>
              <w:tc>
                <w:tcPr>
                  <w:tcW w:w="602" w:type="dxa"/>
                  <w:noWrap w:val="0"/>
                  <w:vAlign w:val="center"/>
                </w:tcPr>
                <w:p w14:paraId="5B6A1A4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both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账期</w:t>
                  </w:r>
                </w:p>
              </w:tc>
              <w:tc>
                <w:tcPr>
                  <w:tcW w:w="844" w:type="dxa"/>
                  <w:noWrap w:val="0"/>
                  <w:vAlign w:val="center"/>
                </w:tcPr>
                <w:p w14:paraId="5352F17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合作年限</w:t>
                  </w:r>
                </w:p>
              </w:tc>
            </w:tr>
            <w:tr w14:paraId="38386EE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46" w:type="dxa"/>
                  <w:noWrap w:val="0"/>
                  <w:vAlign w:val="center"/>
                </w:tcPr>
                <w:p w14:paraId="6434EF1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锐捷网络股份有限公司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64AADBB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货物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54A79CB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943</w:t>
                  </w: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15A3FE9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19.77%</w:t>
                  </w: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50BC571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 w:eastAsia="zh-CN" w:bidi="ar-SA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5DBC207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 w:eastAsia="zh-CN" w:bidi="ar-SA"/>
                    </w:rPr>
                  </w:pPr>
                </w:p>
              </w:tc>
              <w:tc>
                <w:tcPr>
                  <w:tcW w:w="820" w:type="dxa"/>
                  <w:noWrap w:val="0"/>
                  <w:vAlign w:val="top"/>
                </w:tcPr>
                <w:p w14:paraId="1A87421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602" w:type="dxa"/>
                  <w:noWrap w:val="0"/>
                  <w:vAlign w:val="top"/>
                </w:tcPr>
                <w:p w14:paraId="2EEA512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44" w:type="dxa"/>
                  <w:noWrap w:val="0"/>
                  <w:vAlign w:val="center"/>
                </w:tcPr>
                <w:p w14:paraId="7868AB4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4BE54F9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46" w:type="dxa"/>
                  <w:noWrap w:val="0"/>
                  <w:vAlign w:val="center"/>
                </w:tcPr>
                <w:p w14:paraId="7EDFF2A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北京星链南天科技有限公司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3F6E0F3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货物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6131676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186</w:t>
                  </w: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021DF59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3.90%</w:t>
                  </w: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254D668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5011C28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20" w:type="dxa"/>
                  <w:noWrap w:val="0"/>
                  <w:vAlign w:val="top"/>
                </w:tcPr>
                <w:p w14:paraId="040333C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602" w:type="dxa"/>
                  <w:noWrap w:val="0"/>
                  <w:vAlign w:val="top"/>
                </w:tcPr>
                <w:p w14:paraId="69531C3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44" w:type="dxa"/>
                  <w:noWrap w:val="0"/>
                  <w:vAlign w:val="center"/>
                </w:tcPr>
                <w:p w14:paraId="4699B0D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02FA3BB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46" w:type="dxa"/>
                  <w:noWrap w:val="0"/>
                  <w:vAlign w:val="center"/>
                </w:tcPr>
                <w:p w14:paraId="66AAF61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广州浩瀚星图信息技术有限公司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25683B3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货物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2A4E727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172</w:t>
                  </w: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7216821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3.61%</w:t>
                  </w: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1038C8B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3E66545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20" w:type="dxa"/>
                  <w:noWrap w:val="0"/>
                  <w:vAlign w:val="top"/>
                </w:tcPr>
                <w:p w14:paraId="02C8A56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602" w:type="dxa"/>
                  <w:noWrap w:val="0"/>
                  <w:vAlign w:val="top"/>
                </w:tcPr>
                <w:p w14:paraId="762484E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44" w:type="dxa"/>
                  <w:noWrap w:val="0"/>
                  <w:vAlign w:val="center"/>
                </w:tcPr>
                <w:p w14:paraId="69082DC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4363BF4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46" w:type="dxa"/>
                  <w:noWrap w:val="0"/>
                  <w:vAlign w:val="center"/>
                </w:tcPr>
                <w:p w14:paraId="5E798B4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新天科技股份有限公司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2E2E7DB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货物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560E4E2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90</w:t>
                  </w: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75D0686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1.88%</w:t>
                  </w: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12FCCF2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35FEB40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20" w:type="dxa"/>
                  <w:noWrap w:val="0"/>
                  <w:vAlign w:val="top"/>
                </w:tcPr>
                <w:p w14:paraId="27993BC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602" w:type="dxa"/>
                  <w:noWrap w:val="0"/>
                  <w:vAlign w:val="top"/>
                </w:tcPr>
                <w:p w14:paraId="393FDD7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44" w:type="dxa"/>
                  <w:noWrap w:val="0"/>
                  <w:vAlign w:val="center"/>
                </w:tcPr>
                <w:p w14:paraId="0316E0F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0ACFFD3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46" w:type="dxa"/>
                  <w:noWrap w:val="0"/>
                  <w:vAlign w:val="center"/>
                </w:tcPr>
                <w:p w14:paraId="415A019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精导信息技术有限公司司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0A6AC47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货物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2E44850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89</w:t>
                  </w: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24FD45B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1.87%</w:t>
                  </w: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5B78BF5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7F4286C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20" w:type="dxa"/>
                  <w:noWrap w:val="0"/>
                  <w:vAlign w:val="top"/>
                </w:tcPr>
                <w:p w14:paraId="374879B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602" w:type="dxa"/>
                  <w:noWrap w:val="0"/>
                  <w:vAlign w:val="top"/>
                </w:tcPr>
                <w:p w14:paraId="280E1D9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44" w:type="dxa"/>
                  <w:noWrap w:val="0"/>
                  <w:vAlign w:val="center"/>
                </w:tcPr>
                <w:p w14:paraId="7519CC3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272B26C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835" w:type="dxa"/>
                  <w:gridSpan w:val="9"/>
                  <w:noWrap w:val="0"/>
                  <w:vAlign w:val="center"/>
                </w:tcPr>
                <w:p w14:paraId="784CC36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r>
                </w:p>
              </w:tc>
            </w:tr>
          </w:tbl>
          <w:p w14:paraId="7A21CEAA">
            <w:commentRangeStart w:id="13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843" w:firstLineChars="4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②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主要下游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前五大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 xml:space="preserve">                                          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单位：万元</w:t>
            </w:r>
            <w:commentRangeEnd w:id="13"/>
            <w:r>
              <w:rPr>
                <w:rStyle w:val="CommentReference"/>
              </w:rPr>
              <w:commentReference w:id="13"/>
            </w:r>
          </w:p>
          <w:tbl>
            <w:tblPr>
              <w:tblStyle w:val="13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465"/>
              <w:gridCol w:w="854"/>
              <w:gridCol w:w="1007"/>
              <w:gridCol w:w="1735"/>
              <w:gridCol w:w="1402"/>
              <w:gridCol w:w="2117"/>
              <w:gridCol w:w="854"/>
              <w:gridCol w:w="549"/>
              <w:gridCol w:w="855"/>
            </w:tblGrid>
            <w:tr w14:paraId="0D9B429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242DAD2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  <w:t>主要下游销售客户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37463C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销售产品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E2AD17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上年销售额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53FC1E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上年销售额占比（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%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）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342E06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今年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1-9月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销售额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6C08E1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今年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1-9月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销售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额占比（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%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）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53E43C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结算方式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8DEFA5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账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期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5DA882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合作年限</w:t>
                  </w:r>
                </w:p>
              </w:tc>
            </w:tr>
            <w:tr w14:paraId="4FE17D4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7843F5F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涵江水利局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08A8B9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智慧水利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331F2DF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1116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1CC87A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10.02%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8544C2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ADB3D9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3E04CB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41A9AB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7849C8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01F766E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31CAA02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福建省翔远电子科技有限公司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278236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软硬件销售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6D1C03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1122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C3AC86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9.92%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53E5B9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2A56D1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327A14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044C48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D3F4D8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7BCCBA3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5AF7CD3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三明水利水电工程有限公司顺昌分公司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757D6C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智慧水利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1859D4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572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147B9A1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5.07%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4E492C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F0FAA0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B79432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A6B6BC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5FCBA2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55B314D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6037DE5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福州市福清公路事业发展中心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2CFD36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软硬件销售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06271D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396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DAF40B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3.51%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B60723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FA1F04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13E8F61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F6016F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8DCFD8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6418262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2D75749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济南展雄电子有限公司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3968CD2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智慧教育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1C6EFF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356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0406A2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2.99%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0FF03D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015AB2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469F70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F18833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576838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1A7F9B6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gridSpan w:val="9"/>
                  <w:noWrap w:val="0"/>
                  <w:vAlign w:val="center"/>
                </w:tcPr>
                <w:p w14:paraId="3DC2307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r>
                </w:p>
              </w:tc>
            </w:tr>
          </w:tbl>
          <w:p w14:paraId="1A32ADF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843" w:firstLineChars="40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③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经营账期：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上游采购一般预付或现付，下游账期较长，主要下游通过转账、票据与借款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人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进行结算。企业总体营运资金周转效率偏慢，一年周转约1次。</w:t>
            </w:r>
          </w:p>
          <w:p w14:paraId="6B640D2F">
            <w:commentRangeStart w:id="14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B05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5.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最新在手订单列表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 xml:space="preserve">：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</w:rPr>
              <w:t xml:space="preserve">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lang w:val="en-US" w:eastAsia="zh-CN"/>
              </w:rPr>
              <w:t xml:space="preserve">                                    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单位：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</w:rPr>
              <w:t>万元</w:t>
            </w:r>
            <w:commentRangeEnd w:id="14"/>
            <w:r>
              <w:rPr>
                <w:rStyle w:val="CommentReference"/>
              </w:rPr>
              <w:commentReference w:id="14"/>
            </w:r>
          </w:p>
          <w:tbl>
            <w:tblPr>
              <w:tblStyle w:val="13"/>
              <w:tblW w:w="10844" w:type="dxa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849"/>
              <w:gridCol w:w="1313"/>
              <w:gridCol w:w="1923"/>
              <w:gridCol w:w="1586"/>
              <w:gridCol w:w="1586"/>
              <w:gridCol w:w="1587"/>
            </w:tblGrid>
            <w:tr w14:paraId="67C2511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55" w:hRule="atLeast"/>
                <w:jc w:val="center"/>
              </w:trPr>
              <w:tc>
                <w:tcPr>
                  <w:tcW w:w="1313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C3FF9D1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  <w:t>合同/公司名</w:t>
                  </w:r>
                </w:p>
              </w:tc>
              <w:tc>
                <w:tcPr>
                  <w:tcW w:w="605" w:type="pct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8FFFB68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  <w:t>合同金额</w:t>
                  </w:r>
                </w:p>
              </w:tc>
              <w:tc>
                <w:tcPr>
                  <w:tcW w:w="886" w:type="pct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D55B202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21"/>
                      <w:szCs w:val="21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  <w:t>签署日期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eastAsia="zh-CN"/>
                    </w:rPr>
                    <w:t>（期限）</w:t>
                  </w:r>
                </w:p>
              </w:tc>
              <w:tc>
                <w:tcPr>
                  <w:tcW w:w="731" w:type="pct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399ECB5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en-US" w:eastAsia="zh-CN"/>
                    </w:rPr>
                    <w:t>确认收入时间</w:t>
                  </w:r>
                </w:p>
              </w:tc>
              <w:tc>
                <w:tcPr>
                  <w:tcW w:w="731" w:type="pct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A0B75B3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auto"/>
                      <w:kern w:val="0"/>
                      <w:szCs w:val="21"/>
                      <w:highlight w:val="none"/>
                      <w:lang w:eastAsia="zh-CN"/>
                    </w:rPr>
                    <w:t>已履约金额</w:t>
                  </w:r>
                </w:p>
              </w:tc>
              <w:tc>
                <w:tcPr>
                  <w:tcW w:w="731" w:type="pct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4AF4BA7C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auto"/>
                      <w:kern w:val="0"/>
                      <w:szCs w:val="21"/>
                      <w:highlight w:val="none"/>
                      <w:lang w:eastAsia="zh-CN"/>
                    </w:rPr>
                    <w:t>已回款金额</w:t>
                  </w:r>
                </w:p>
              </w:tc>
            </w:tr>
            <w:tr w14:paraId="5A0C187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55" w:hRule="atLeast"/>
                <w:jc w:val="center"/>
              </w:trPr>
              <w:tc>
                <w:tcPr>
                  <w:tcW w:w="1313" w:type="pct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4CA16D5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  <w:t>中船重工第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  <w:t>____研究所</w:t>
                  </w:r>
                </w:p>
              </w:tc>
              <w:tc>
                <w:tcPr>
                  <w:tcW w:w="605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3E12A32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  <w:t>2000</w:t>
                  </w:r>
                </w:p>
              </w:tc>
              <w:tc>
                <w:tcPr>
                  <w:tcW w:w="886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1C1BB5F0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21"/>
                      <w:szCs w:val="21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  <w:t>2021.11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eastAsia="zh-CN"/>
                    </w:rPr>
                    <w:t>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en-US" w:eastAsia="zh-CN"/>
                    </w:rPr>
                    <w:t>3年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eastAsia="zh-CN"/>
                    </w:rPr>
                    <w:t>）</w:t>
                  </w: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6D8C3B6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9C0847F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419CC682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</w:tr>
            <w:tr w14:paraId="0DF5A1E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55" w:hRule="atLeast"/>
                <w:jc w:val="center"/>
              </w:trPr>
              <w:tc>
                <w:tcPr>
                  <w:tcW w:w="1313" w:type="pct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37ED76F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605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3CFE999A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886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AC48470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B9B9C8C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211F258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D06F0D6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</w:tr>
            <w:tr w14:paraId="52AF4E5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55" w:hRule="atLeast"/>
                <w:jc w:val="center"/>
              </w:trPr>
              <w:tc>
                <w:tcPr>
                  <w:tcW w:w="1313" w:type="pct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5D063838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  <w:tc>
                <w:tcPr>
                  <w:tcW w:w="605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7814C51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  <w:tc>
                <w:tcPr>
                  <w:tcW w:w="886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C8F62E6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40BA8AF6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31123CCC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0B84F730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</w:tr>
            <w:tr w14:paraId="41E7C29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55" w:hRule="atLeast"/>
                <w:jc w:val="center"/>
              </w:trPr>
              <w:tc>
                <w:tcPr>
                  <w:tcW w:w="1313" w:type="pct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1C3F70BF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605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320416F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886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33305E57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01D0C40E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B4BC414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09ECB4FC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</w:tr>
            <w:tr w14:paraId="25C12B5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55" w:hRule="atLeast"/>
                <w:jc w:val="center"/>
              </w:trPr>
              <w:tc>
                <w:tcPr>
                  <w:tcW w:w="1313" w:type="pct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7C83A044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  <w:t>合计</w:t>
                  </w:r>
                </w:p>
              </w:tc>
              <w:tc>
                <w:tcPr>
                  <w:tcW w:w="605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2968ED9E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  <w:tc>
                <w:tcPr>
                  <w:tcW w:w="886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F860DB7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7B2D234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E9A82DC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02ABD0C9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</w:tr>
          </w:tbl>
          <w:p w14:paraId="773D182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2" w:firstLineChars="200"/>
              <w:jc w:val="left"/>
              <w:textAlignment w:val="baseline"/>
              <w:rPr>
                <w:rFonts w:hint="default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6.借款人主要财务指标情况：</w:t>
            </w:r>
          </w:p>
          <w:p w14:paraId="66F7E68A">
            <w:pPr>
              <w:ind w:firstLine="1265" w:firstLineChars="600"/>
              <w:rPr>
                <w:rFonts w:ascii="宋体" w:hAnsi="宋体" w:cs="宋体"/>
                <w:b/>
                <w:bCs/>
                <w:szCs w:val="21"/>
                <w:highlight w:val="none"/>
              </w:rPr>
            </w:pPr>
            <w:r>
              <w:rPr>
                <w:rFonts w:hint="eastAsia" w:ascii="宋体" w:hAnsi="宋体"/>
                <w:b/>
                <w:bCs/>
                <w:color w:val="000000"/>
                <w:highlight w:val="none"/>
                <w:lang w:val="en-US" w:eastAsia="zh-CN"/>
              </w:rPr>
              <w:t>①</w:t>
            </w:r>
            <w:r>
              <w:rPr>
                <w:rFonts w:ascii="宋体" w:hAnsi="宋体"/>
                <w:b/>
                <w:bCs/>
                <w:color w:val="000000"/>
                <w:highlight w:val="none"/>
              </w:rPr>
              <w:t>财务真实性验证(税务数据验证)</w:t>
            </w:r>
          </w:p>
          <w:tbl>
            <w:tblPr>
              <w:tblStyle w:val="13"/>
              <w:tblW w:w="8416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710"/>
              <w:gridCol w:w="2013"/>
              <w:gridCol w:w="1851"/>
              <w:gridCol w:w="1842"/>
            </w:tblGrid>
            <w:tr w14:paraId="6A02492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660" w:hRule="atLeast"/>
                <w:jc w:val="center"/>
              </w:trPr>
              <w:tc>
                <w:tcPr>
                  <w:tcW w:w="2710" w:type="dxa"/>
                  <w:noWrap w:val="0"/>
                  <w:vAlign w:val="center"/>
                </w:tcPr>
                <w:p w14:paraId="08152143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2013" w:type="dxa"/>
                  <w:noWrap w:val="0"/>
                  <w:vAlign w:val="center"/>
                </w:tcPr>
                <w:p w14:paraId="4DDF0B90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Style w:val="20"/>
                      <w:rFonts w:hint="eastAsia" w:ascii="宋体" w:hAnsi="宋体" w:cs="宋体"/>
                      <w:sz w:val="18"/>
                      <w:szCs w:val="18"/>
                      <w:highlight w:val="none"/>
                      <w:lang w:val="en-US" w:eastAsia="zh-CN"/>
                    </w:rPr>
                    <w:t>2023</w:t>
                  </w:r>
                  <w:r>
                    <w:rPr>
                      <w:rStyle w:val="20"/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  <w:t>年</w:t>
                  </w:r>
                </w:p>
              </w:tc>
              <w:tc>
                <w:tcPr>
                  <w:tcW w:w="1851" w:type="dxa"/>
                  <w:noWrap w:val="0"/>
                  <w:vAlign w:val="center"/>
                </w:tcPr>
                <w:p w14:paraId="7B84AABF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Style w:val="20"/>
                      <w:rFonts w:hint="eastAsia" w:ascii="宋体" w:hAnsi="宋体" w:cs="宋体"/>
                      <w:sz w:val="18"/>
                      <w:szCs w:val="18"/>
                      <w:highlight w:val="none"/>
                      <w:lang w:val="en-US" w:eastAsia="zh-CN"/>
                    </w:rPr>
                    <w:t>2024</w:t>
                  </w:r>
                  <w:r>
                    <w:rPr>
                      <w:rStyle w:val="20"/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  <w:t>年</w:t>
                  </w:r>
                </w:p>
              </w:tc>
              <w:tc>
                <w:tcPr>
                  <w:tcW w:w="1842" w:type="dxa"/>
                  <w:noWrap w:val="0"/>
                  <w:vAlign w:val="center"/>
                </w:tcPr>
                <w:p w14:paraId="30D97191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补充说明：（</w:t>
                  </w: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比对财报与纳税申报表</w:t>
                  </w: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</w:rPr>
                    <w:t>数据，</w:t>
                  </w: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  <w:lang w:val="en-US" w:eastAsia="zh-CN"/>
                    </w:rPr>
                    <w:t>如</w:t>
                  </w: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</w:rPr>
                    <w:t>不一致</w:t>
                  </w: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  <w:lang w:eastAsia="zh-CN"/>
                    </w:rPr>
                    <w:t>，</w:t>
                  </w: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  <w:lang w:val="en-US" w:eastAsia="zh-CN"/>
                    </w:rPr>
                    <w:t>请</w:t>
                  </w: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</w:rPr>
                    <w:t>说明</w:t>
                  </w: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  <w:lang w:val="en-US" w:eastAsia="zh-CN"/>
                    </w:rPr>
                    <w:t>原因</w:t>
                  </w: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</w:rPr>
                    <w:t>）</w:t>
                  </w:r>
                </w:p>
              </w:tc>
            </w:tr>
            <w:tr w14:paraId="059ACE9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90" w:hRule="atLeast"/>
                <w:jc w:val="center"/>
              </w:trPr>
              <w:tc>
                <w:tcPr>
                  <w:tcW w:w="2710" w:type="dxa"/>
                  <w:noWrap w:val="0"/>
                  <w:vAlign w:val="center"/>
                </w:tcPr>
                <w:p w14:paraId="48293595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财报销售收入</w:t>
                  </w:r>
                </w:p>
              </w:tc>
              <w:tc>
                <w:tcPr>
                  <w:tcW w:w="2013" w:type="dxa"/>
                  <w:noWrap w:val="0"/>
                  <w:vAlign w:val="center"/>
                </w:tcPr>
                <w:p w14:paraId="04E6F598">
                  <w:pPr>
                    <w:jc w:val="center"/>
                    <w:rPr>
                      <w:rFonts w:hint="default" w:ascii="宋体" w:hAnsi="宋体" w:eastAsia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  <w:t>13006</w:t>
                  </w:r>
                </w:p>
              </w:tc>
              <w:tc>
                <w:tcPr>
                  <w:tcW w:w="1851" w:type="dxa"/>
                  <w:noWrap w:val="0"/>
                  <w:vAlign w:val="center"/>
                </w:tcPr>
                <w:p w14:paraId="50897833">
                  <w:pPr>
                    <w:jc w:val="center"/>
                    <w:rPr>
                      <w:rFonts w:hint="default" w:ascii="宋体" w:hAnsi="宋体" w:eastAsia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  <w:t>12325</w:t>
                  </w:r>
                </w:p>
              </w:tc>
              <w:tc>
                <w:tcPr>
                  <w:tcW w:w="1842" w:type="dxa"/>
                  <w:noWrap w:val="0"/>
                  <w:vAlign w:val="center"/>
                </w:tcPr>
                <w:p w14:paraId="75EFDF00">
                  <w:pPr>
                    <w:jc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t>一致</w:t>
                  </w:r>
                </w:p>
              </w:tc>
            </w:tr>
            <w:tr w14:paraId="7BBC040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00" w:hRule="atLeast"/>
                <w:jc w:val="center"/>
              </w:trPr>
              <w:tc>
                <w:tcPr>
                  <w:tcW w:w="2710" w:type="dxa"/>
                  <w:noWrap w:val="0"/>
                  <w:vAlign w:val="center"/>
                </w:tcPr>
                <w:p w14:paraId="277A6153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纳税申报表合计收入</w:t>
                  </w:r>
                </w:p>
              </w:tc>
              <w:tc>
                <w:tcPr>
                  <w:tcW w:w="2013" w:type="dxa"/>
                  <w:noWrap w:val="0"/>
                  <w:vAlign w:val="center"/>
                </w:tcPr>
                <w:p w14:paraId="454DDE5F">
                  <w:pPr>
                    <w:jc w:val="center"/>
                    <w:rPr>
                      <w:rFonts w:hint="default" w:ascii="宋体" w:hAnsi="宋体" w:eastAsia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  <w:t>13006</w:t>
                  </w:r>
                </w:p>
              </w:tc>
              <w:tc>
                <w:tcPr>
                  <w:tcW w:w="1851" w:type="dxa"/>
                  <w:noWrap w:val="0"/>
                  <w:vAlign w:val="center"/>
                </w:tcPr>
                <w:p w14:paraId="46F1C1CD">
                  <w:pPr>
                    <w:jc w:val="center"/>
                    <w:rPr>
                      <w:rFonts w:hint="default" w:ascii="宋体" w:hAnsi="宋体" w:eastAsia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  <w:t>12325</w:t>
                  </w:r>
                </w:p>
              </w:tc>
              <w:tc>
                <w:tcPr>
                  <w:tcW w:w="1842" w:type="dxa"/>
                  <w:noWrap w:val="0"/>
                  <w:vAlign w:val="center"/>
                </w:tcPr>
                <w:p w14:paraId="0F42C459">
                  <w:pPr>
                    <w:jc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t>一致</w:t>
                  </w:r>
                </w:p>
              </w:tc>
            </w:tr>
            <w:tr w14:paraId="38BD53C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00" w:hRule="atLeast"/>
                <w:jc w:val="center"/>
              </w:trPr>
              <w:tc>
                <w:tcPr>
                  <w:tcW w:w="2710" w:type="dxa"/>
                  <w:noWrap w:val="0"/>
                  <w:vAlign w:val="center"/>
                </w:tcPr>
                <w:p w14:paraId="1D3E4A34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纳税收入占财报百分比</w:t>
                  </w:r>
                </w:p>
              </w:tc>
              <w:tc>
                <w:tcPr>
                  <w:tcW w:w="2013" w:type="dxa"/>
                  <w:noWrap w:val="0"/>
                  <w:vAlign w:val="center"/>
                </w:tcPr>
                <w:p w14:paraId="15ED0AEB">
                  <w:pPr>
                    <w:jc w:val="center"/>
                    <w:rPr>
                      <w:rFonts w:hint="default" w:ascii="宋体" w:hAnsi="宋体" w:eastAsia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  <w:t>100%</w:t>
                  </w:r>
                </w:p>
              </w:tc>
              <w:tc>
                <w:tcPr>
                  <w:tcW w:w="1851" w:type="dxa"/>
                  <w:noWrap w:val="0"/>
                  <w:vAlign w:val="center"/>
                </w:tcPr>
                <w:p w14:paraId="0F9A2572">
                  <w:pPr>
                    <w:jc w:val="center"/>
                    <w:rPr>
                      <w:rFonts w:hint="default" w:ascii="宋体" w:hAnsi="宋体" w:eastAsia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  <w:t>100%</w:t>
                  </w:r>
                </w:p>
              </w:tc>
              <w:tc>
                <w:tcPr>
                  <w:tcW w:w="1842" w:type="dxa"/>
                  <w:noWrap w:val="0"/>
                  <w:vAlign w:val="center"/>
                </w:tcPr>
                <w:p w14:paraId="38EEE174">
                  <w:pPr>
                    <w:jc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t>一致</w:t>
                  </w:r>
                </w:p>
              </w:tc>
            </w:tr>
          </w:tbl>
          <w:p w14:paraId="4F09DCC3">
            <w:pPr>
              <w:ind w:firstLine="1265" w:firstLineChars="600"/>
              <w:rPr>
                <w:rFonts w:ascii="宋体" w:hAnsi="宋体"/>
                <w:b/>
                <w:bCs/>
                <w:color w:val="000000"/>
                <w:highlight w:val="none"/>
              </w:rPr>
            </w:pPr>
            <w:r>
              <w:rPr>
                <w:rFonts w:hint="eastAsia" w:ascii="宋体" w:hAnsi="宋体"/>
                <w:b/>
                <w:bCs/>
                <w:color w:val="000000"/>
                <w:highlight w:val="none"/>
                <w:lang w:val="en-US" w:eastAsia="zh-CN"/>
              </w:rPr>
              <w:t>②</w:t>
            </w:r>
            <w:r>
              <w:rPr>
                <w:rFonts w:ascii="宋体" w:hAnsi="宋体"/>
                <w:b/>
                <w:bCs/>
                <w:color w:val="000000"/>
                <w:highlight w:val="none"/>
              </w:rPr>
              <w:t>财务真实性验证(银行流水验证)</w:t>
            </w:r>
          </w:p>
          <w:tbl>
            <w:tblPr>
              <w:tblStyle w:val="13"/>
              <w:tblW w:w="8440" w:type="dxa"/>
              <w:jc w:val="center"/>
              <w:tblBorders>
                <w:top w:val="single" w:color="000000" w:sz="0" w:space="0"/>
                <w:left w:val="single" w:color="000000" w:sz="0" w:space="0"/>
                <w:bottom w:val="single" w:color="000000" w:sz="0" w:space="0"/>
                <w:right w:val="single" w:color="000000" w:sz="0" w:space="0"/>
                <w:insideH w:val="single" w:color="000000" w:sz="0" w:space="0"/>
                <w:insideV w:val="single" w:color="000000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31"/>
              <w:gridCol w:w="1234"/>
              <w:gridCol w:w="1292"/>
              <w:gridCol w:w="1570"/>
              <w:gridCol w:w="1806"/>
              <w:gridCol w:w="1407"/>
            </w:tblGrid>
            <w:tr w14:paraId="11782114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59" w:hRule="atLeast"/>
                <w:jc w:val="center"/>
              </w:trPr>
              <w:tc>
                <w:tcPr>
                  <w:tcW w:w="1131" w:type="dxa"/>
                  <w:noWrap w:val="0"/>
                  <w:vAlign w:val="center"/>
                </w:tcPr>
                <w:p w14:paraId="31FA0797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  <w:t>开户行</w:t>
                  </w:r>
                </w:p>
              </w:tc>
              <w:tc>
                <w:tcPr>
                  <w:tcW w:w="1234" w:type="dxa"/>
                  <w:noWrap w:val="0"/>
                  <w:vAlign w:val="center"/>
                </w:tcPr>
                <w:p w14:paraId="18780026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  <w:t>户名</w:t>
                  </w:r>
                </w:p>
              </w:tc>
              <w:tc>
                <w:tcPr>
                  <w:tcW w:w="1292" w:type="dxa"/>
                  <w:noWrap w:val="0"/>
                  <w:vAlign w:val="center"/>
                </w:tcPr>
                <w:p w14:paraId="2FBFFF72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  <w:t>账号</w:t>
                  </w:r>
                </w:p>
              </w:tc>
              <w:tc>
                <w:tcPr>
                  <w:tcW w:w="1570" w:type="dxa"/>
                  <w:noWrap w:val="0"/>
                  <w:vAlign w:val="center"/>
                </w:tcPr>
                <w:p w14:paraId="49AB9F5F">
                  <w:pPr>
                    <w:widowControl/>
                    <w:jc w:val="center"/>
                    <w:textAlignment w:val="center"/>
                    <w:rPr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  <w:t>与借款人关系</w:t>
                  </w:r>
                </w:p>
              </w:tc>
              <w:tc>
                <w:tcPr>
                  <w:tcW w:w="1806" w:type="dxa"/>
                  <w:noWrap w:val="0"/>
                  <w:vAlign w:val="center"/>
                </w:tcPr>
                <w:p w14:paraId="6C31AF90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  <w:t>时间段（</w:t>
                  </w: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eastAsia="zh-CN"/>
                    </w:rPr>
                    <w:t>上一完整年度及本年度</w:t>
                  </w: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  <w:t>）</w:t>
                  </w:r>
                </w:p>
              </w:tc>
              <w:tc>
                <w:tcPr>
                  <w:tcW w:w="1407" w:type="dxa"/>
                  <w:noWrap w:val="0"/>
                  <w:vAlign w:val="center"/>
                </w:tcPr>
                <w:p w14:paraId="6130E6B6">
                  <w:pPr>
                    <w:widowControl/>
                    <w:jc w:val="center"/>
                    <w:textAlignment w:val="center"/>
                    <w:rPr>
                      <w:rFonts w:hint="eastAsia" w:ascii="宋体" w:hAnsi="宋体" w:eastAsia="宋体" w:cs="宋体"/>
                      <w:color w:val="00000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  <w:t>流入量</w:t>
                  </w: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eastAsia="zh-CN"/>
                    </w:rPr>
                    <w:t>（</w:t>
                  </w: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  <w:t>万元</w:t>
                  </w: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eastAsia="zh-CN"/>
                    </w:rPr>
                    <w:t>）</w:t>
                  </w:r>
                </w:p>
              </w:tc>
            </w:tr>
            <w:tr w14:paraId="122E3F19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59" w:hRule="atLeast"/>
                <w:jc w:val="center"/>
              </w:trPr>
              <w:tc>
                <w:tcPr>
                  <w:tcW w:w="1131" w:type="dxa"/>
                  <w:noWrap w:val="0"/>
                  <w:vAlign w:val="center"/>
                </w:tcPr>
                <w:p w14:paraId="1A095D91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234" w:type="dxa"/>
                  <w:noWrap w:val="0"/>
                  <w:vAlign w:val="center"/>
                </w:tcPr>
                <w:p w14:paraId="16B1B4B6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292" w:type="dxa"/>
                  <w:noWrap w:val="0"/>
                  <w:vAlign w:val="center"/>
                </w:tcPr>
                <w:p w14:paraId="05EED2B0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570" w:type="dxa"/>
                  <w:noWrap w:val="0"/>
                  <w:vAlign w:val="center"/>
                </w:tcPr>
                <w:p w14:paraId="6D92B1EA">
                  <w:pPr>
                    <w:widowControl/>
                    <w:jc w:val="center"/>
                    <w:textAlignment w:val="center"/>
                    <w:rPr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806" w:type="dxa"/>
                  <w:noWrap w:val="0"/>
                  <w:vAlign w:val="center"/>
                </w:tcPr>
                <w:p w14:paraId="1A09EB77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  <w:t>*年*月至*年*月</w:t>
                  </w:r>
                </w:p>
              </w:tc>
              <w:tc>
                <w:tcPr>
                  <w:tcW w:w="1407" w:type="dxa"/>
                  <w:noWrap w:val="0"/>
                  <w:vAlign w:val="center"/>
                </w:tcPr>
                <w:p w14:paraId="735CE757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</w:p>
              </w:tc>
            </w:tr>
          </w:tbl>
          <w:p w14:paraId="18C924E5">
            <w:pPr>
              <w:rPr>
                <w:rFonts w:ascii="宋体" w:hAnsi="宋体" w:cs="宋体"/>
                <w:szCs w:val="21"/>
                <w:highlight w:val="none"/>
              </w:rPr>
            </w:pPr>
          </w:p>
          <w:tbl>
            <w:tblPr>
              <w:tblStyle w:val="13"/>
              <w:tblW w:w="8581" w:type="dxa"/>
              <w:jc w:val="center"/>
              <w:tblBorders>
                <w:top w:val="single" w:color="000000" w:sz="0" w:space="0"/>
                <w:left w:val="single" w:color="000000" w:sz="0" w:space="0"/>
                <w:bottom w:val="single" w:color="000000" w:sz="0" w:space="0"/>
                <w:right w:val="single" w:color="000000" w:sz="0" w:space="0"/>
                <w:insideH w:val="single" w:color="000000" w:sz="0" w:space="0"/>
                <w:insideV w:val="single" w:color="000000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905"/>
              <w:gridCol w:w="5676"/>
            </w:tblGrid>
            <w:tr w14:paraId="6D32FE28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</w:tblPrEx>
              <w:trPr>
                <w:jc w:val="center"/>
              </w:trPr>
              <w:tc>
                <w:tcPr>
                  <w:tcW w:w="2905" w:type="dxa"/>
                  <w:noWrap w:val="0"/>
                  <w:vAlign w:val="center"/>
                </w:tcPr>
                <w:p w14:paraId="62A8CFE1">
                  <w:pPr>
                    <w:jc w:val="center"/>
                    <w:rPr>
                      <w:rFonts w:ascii="宋体" w:hAnsi="宋体" w:cs="宋体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</w:rPr>
                    <w:t>申请额度与半年流入量占比</w:t>
                  </w:r>
                </w:p>
              </w:tc>
              <w:tc>
                <w:tcPr>
                  <w:tcW w:w="5676" w:type="dxa"/>
                  <w:noWrap w:val="0"/>
                  <w:vAlign w:val="center"/>
                </w:tcPr>
                <w:p w14:paraId="6F7F608A">
                  <w:pPr>
                    <w:jc w:val="center"/>
                    <w:rPr>
                      <w:rFonts w:ascii="宋体" w:hAnsi="宋体" w:cs="宋体"/>
                      <w:sz w:val="18"/>
                      <w:szCs w:val="18"/>
                      <w:highlight w:val="none"/>
                    </w:rPr>
                  </w:pPr>
                </w:p>
              </w:tc>
            </w:tr>
            <w:tr w14:paraId="4CB13135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905" w:type="dxa"/>
                  <w:noWrap w:val="0"/>
                  <w:vAlign w:val="center"/>
                </w:tcPr>
                <w:p w14:paraId="27B7886B">
                  <w:pPr>
                    <w:jc w:val="center"/>
                    <w:rPr>
                      <w:rFonts w:ascii="宋体" w:hAnsi="宋体" w:cs="宋体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</w:rPr>
                    <w:t>补充说明：</w:t>
                  </w:r>
                </w:p>
              </w:tc>
              <w:tc>
                <w:tcPr>
                  <w:tcW w:w="5676" w:type="dxa"/>
                  <w:noWrap w:val="0"/>
                  <w:vAlign w:val="top"/>
                </w:tcPr>
                <w:p w14:paraId="0E4A9046">
                  <w:pPr>
                    <w:jc w:val="left"/>
                    <w:rPr>
                      <w:rFonts w:ascii="宋体" w:hAnsi="宋体" w:cs="宋体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auto"/>
                      <w:sz w:val="18"/>
                      <w:szCs w:val="18"/>
                      <w:highlight w:val="none"/>
                      <w:lang w:eastAsia="zh-CN"/>
                    </w:rPr>
                    <w:t>公司已提供纳税申报表，不再提供流水佐证。</w:t>
                  </w:r>
                </w:p>
              </w:tc>
            </w:tr>
          </w:tbl>
          <w:p w14:paraId="06BC0FC0">
            <w:pPr>
              <w:ind w:firstLine="1265" w:firstLineChars="600"/>
              <w:rPr>
                <w:rFonts w:hint="eastAsia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③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近三年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及最近一期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财务数据</w:t>
            </w:r>
          </w:p>
          <w:p w14:paraId="424A39D0">
            <w:commentRangeStart w:id="15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 w:firstLineChars="200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企业年报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eastAsia="zh-CN"/>
              </w:rPr>
              <w:t>是否审计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及审计结论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eastAsia="zh-CN"/>
              </w:rPr>
              <w:t>（若涉及审计事务所变动请说明原因）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借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款人近三年财务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数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/>
              </w:rPr>
              <w:t>据，其中2023年年报由德赢（福建）</w:t>
            </w:r>
            <w:r>
              <w:rPr>
                <w:rFonts w:hint="eastAsia" w:ascii="宋体" w:hAnsi="宋体" w:eastAsia="宋体" w:cs="宋体"/>
                <w:sz w:val="21"/>
                <w:szCs w:val="21"/>
                <w:highlight w:val="none"/>
                <w:lang w:val="en-US" w:eastAsia="zh-CN"/>
              </w:rPr>
              <w:t>会计师事务所审计（出具无保留意见）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/>
              </w:rPr>
              <w:t>、2024年年报由德赢（福建）会计师</w:t>
            </w:r>
            <w:r>
              <w:rPr>
                <w:rFonts w:hint="eastAsia" w:ascii="宋体" w:hAnsi="宋体" w:eastAsia="宋体" w:cs="宋体"/>
                <w:sz w:val="21"/>
                <w:szCs w:val="21"/>
                <w:highlight w:val="none"/>
                <w:lang w:val="en-US" w:eastAsia="zh-CN"/>
              </w:rPr>
              <w:t>事务所审计（出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/>
              </w:rPr>
              <w:t>具无保留意见），因为____原因20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2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4年更换审计所：（注意：列表填写完整财务科目，表格根据实际情况增减科目）</w:t>
            </w:r>
            <w:commentRangeEnd w:id="15"/>
            <w:r>
              <w:rPr>
                <w:rStyle w:val="CommentReference"/>
              </w:rPr>
              <w:commentReference w:id="15"/>
            </w:r>
          </w:p>
          <w:tbl>
            <w:tblPr>
              <w:tblStyle w:val="13"/>
              <w:tblW w:w="4998" w:type="pct"/>
              <w:jc w:val="center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569"/>
              <w:gridCol w:w="1523"/>
              <w:gridCol w:w="1525"/>
              <w:gridCol w:w="1523"/>
              <w:gridCol w:w="1352"/>
              <w:gridCol w:w="1352"/>
            </w:tblGrid>
            <w:tr w14:paraId="79B8106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1645" w:type="pct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EE094E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科目</w:t>
                  </w:r>
                </w:p>
              </w:tc>
              <w:tc>
                <w:tcPr>
                  <w:tcW w:w="702" w:type="pct"/>
                  <w:tcBorders>
                    <w:top w:val="single" w:color="000000" w:sz="8" w:space="0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E2B6EB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2022年</w:t>
                  </w:r>
                </w:p>
              </w:tc>
              <w:tc>
                <w:tcPr>
                  <w:tcW w:w="703" w:type="pct"/>
                  <w:tcBorders>
                    <w:top w:val="single" w:color="000000" w:sz="8" w:space="0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12AE58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2023年</w:t>
                  </w:r>
                </w:p>
              </w:tc>
              <w:tc>
                <w:tcPr>
                  <w:tcW w:w="702" w:type="pct"/>
                  <w:tcBorders>
                    <w:top w:val="single" w:color="000000" w:sz="8" w:space="0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2D6447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2024年</w:t>
                  </w:r>
                </w:p>
              </w:tc>
              <w:tc>
                <w:tcPr>
                  <w:tcW w:w="623" w:type="pct"/>
                  <w:tcBorders>
                    <w:top w:val="single" w:color="000000" w:sz="8" w:space="0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0AE62D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2024.9</w:t>
                  </w:r>
                </w:p>
              </w:tc>
              <w:tc>
                <w:tcPr>
                  <w:tcW w:w="623" w:type="pct"/>
                  <w:tcBorders>
                    <w:top w:val="single" w:color="000000" w:sz="8" w:space="0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335A2A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2025.9</w:t>
                  </w:r>
                </w:p>
              </w:tc>
              <w:tc>
                <w:tcPr>
                  <w:tcW w:w="623" w:type="pct"/>
                  <w:tcBorders>
                    <w:top w:val="single" w:color="000000" w:sz="8" w:space="0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335A2A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2025年末(新增)</w:t>
                  </w:r>
                </w:p>
              </w:tc>
            </w:tr>
            <w:tr w14:paraId="30507B2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1645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77C411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资产合计</w:t>
                  </w: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98FDE4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17895</w:t>
                  </w:r>
                </w:p>
              </w:tc>
              <w:tc>
                <w:tcPr>
                  <w:tcW w:w="70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EB6889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17940</w:t>
                  </w: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E44105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18575</w:t>
                  </w: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D6C44F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10CE0A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10CE0A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16956</w:t>
                  </w:r>
                </w:p>
              </w:tc>
            </w:tr>
            <w:tr w14:paraId="460A814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1645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91C2B1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流动资产</w:t>
                  </w: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1684F2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14283</w:t>
                  </w:r>
                </w:p>
              </w:tc>
              <w:tc>
                <w:tcPr>
                  <w:tcW w:w="70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6CC8C2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14192</w:t>
                  </w: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DDD956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14708</w:t>
                  </w: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6B7279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D328F7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D328F7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13110</w:t>
                  </w:r>
                </w:p>
              </w:tc>
            </w:tr>
            <w:tr w14:paraId="4922B25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1645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F0D613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货币资金</w:t>
                  </w: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D7D4A4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1104</w:t>
                  </w:r>
                </w:p>
              </w:tc>
              <w:tc>
                <w:tcPr>
                  <w:tcW w:w="70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8CD1E1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1522</w:t>
                  </w: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3A4255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506</w:t>
                  </w: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D8ED8C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034C59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  <w:lang w:val="en-US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034C59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  <w:lang w:val="en-US"/>
                    </w:rPr>
                  </w:pPr>
                  <w:r>
                    <w:t>286</w:t>
                  </w:r>
                </w:p>
              </w:tc>
            </w:tr>
            <w:tr w14:paraId="4F82D7A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1645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72402C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应收票据</w:t>
                  </w: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3910F4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0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DB6EDC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256D67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0E974E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B5C5BA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  <w:lang w:val="en-US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B5C5BA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  <w:lang w:val="en-US"/>
                    </w:rPr>
                  </w:pPr>
                </w:p>
              </w:tc>
            </w:tr>
            <w:tr w14:paraId="04C6C64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1645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ED9A1C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应收账款</w:t>
                  </w: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CF77FE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4410</w:t>
                  </w:r>
                </w:p>
              </w:tc>
              <w:tc>
                <w:tcPr>
                  <w:tcW w:w="70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9579F3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6354</w:t>
                  </w: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19F595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9253</w:t>
                  </w: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4890AC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CAEF5A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CAEF5A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7430</w:t>
                  </w:r>
                </w:p>
              </w:tc>
            </w:tr>
            <w:tr w14:paraId="1E3AAF6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1645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68C166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预付账款</w:t>
                  </w: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8D9142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132</w:t>
                  </w:r>
                </w:p>
              </w:tc>
              <w:tc>
                <w:tcPr>
                  <w:tcW w:w="70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E2D83C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151</w:t>
                  </w: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3E3446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260</w:t>
                  </w: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CA9421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9A892A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9A892A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428</w:t>
                  </w:r>
                </w:p>
              </w:tc>
            </w:tr>
            <w:tr w14:paraId="5238216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1645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F2AF87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其它应收款</w:t>
                  </w: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F8FC4B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1432</w:t>
                  </w:r>
                </w:p>
              </w:tc>
              <w:tc>
                <w:tcPr>
                  <w:tcW w:w="70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E857E6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3621</w:t>
                  </w: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FF00B0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3522</w:t>
                  </w: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A8917F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4CAD89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4CAD89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2774</w:t>
                  </w:r>
                </w:p>
              </w:tc>
            </w:tr>
            <w:tr w14:paraId="29BCDB1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1645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CB0F1F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存货</w:t>
                  </w: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EED94D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5301</w:t>
                  </w:r>
                </w:p>
              </w:tc>
              <w:tc>
                <w:tcPr>
                  <w:tcW w:w="70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415C2D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2545</w:t>
                  </w: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64B65A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1166</w:t>
                  </w: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D5572A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680A38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680A38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2192</w:t>
                  </w:r>
                </w:p>
              </w:tc>
            </w:tr>
            <w:tr w14:paraId="78BCEFD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1645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34061E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非流动资产</w:t>
                  </w: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9CFFB8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3612</w:t>
                  </w:r>
                </w:p>
              </w:tc>
              <w:tc>
                <w:tcPr>
                  <w:tcW w:w="70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98B943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3748</w:t>
                  </w: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410721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3868</w:t>
                  </w: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8B156F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E041B7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E041B7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3847</w:t>
                  </w:r>
                </w:p>
              </w:tc>
            </w:tr>
            <w:tr w14:paraId="204033A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1645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884FDB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固定资产净值</w:t>
                  </w: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FB28E1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161</w:t>
                  </w:r>
                </w:p>
              </w:tc>
              <w:tc>
                <w:tcPr>
                  <w:tcW w:w="70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4CFBDF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256</w:t>
                  </w: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49F87C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164</w:t>
                  </w: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44612C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3D8C95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3D8C95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93</w:t>
                  </w:r>
                </w:p>
              </w:tc>
            </w:tr>
            <w:tr w14:paraId="1985DD4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1645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6E0FD5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无形资产</w:t>
                  </w: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0C91CF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729</w:t>
                  </w:r>
                </w:p>
              </w:tc>
              <w:tc>
                <w:tcPr>
                  <w:tcW w:w="70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4640AA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994</w:t>
                  </w: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8B70D9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537</w:t>
                  </w: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279E9C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855DB5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855DB5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156</w:t>
                  </w:r>
                </w:p>
              </w:tc>
            </w:tr>
            <w:tr w14:paraId="429CA14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1645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FD1D72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负债合计</w:t>
                  </w: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071C3D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9537</w:t>
                  </w:r>
                </w:p>
              </w:tc>
              <w:tc>
                <w:tcPr>
                  <w:tcW w:w="70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4D3D28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9014</w:t>
                  </w: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D62999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9320</w:t>
                  </w: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E998AC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C11020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C11020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7207</w:t>
                  </w:r>
                </w:p>
              </w:tc>
            </w:tr>
            <w:tr w14:paraId="1B026A0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1645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DEEDE3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流动负债</w:t>
                  </w: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183B2D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9537</w:t>
                  </w:r>
                </w:p>
              </w:tc>
              <w:tc>
                <w:tcPr>
                  <w:tcW w:w="70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B4C62F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9014</w:t>
                  </w: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3A3CBC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9320</w:t>
                  </w: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AD9CF9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21B152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21B152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7207</w:t>
                  </w:r>
                </w:p>
              </w:tc>
            </w:tr>
            <w:tr w14:paraId="374CA6C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1645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FF0D86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短期借款</w:t>
                  </w: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1A4B37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3000</w:t>
                  </w:r>
                </w:p>
              </w:tc>
              <w:tc>
                <w:tcPr>
                  <w:tcW w:w="70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DF9182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4000</w:t>
                  </w: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67E82B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4990</w:t>
                  </w: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7D206D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D1510A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D1510A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4730</w:t>
                  </w:r>
                </w:p>
              </w:tc>
            </w:tr>
            <w:tr w14:paraId="54A7249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1645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00D815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应付票据</w:t>
                  </w: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D212DB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0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ED2A57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64A764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BBE9DB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DF169C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DF169C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</w:tr>
            <w:tr w14:paraId="0F1D276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1645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85AC6E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应付账款</w:t>
                  </w: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1FA54C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1490</w:t>
                  </w:r>
                </w:p>
              </w:tc>
              <w:tc>
                <w:tcPr>
                  <w:tcW w:w="70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C60621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1847</w:t>
                  </w: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7E8A07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2333</w:t>
                  </w: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BA1BAB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0E9067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0E9067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1026</w:t>
                  </w:r>
                </w:p>
              </w:tc>
            </w:tr>
            <w:tr w14:paraId="213ED63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1645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A7EB4A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应付税金</w:t>
                  </w: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338252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0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130E83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F5098C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F59D10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E7D90B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E7D90B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</w:tr>
            <w:tr w14:paraId="6114BFA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1645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FA05BE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其它应交款</w:t>
                  </w: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947625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0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3BA162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8FD5D7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9CEC76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DBE65F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DBE65F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</w:tr>
            <w:tr w14:paraId="26E17EE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1645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942060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长期借款</w:t>
                  </w: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9AEC1A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0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BACC52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0EDF86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2393A2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9E5883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9E5883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</w:tr>
            <w:tr w14:paraId="37AD26B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1645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C49BC5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股东权益合计</w:t>
                  </w: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6AD7E2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8357</w:t>
                  </w:r>
                </w:p>
              </w:tc>
              <w:tc>
                <w:tcPr>
                  <w:tcW w:w="70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739A59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8927</w:t>
                  </w: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92225E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9256</w:t>
                  </w: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54E9BA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81535B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81535B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9749</w:t>
                  </w:r>
                </w:p>
              </w:tc>
            </w:tr>
            <w:tr w14:paraId="0389254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1645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47E688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实收资本</w:t>
                  </w: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279DE1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0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58D7F2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CC2EAC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4100</w:t>
                  </w: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06B903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CE8365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CE8365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4100</w:t>
                  </w:r>
                </w:p>
              </w:tc>
            </w:tr>
            <w:tr w14:paraId="0FEF6C9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1645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14AFA5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资本公积</w:t>
                  </w: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5DAB60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3298</w:t>
                  </w:r>
                </w:p>
              </w:tc>
              <w:tc>
                <w:tcPr>
                  <w:tcW w:w="70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773F3B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3298</w:t>
                  </w: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07146A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3298</w:t>
                  </w: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F633E2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AC4CF5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AC4CF5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3298</w:t>
                  </w:r>
                </w:p>
              </w:tc>
            </w:tr>
            <w:tr w14:paraId="0B87F3B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1645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461047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盈余公积</w:t>
                  </w: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07553F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160</w:t>
                  </w:r>
                </w:p>
              </w:tc>
              <w:tc>
                <w:tcPr>
                  <w:tcW w:w="70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2E3158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199</w:t>
                  </w: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1F3531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232</w:t>
                  </w: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363242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C40B91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C40B91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232</w:t>
                  </w:r>
                </w:p>
              </w:tc>
            </w:tr>
            <w:tr w14:paraId="1FBCDEB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1645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9F2132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未分配利润</w:t>
                  </w: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C46B43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799</w:t>
                  </w:r>
                </w:p>
              </w:tc>
              <w:tc>
                <w:tcPr>
                  <w:tcW w:w="70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98C183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1329</w:t>
                  </w: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BDFA0F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1625</w:t>
                  </w: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8AA2EA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695E99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695E99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2119</w:t>
                  </w:r>
                </w:p>
              </w:tc>
            </w:tr>
            <w:tr w14:paraId="34FD1DD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1645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815A47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主营业务收入</w:t>
                  </w: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227317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21198</w:t>
                  </w:r>
                </w:p>
              </w:tc>
              <w:tc>
                <w:tcPr>
                  <w:tcW w:w="70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993CA4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12130</w:t>
                  </w: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6863C7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8712</w:t>
                  </w: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8546E1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D74B45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D74B45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10010</w:t>
                  </w:r>
                </w:p>
              </w:tc>
            </w:tr>
            <w:tr w14:paraId="227B18E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1645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241A2B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减：主营业务成本</w:t>
                  </w: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5741AC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14721</w:t>
                  </w:r>
                </w:p>
              </w:tc>
              <w:tc>
                <w:tcPr>
                  <w:tcW w:w="70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A1E03F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8819</w:t>
                  </w: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E3C4D4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5332</w:t>
                  </w: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21DC59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792361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792361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6204</w:t>
                  </w:r>
                </w:p>
              </w:tc>
            </w:tr>
            <w:tr w14:paraId="01392C0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1645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7F8FF3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主营业务税金及附加</w:t>
                  </w: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29AC8C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85</w:t>
                  </w:r>
                </w:p>
              </w:tc>
              <w:tc>
                <w:tcPr>
                  <w:tcW w:w="70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30A04E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74</w:t>
                  </w: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078AD6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E1F3E3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8AB411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8AB411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</w:tr>
            <w:tr w14:paraId="3E3CE8A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1645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DDF946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主营业务利润</w:t>
                  </w: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47B40B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0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AD0CE2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2316BE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0BB30A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41E9DB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41E9DB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</w:tr>
            <w:tr w14:paraId="181B2FE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1645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AC261B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营业费用</w:t>
                  </w: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9DD727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0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75C022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C5086E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636ADD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89BEA4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89BEA4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</w:tr>
            <w:tr w14:paraId="7AE5747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1645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9DF15B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管理费用</w:t>
                  </w: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61226F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867</w:t>
                  </w:r>
                </w:p>
              </w:tc>
              <w:tc>
                <w:tcPr>
                  <w:tcW w:w="70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0EB7F7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535</w:t>
                  </w: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16DD83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619</w:t>
                  </w: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38607B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FA786A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FA786A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1116</w:t>
                  </w:r>
                </w:p>
              </w:tc>
            </w:tr>
            <w:tr w14:paraId="6F9AF5A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1645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A8920C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财务费用</w:t>
                  </w: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F61213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80</w:t>
                  </w:r>
                </w:p>
              </w:tc>
              <w:tc>
                <w:tcPr>
                  <w:tcW w:w="70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A1E4D3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131</w:t>
                  </w: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C1250D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202</w:t>
                  </w: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0D52E6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363E83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363E83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167</w:t>
                  </w:r>
                </w:p>
              </w:tc>
            </w:tr>
            <w:tr w14:paraId="69670DC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1645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90223E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营业利润</w:t>
                  </w: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55A935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1086</w:t>
                  </w:r>
                </w:p>
              </w:tc>
              <w:tc>
                <w:tcPr>
                  <w:tcW w:w="70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AD7AE1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502</w:t>
                  </w: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2288F9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400</w:t>
                  </w: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55AC4C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0DDC30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0DDC30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476</w:t>
                  </w:r>
                </w:p>
              </w:tc>
            </w:tr>
            <w:tr w14:paraId="1147671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1645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7348F3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减：所得税</w:t>
                  </w: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4A1713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100</w:t>
                  </w:r>
                </w:p>
              </w:tc>
              <w:tc>
                <w:tcPr>
                  <w:tcW w:w="70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D08BC7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108</w:t>
                  </w: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B4B3C5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56</w:t>
                  </w: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BFE72D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2DE737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2DE737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0</w:t>
                  </w:r>
                </w:p>
              </w:tc>
            </w:tr>
            <w:tr w14:paraId="206070F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1645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19E665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净利润</w:t>
                  </w: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70E3F2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983</w:t>
                  </w:r>
                </w:p>
              </w:tc>
              <w:tc>
                <w:tcPr>
                  <w:tcW w:w="70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208285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393</w:t>
                  </w: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3D7FA8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329</w:t>
                  </w: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9D25A0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17CB8F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17CB8F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494</w:t>
                  </w:r>
                </w:p>
              </w:tc>
            </w:tr>
            <w:tr w14:paraId="76AE6FD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10" w:hRule="atLeast"/>
                <w:jc w:val="center"/>
              </w:trPr>
              <w:tc>
                <w:tcPr>
                  <w:tcW w:w="1645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 w:val="0"/>
                  <w:vAlign w:val="top"/>
                </w:tcPr>
                <w:p w14:paraId="3602E35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资产负债率</w:t>
                  </w: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1A89AC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53.29%</w:t>
                  </w:r>
                </w:p>
              </w:tc>
              <w:tc>
                <w:tcPr>
                  <w:tcW w:w="70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9F11C8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50.25%</w:t>
                  </w: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B57267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50.17%</w:t>
                  </w: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A4165F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9B9C86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9B9C86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42.5%</w:t>
                  </w:r>
                </w:p>
              </w:tc>
            </w:tr>
            <w:tr w14:paraId="5910677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1645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 w:val="0"/>
                  <w:vAlign w:val="top"/>
                </w:tcPr>
                <w:p w14:paraId="332ABDA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流动比率</w:t>
                  </w: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1AC508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1.5</w:t>
                  </w:r>
                </w:p>
              </w:tc>
              <w:tc>
                <w:tcPr>
                  <w:tcW w:w="70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170847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1.57</w:t>
                  </w: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E93CEA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1.58</w:t>
                  </w: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474725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6F78E7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6F78E7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1.82</w:t>
                  </w:r>
                </w:p>
              </w:tc>
            </w:tr>
            <w:tr w14:paraId="7C1550D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1645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 w:val="0"/>
                  <w:vAlign w:val="top"/>
                </w:tcPr>
                <w:p w14:paraId="2876D65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速动比率</w:t>
                  </w: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C2C65C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0.94</w:t>
                  </w:r>
                </w:p>
              </w:tc>
              <w:tc>
                <w:tcPr>
                  <w:tcW w:w="70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55BD37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1.29</w:t>
                  </w: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B1B702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1.45</w:t>
                  </w: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293EC8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35DEBB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35DEBB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1.51</w:t>
                  </w:r>
                </w:p>
              </w:tc>
            </w:tr>
            <w:tr w14:paraId="67BDDEF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10" w:hRule="atLeast"/>
                <w:jc w:val="center"/>
              </w:trPr>
              <w:tc>
                <w:tcPr>
                  <w:tcW w:w="1645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 w:val="0"/>
                  <w:vAlign w:val="top"/>
                </w:tcPr>
                <w:p w14:paraId="2882FDC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应收账款周转天数</w:t>
                  </w: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E891A7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76.0天</w:t>
                  </w:r>
                </w:p>
              </w:tc>
              <w:tc>
                <w:tcPr>
                  <w:tcW w:w="70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7B618D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191.0天</w:t>
                  </w: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18122D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388.0天</w:t>
                  </w: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85E3A4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51CFD5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51CFD5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271.0天</w:t>
                  </w:r>
                </w:p>
              </w:tc>
            </w:tr>
            <w:tr w14:paraId="20168D4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10" w:hRule="atLeast"/>
                <w:jc w:val="center"/>
              </w:trPr>
              <w:tc>
                <w:tcPr>
                  <w:tcW w:w="1645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 w:val="0"/>
                  <w:vAlign w:val="top"/>
                </w:tcPr>
                <w:p w14:paraId="78DDD17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存货周转天数</w:t>
                  </w: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707BDA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131.0天</w:t>
                  </w:r>
                </w:p>
              </w:tc>
              <w:tc>
                <w:tcPr>
                  <w:tcW w:w="70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EA64B8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105.0天</w:t>
                  </w: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34FF0C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80.0天</w:t>
                  </w: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F8ADEC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1B4189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1B4189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129.0天</w:t>
                  </w:r>
                </w:p>
              </w:tc>
            </w:tr>
            <w:tr w14:paraId="1B87AC7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10" w:hRule="atLeast"/>
                <w:jc w:val="center"/>
              </w:trPr>
              <w:tc>
                <w:tcPr>
                  <w:tcW w:w="1645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 w:val="0"/>
                  <w:vAlign w:val="top"/>
                </w:tcPr>
                <w:p w14:paraId="79C5D4D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预付账款周转天数</w:t>
                  </w: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3DAA21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3.0天</w:t>
                  </w:r>
                </w:p>
              </w:tc>
              <w:tc>
                <w:tcPr>
                  <w:tcW w:w="70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6E6EFA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6.0天</w:t>
                  </w: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C23DE1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18.0天</w:t>
                  </w: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E13F70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DE1A3B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DE1A3B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25.0天</w:t>
                  </w:r>
                </w:p>
              </w:tc>
            </w:tr>
            <w:tr w14:paraId="1C7AF04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10" w:hRule="atLeast"/>
                <w:jc w:val="center"/>
              </w:trPr>
              <w:tc>
                <w:tcPr>
                  <w:tcW w:w="1645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 w:val="0"/>
                  <w:vAlign w:val="top"/>
                </w:tcPr>
                <w:p w14:paraId="2DAD25D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应付帐款周转天数</w:t>
                  </w: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E7F338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37.0天</w:t>
                  </w:r>
                </w:p>
              </w:tc>
              <w:tc>
                <w:tcPr>
                  <w:tcW w:w="70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44961A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76.0天</w:t>
                  </w: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571740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160.0天</w:t>
                  </w: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8FFF56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42B2CA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42B2CA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60.0天</w:t>
                  </w:r>
                </w:p>
              </w:tc>
            </w:tr>
            <w:tr w14:paraId="70DC090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1645" w:type="pct"/>
                  <w:tcBorders>
                    <w:top w:val="nil"/>
                    <w:left w:val="single" w:color="000000" w:sz="8" w:space="0"/>
                    <w:bottom w:val="single" w:color="auto" w:sz="4" w:space="0"/>
                    <w:right w:val="single" w:color="000000" w:sz="8" w:space="0"/>
                  </w:tcBorders>
                  <w:noWrap w:val="0"/>
                  <w:vAlign w:val="top"/>
                </w:tcPr>
                <w:p w14:paraId="39931C0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毛利润率</w:t>
                  </w: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auto" w:sz="4" w:space="0"/>
                    <w:right w:val="single" w:color="000000" w:sz="8" w:space="0"/>
                  </w:tcBorders>
                  <w:noWrap/>
                  <w:vAlign w:val="center"/>
                </w:tcPr>
                <w:p w14:paraId="6487805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30.55%</w:t>
                  </w:r>
                </w:p>
              </w:tc>
              <w:tc>
                <w:tcPr>
                  <w:tcW w:w="703" w:type="pct"/>
                  <w:tcBorders>
                    <w:top w:val="nil"/>
                    <w:left w:val="nil"/>
                    <w:bottom w:val="single" w:color="auto" w:sz="4" w:space="0"/>
                    <w:right w:val="single" w:color="000000" w:sz="8" w:space="0"/>
                  </w:tcBorders>
                  <w:noWrap/>
                  <w:vAlign w:val="center"/>
                </w:tcPr>
                <w:p w14:paraId="0189D9C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27.3%</w:t>
                  </w:r>
                </w:p>
              </w:tc>
              <w:tc>
                <w:tcPr>
                  <w:tcW w:w="702" w:type="pct"/>
                  <w:tcBorders>
                    <w:top w:val="nil"/>
                    <w:left w:val="nil"/>
                    <w:bottom w:val="single" w:color="auto" w:sz="4" w:space="0"/>
                    <w:right w:val="single" w:color="000000" w:sz="8" w:space="0"/>
                  </w:tcBorders>
                  <w:noWrap/>
                  <w:vAlign w:val="center"/>
                </w:tcPr>
                <w:p w14:paraId="43DB318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38.8%</w:t>
                  </w: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auto" w:sz="4" w:space="0"/>
                    <w:right w:val="single" w:color="000000" w:sz="8" w:space="0"/>
                  </w:tcBorders>
                  <w:noWrap/>
                  <w:vAlign w:val="center"/>
                </w:tcPr>
                <w:p w14:paraId="0B1CC5F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auto" w:sz="4" w:space="0"/>
                    <w:right w:val="single" w:color="000000" w:sz="8" w:space="0"/>
                  </w:tcBorders>
                  <w:noWrap/>
                  <w:vAlign w:val="center"/>
                </w:tcPr>
                <w:p w14:paraId="14C42D2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623" w:type="pct"/>
                  <w:tcBorders>
                    <w:top w:val="nil"/>
                    <w:left w:val="nil"/>
                    <w:bottom w:val="single" w:color="auto" w:sz="4" w:space="0"/>
                    <w:right w:val="single" w:color="000000" w:sz="8" w:space="0"/>
                  </w:tcBorders>
                  <w:noWrap/>
                  <w:vAlign w:val="center"/>
                </w:tcPr>
                <w:p w14:paraId="14C42D2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38.02%</w:t>
                  </w:r>
                </w:p>
              </w:tc>
            </w:tr>
            <w:tr w14:paraId="44BF058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1645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7E52EAC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净利润率</w:t>
                  </w:r>
                </w:p>
              </w:tc>
              <w:tc>
                <w:tcPr>
                  <w:tcW w:w="702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30245B3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4.64%</w:t>
                  </w:r>
                </w:p>
              </w:tc>
              <w:tc>
                <w:tcPr>
                  <w:tcW w:w="703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126979D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3.24%</w:t>
                  </w:r>
                </w:p>
              </w:tc>
              <w:tc>
                <w:tcPr>
                  <w:tcW w:w="702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5BBC0BC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3.78%</w:t>
                  </w:r>
                </w:p>
              </w:tc>
              <w:tc>
                <w:tcPr>
                  <w:tcW w:w="623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4DA7C25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623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1C79891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623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1C79891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4.94%</w:t>
                  </w:r>
                </w:p>
              </w:tc>
            </w:tr>
          </w:tbl>
          <w:p w14:paraId="5CA02251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lang w:val="zh-CN"/>
              </w:rPr>
            </w:pP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注：以下财务数据明细为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2025年X月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数据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（若该科目占比超10%或变动超20%的需做具体分析，其他可视情况简要说明）</w:t>
            </w:r>
          </w:p>
          <w:p w14:paraId="2D611363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pP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（1）应收账款 7430万元，主要构成及趋势变动情况： 2025应收账款为7430万元，较20249253万元变动-1823万元（-19.7%）。材料未提供应收账款明细、账龄分析、前五大客户及期后回款情况，建议补充上述材料以核实构成及变动原因。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0A5EB4C5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pP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（2）其他应收款 2774万元，主要构成及趋势变动情况： 2025其他应收款为2774万元，较20243522万元变动-748万元（-21.2%）。材料未提供其他应收款明细（往来单位/性质/账龄）及期后回收情况，建议补充明细后核实变动原因。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669763E4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（3）存货 2192万元，主要构成及趋势变动情况： 2025存货为2192万元，较20241166万元变动1026万元（88.0%）。材料未提供存货明细、库龄及跌价准备信息，建议补充存货构成与库龄资料后核实变动原因。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0DB2C097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pP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（4）长期投资 3123万元，主要构成及趋势变动情况： 2025长期投资为3123万元，较20242518万元变动605万元（24.0%）。材料未提供长期投资明细、被投单位情况及投资协议/出资证明等，建议补充后核实变动原因。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688E94A4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（5）应付账款 1026万元，主要构成及趋势变动情况： 2025应付账款为1026万元，较20242333万元变动-1307万元（-56.0%）。材料未提供应付账款明细、账龄及期后付款情况，建议补充供应商明细与付款记录后核实变动原因。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5881D757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（6）其他应付款 168万元，主要构成及趋势变动情况： 2025其他应付款为168万元，较2024648万元变动-480万元（-74.1%）。材料未提供其他应付款明细（往来单位/性质）及期后偿付情况，建议补充明细后核实变动原因。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544264FA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pP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7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）主营业务收入变动原因： 从财务数据看，2025营业收入为10010万元，较20248712万元变动1298万元（14.9%）。材料未提供收入结构（按产品/项目/客户）、主要合同/订单及结算回款明细，建议补充后核实变动原因。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487F6E47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eastAsia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8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）盈利能力变动原因： 2025营业收入10010万元，净利润494万元，净利率4.9%，较2024净利率3.8%。材料未提供成本费用明细、收入结构及非经常性损益说明，建议补充后核实盈利能力变动原因。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</w:p>
          <w:p w14:paraId="247144CC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pP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9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）固定资产投资变动情况</w:t>
            </w:r>
            <w:r>
              <w:rPr>
                <w:rFonts w:hint="eastAsia" w:ascii="宋体" w:hAnsi="宋体" w:cs="宋体"/>
                <w:b/>
                <w:bCs w:val="0"/>
                <w:snapToGrid w:val="0"/>
                <w:kern w:val="0"/>
                <w:szCs w:val="21"/>
                <w:highlight w:val="none"/>
                <w:lang w:val="zh-CN"/>
              </w:rPr>
              <w:t>（</w:t>
            </w:r>
            <w:r>
              <w:rPr>
                <w:rFonts w:hint="eastAsia" w:ascii="宋体" w:hAnsi="宋体" w:cs="宋体"/>
                <w:b/>
                <w:bCs w:val="0"/>
                <w:snapToGrid w:val="0"/>
                <w:kern w:val="0"/>
                <w:szCs w:val="21"/>
                <w:highlight w:val="none"/>
                <w:lang w:val="en-US" w:eastAsia="zh-CN"/>
              </w:rPr>
              <w:t>后续若有大额固定资产投入计划，分析投入及资金安排</w:t>
            </w:r>
            <w:r>
              <w:rPr>
                <w:rFonts w:hint="eastAsia" w:ascii="宋体" w:hAnsi="宋体" w:cs="宋体"/>
                <w:b/>
                <w:bCs w:val="0"/>
                <w:snapToGrid w:val="0"/>
                <w:kern w:val="0"/>
                <w:szCs w:val="21"/>
                <w:highlight w:val="none"/>
                <w:lang w:val="zh-CN"/>
              </w:rPr>
              <w:t>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： 材料未提供后续大额固定资产投入计划及资金安排信息，建议补充投资预算、采购/建设进度、资金来源（自有/贷款/补贴等）及预计形成资产情况。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7B09B5AD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（1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0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）其他变动较大的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财务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指标（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包括但不限于预付账款、预收账款等，如有请说明）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： 材料未提供可用于识别其他大额波动科目的完整明细（如预付账款、预收账款等）及变动原因说明，建议补充相关科目明细与原因说明后核实。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</w:p>
          <w:p w14:paraId="0A792E2F">
            <w:pPr>
              <w:pStyle w:val="11"/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                                                                                               </w:t>
            </w:r>
          </w:p>
          <w:p w14:paraId="0368571C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2" w:firstLineChars="200"/>
              <w:jc w:val="left"/>
              <w:rPr>
                <w:rFonts w:hint="eastAsia" w:ascii="宋体" w:hAnsi="宋体" w:eastAsia="宋体" w:cs="宋体"/>
                <w:b w:val="0"/>
                <w:bCs/>
                <w:snapToGrid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  <w:lang w:val="en-US" w:eastAsia="zh-CN"/>
              </w:rPr>
              <w:t>现金流分析</w:t>
            </w:r>
            <w:r>
              <w:rPr>
                <w:rFonts w:hint="eastAsia" w:ascii="宋体" w:hAnsi="宋体" w:cs="宋体"/>
                <w:b w:val="0"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（</w:t>
            </w:r>
            <w:r>
              <w:rPr>
                <w:rFonts w:hint="eastAsia" w:ascii="宋体" w:hAnsi="宋体" w:eastAsia="宋体" w:cs="宋体"/>
                <w:b w:val="0"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例：</w:t>
            </w:r>
            <w:r>
              <w:rPr>
                <w:rFonts w:hint="eastAsia" w:ascii="宋体" w:hAnsi="宋体" w:eastAsia="宋体" w:cs="宋体"/>
                <w:b w:val="0"/>
                <w:bCs/>
                <w:snapToGrid w:val="0"/>
                <w:szCs w:val="21"/>
                <w:highlight w:val="none"/>
                <w:u w:val="single"/>
                <w:lang w:val="en-US" w:eastAsia="zh-CN"/>
              </w:rPr>
              <w:t>去年至今年的应收账期一般在240天，预计明年将恢复至4个月左右，公司也在管控账期，所以现有1.05亿元应收款预计2025年能收回，按照25年3.6亿元营收预测，能回收2.4-2.5亿元，合计现金流入3.4-3.5亿元。当年成本支出约2.66亿，管理费用、研发费用、销售费用支出约0.96亿，合计支出约3.62亿；现金流稍有流出，基本实现平衡。反向预估，明年预计债权融资控制在1亿元左右（较目前增加约3000万），无大额固定资产投入，账面资金预计保持在2000-3000万元（较目前增加1000-2000万），现金流同样稍有流出，基本实现平衡。</w:t>
            </w:r>
          </w:p>
          <w:p w14:paraId="1ED2298A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2" w:firstLineChars="200"/>
              <w:jc w:val="left"/>
              <w:rPr>
                <w:rFonts w:hint="default"/>
                <w:b/>
                <w:bCs/>
                <w:highlight w:val="none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 w:val="0"/>
                <w:snapToGrid w:val="0"/>
                <w:color w:val="auto"/>
                <w:szCs w:val="21"/>
                <w:highlight w:val="none"/>
                <w:u w:val="none"/>
                <w:lang w:val="en-US" w:eastAsia="zh-CN"/>
              </w:rPr>
              <w:t xml:space="preserve">最近三年现金流量表分析：  2025年经营活动现金流量净额为791万元，投资活动现金流量净额为-586万元，筹资活动现金流量净额为-426万元。 </w:t>
            </w:r>
            <w:r>
              <w:rPr>
                <w:rFonts w:hint="eastAsia"/>
                <w:b w:val="0"/>
                <w:bCs/>
                <w:snapToGrid w:val="0"/>
                <w:color w:val="auto"/>
                <w:szCs w:val="21"/>
                <w:highlight w:val="none"/>
                <w:u w:val="none"/>
                <w:lang w:val="en-US" w:eastAsia="zh-CN"/>
              </w:rPr>
            </w:r>
            <w:r>
              <w:rPr>
                <w:rFonts w:hint="eastAsia"/>
                <w:b w:val="0"/>
                <w:bCs/>
                <w:snapToGrid w:val="0"/>
                <w:szCs w:val="21"/>
                <w:highlight w:val="none"/>
                <w:u w:val="none"/>
                <w:lang w:val="en-US" w:eastAsia="zh-CN"/>
              </w:rPr>
            </w:r>
          </w:p>
          <w:tbl>
            <w:tblPr>
              <w:tblStyle w:val="14"/>
              <w:tblW w:w="9774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95"/>
              <w:gridCol w:w="2169"/>
              <w:gridCol w:w="2170"/>
              <w:gridCol w:w="2170"/>
              <w:gridCol w:w="2170"/>
            </w:tblGrid>
            <w:tr w14:paraId="5AAE266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95" w:type="dxa"/>
                  <w:noWrap w:val="0"/>
                  <w:vAlign w:val="center"/>
                </w:tcPr>
                <w:p w14:paraId="747825D3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center"/>
                    <w:rPr>
                      <w:rFonts w:hint="default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年份</w:t>
                  </w:r>
                </w:p>
              </w:tc>
              <w:tc>
                <w:tcPr>
                  <w:tcW w:w="2169" w:type="dxa"/>
                  <w:noWrap w:val="0"/>
                  <w:vAlign w:val="center"/>
                </w:tcPr>
                <w:p w14:paraId="7762C40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default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经营性现金流净额</w:t>
                  </w:r>
                </w:p>
              </w:tc>
              <w:tc>
                <w:tcPr>
                  <w:tcW w:w="2170" w:type="dxa"/>
                  <w:noWrap w:val="0"/>
                  <w:vAlign w:val="center"/>
                </w:tcPr>
                <w:p w14:paraId="07492A3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default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投资性现金流净额</w:t>
                  </w:r>
                </w:p>
              </w:tc>
              <w:tc>
                <w:tcPr>
                  <w:tcW w:w="2170" w:type="dxa"/>
                  <w:noWrap w:val="0"/>
                  <w:vAlign w:val="center"/>
                </w:tcPr>
                <w:p w14:paraId="446E87A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default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筹资性现金流净额</w:t>
                  </w:r>
                </w:p>
              </w:tc>
              <w:tc>
                <w:tcPr>
                  <w:tcW w:w="2170" w:type="dxa"/>
                  <w:noWrap w:val="0"/>
                  <w:vAlign w:val="center"/>
                </w:tcPr>
                <w:p w14:paraId="51F6255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现金及现金等价物</w:t>
                  </w:r>
                </w:p>
                <w:p w14:paraId="4208C6A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default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净增加额</w:t>
                  </w:r>
                </w:p>
              </w:tc>
            </w:tr>
            <w:tr w14:paraId="5ADA161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95" w:type="dxa"/>
                  <w:noWrap w:val="0"/>
                  <w:vAlign w:val="top"/>
                </w:tcPr>
                <w:p w14:paraId="1179FCE4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center"/>
                    <w:rPr>
                      <w:rFonts w:hint="default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2022</w:t>
                  </w:r>
                </w:p>
              </w:tc>
              <w:tc>
                <w:tcPr>
                  <w:tcW w:w="2169" w:type="dxa"/>
                  <w:noWrap w:val="0"/>
                  <w:vAlign w:val="top"/>
                </w:tcPr>
                <w:p w14:paraId="71EC4F1B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-4373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31785388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-3747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22BC6B8C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3182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45C01C05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-4938</w:t>
                  </w:r>
                </w:p>
              </w:tc>
            </w:tr>
            <w:tr w14:paraId="63BB175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95" w:type="dxa"/>
                  <w:noWrap w:val="0"/>
                  <w:vAlign w:val="top"/>
                </w:tcPr>
                <w:p w14:paraId="1480D00C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center"/>
                    <w:rPr>
                      <w:rFonts w:hint="default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2023</w:t>
                  </w:r>
                </w:p>
              </w:tc>
              <w:tc>
                <w:tcPr>
                  <w:tcW w:w="2169" w:type="dxa"/>
                  <w:noWrap w:val="0"/>
                  <w:vAlign w:val="top"/>
                </w:tcPr>
                <w:p w14:paraId="70814868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269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0448FBC2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-716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471E028B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864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7EA400BB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418</w:t>
                  </w:r>
                </w:p>
              </w:tc>
            </w:tr>
            <w:tr w14:paraId="46267FB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95" w:type="dxa"/>
                  <w:noWrap w:val="0"/>
                  <w:vAlign w:val="top"/>
                </w:tcPr>
                <w:p w14:paraId="62D40D1C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center"/>
                    <w:rPr>
                      <w:rFonts w:hint="default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2024</w:t>
                  </w:r>
                </w:p>
              </w:tc>
              <w:tc>
                <w:tcPr>
                  <w:tcW w:w="2169" w:type="dxa"/>
                  <w:noWrap w:val="0"/>
                  <w:vAlign w:val="top"/>
                </w:tcPr>
                <w:p w14:paraId="11A4EBE4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-896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2AB9740F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-922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3DB724E8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802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0CD2D0DD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-1015</w:t>
                  </w:r>
                </w:p>
              </w:tc>
            </w:tr>
          </w:tbl>
          <w:p w14:paraId="3591524A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2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总体财务情况小结： 从资产负债结构看，公司资产规模在2023至2024年小幅增长后，于2025年末回落至16,956万元，同比下降8.72%。负债总额呈波动下降趋势，2025年末为7,207万元，同比下降22.67%，带动资产负债率从2022年的53.29%持续优化至2025年末的42.5%，负债结构稳健。公司资产以流动资产为主，2025年末占比达77.3%，但货币资金余额仅为286万元，处于较低水平，需关注其短期支付能力。盈利能力方面，公司主营业务收入自2022年的21,198万元连续两年大幅下滑，至2024年仅8,712万元，2025年虽回升至10,10万元，但整体规模仍处低位。毛利率在2023年降至27.3%后，近两年回升并稳定在38%以上，显示产品盈利能力有所恢复。净利率在2022至2024年间持续低于5%，2025年提升至4.94%，但净利润绝对值494万元仍处于较低水平，整体盈利能力偏弱。偿债能力与运营效率上，公司流动比率与速动比率持续改善，2025年末分别为1.82和1.51，短期偿债能力指标良好。然而，运营效率存在显著风险，应收账款周转天数自2022年的76天急剧恶化至2024年的388天，2025年末虽有改善但仍高达271天，远超正常水平，表明货款回收严重迟滞，占用了大量营运资金。同时，存货周转天数在2025年回升至129天，运营效率未见根本性好转。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13920AEA">
            <w:pPr>
              <w:widowControl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六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借款人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融资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/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对外担保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/实控人征信情况</w:t>
            </w:r>
          </w:p>
          <w:p w14:paraId="69868171">
            <w:pPr>
              <w:pStyle w:val="9"/>
              <w:numPr>
                <w:ilvl w:val="0"/>
                <w:numId w:val="0"/>
              </w:numP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/>
                <w:highlight w:val="none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highlight w:val="none"/>
                <w:lang w:val="en-US" w:eastAsia="zh-CN" w:bidi="ar-SA"/>
              </w:rPr>
              <w:t xml:space="preserve">  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 w:val="21"/>
                <w:szCs w:val="21"/>
                <w:highlight w:val="none"/>
                <w:lang w:val="en-US" w:eastAsia="zh-CN" w:bidi="ar-SA"/>
              </w:rPr>
              <w:t xml:space="preserve">  1.融资及对外担保情况</w:t>
            </w:r>
          </w:p>
          <w:p w14:paraId="42E9A1DA">
            <w:commentRangeStart w:id="16"/>
            <w:pPr>
              <w:pStyle w:val="9"/>
              <w:numPr>
                <w:ilvl w:val="0"/>
                <w:numId w:val="0"/>
              </w:numPr>
              <w:ind w:firstLine="420" w:firstLineChars="200"/>
              <w:rPr>
                <w:rFonts w:hint="eastAsia" w:ascii="宋体" w:hAnsi="宋体" w:eastAsia="宋体" w:cs="宋体"/>
                <w:bCs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-SA"/>
              </w:rPr>
              <w:t>截至XX年X月X日，公司各行贷款余额合计3000万元，其中我行1000万元，XX银行1000万元，XX银行1000万元，五级分类正常。无对外担保、无被追偿记录。</w:t>
            </w:r>
            <w:commentRangeEnd w:id="16"/>
            <w:r>
              <w:rPr>
                <w:rStyle w:val="CommentReference"/>
              </w:rPr>
              <w:commentReference w:id="16"/>
            </w:r>
          </w:p>
          <w:tbl>
            <w:tblPr>
              <w:tblStyle w:val="13"/>
              <w:tblW w:w="4997" w:type="pct"/>
              <w:jc w:val="center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354"/>
              <w:gridCol w:w="818"/>
              <w:gridCol w:w="1354"/>
              <w:gridCol w:w="1354"/>
              <w:gridCol w:w="1623"/>
              <w:gridCol w:w="1623"/>
              <w:gridCol w:w="1357"/>
              <w:gridCol w:w="1358"/>
            </w:tblGrid>
            <w:tr w14:paraId="4797BF2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80" w:hRule="atLeast"/>
                <w:jc w:val="center"/>
              </w:trPr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65DDB32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融资机构</w:t>
                  </w:r>
                </w:p>
              </w:tc>
              <w:tc>
                <w:tcPr>
                  <w:tcW w:w="37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17D580CE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品种</w:t>
                  </w: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E33EC5A">
                  <w:pPr>
                    <w:spacing w:line="240" w:lineRule="auto"/>
                    <w:jc w:val="center"/>
                    <w:rPr>
                      <w:rFonts w:hint="default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敞口额度</w:t>
                  </w: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16C40424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敞口余额</w:t>
                  </w: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24FAC9F1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业务起始日</w:t>
                  </w: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51B014B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业务到期日</w:t>
                  </w: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4C8A8D9B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担保方式</w:t>
                  </w: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1BC95E0F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五级分类</w:t>
                  </w:r>
                </w:p>
              </w:tc>
            </w:tr>
            <w:tr w14:paraId="430442E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80" w:hRule="atLeast"/>
                <w:jc w:val="center"/>
              </w:trPr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160A7077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交通银行屏东支行</w:t>
                  </w:r>
                </w:p>
              </w:tc>
              <w:tc>
                <w:tcPr>
                  <w:tcW w:w="37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7F666768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流贷</w:t>
                  </w: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5D146FD7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57EE6485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44D99216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2026.4.24</w:t>
                  </w: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2D9F5144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黄祖海</w:t>
                  </w: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7EDBC608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9028500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</w:tr>
            <w:tr w14:paraId="3E3562E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80" w:hRule="atLeast"/>
                <w:jc w:val="center"/>
              </w:trPr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497FD3B5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海峡银行-金山支行</w:t>
                  </w:r>
                </w:p>
              </w:tc>
              <w:tc>
                <w:tcPr>
                  <w:tcW w:w="37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1CAF18F8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流贷加担保</w:t>
                  </w: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50F8D95F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5D2ACB83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47F50C3B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2026.10.15</w:t>
                  </w: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4C5E539D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黄祖海.陈其俤.福州市融资担保有限公司.福建恒运投资合伙企业（有限合伙）</w:t>
                  </w: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E078235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7FBE1FB7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</w:tr>
            <w:tr w14:paraId="0DAE118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70" w:hRule="atLeast"/>
                <w:jc w:val="center"/>
              </w:trPr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6BFAFEDB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厦门国际银行台江支行</w:t>
                  </w:r>
                </w:p>
              </w:tc>
              <w:tc>
                <w:tcPr>
                  <w:tcW w:w="37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5279E379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流贷</w:t>
                  </w: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274F717C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4D198F39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20FEBB90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2026.11.21</w:t>
                  </w: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0295822D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黄祖海.陈其俤</w:t>
                  </w: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476CA7F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18E6263B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</w:tr>
            <w:tr w14:paraId="69C18A2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70" w:hRule="atLeast"/>
                <w:jc w:val="center"/>
              </w:trPr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09B3C0CF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兴业银行-环球支行</w:t>
                  </w:r>
                </w:p>
              </w:tc>
              <w:tc>
                <w:tcPr>
                  <w:tcW w:w="37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29DA096D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合计</w:t>
                  </w: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2FE8BDB0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50725CE1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14048CA5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2025.11.25</w:t>
                  </w: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A17426C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2026.11.25</w:t>
                  </w: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F14E017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黄祖海.陈其俤.中锐汉鼎</w:t>
                  </w: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72440EC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</w:tr>
          </w:tbl>
          <w:p w14:paraId="17C0B0C6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/>
              <w:jc w:val="left"/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lang w:val="en-US" w:eastAsia="zh-CN"/>
              </w:rPr>
              <w:t>（若有）涉及中长期借款的反馈中长期借款还款计划及还款资金安排情况：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 材料中未发现中长期借款还款计划及还款资金安排信息。 </w:t>
            </w:r>
          </w:p>
          <w:p w14:paraId="73E83C36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/>
              <w:jc w:val="left"/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lang w:val="en-US" w:eastAsia="zh-CN"/>
              </w:rPr>
              <w:t>（若有）固贷还款计划如下：建设银行项目贷款（配套项目均已建成，已有经营回款能力）</w:t>
            </w:r>
          </w:p>
          <w:p w14:paraId="547A6D1A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/>
              <w:jc w:val="left"/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lang w:val="en-US" w:eastAsia="zh-CN"/>
              </w:rPr>
              <w:t>2025年还款1188万元、2026年1926万元、2027年2430万元、2028年2330万元、2029年2500万元、2030年1637万元，按预测销售趋势及净利润水平来看，可足额归还相关项目贷款资金。</w:t>
            </w:r>
          </w:p>
          <w:p w14:paraId="76CE32AE">
            <w:commentRangeStart w:id="17"/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/>
              <w:jc w:val="left"/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</w:rPr>
              <w:t>（若有）对外担保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lang w:val="en-US" w:eastAsia="zh-CN"/>
              </w:rPr>
              <w:t>情况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</w:rPr>
              <w:t>：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  <w:t xml:space="preserve">           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 xml:space="preserve">                  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  <w:t xml:space="preserve">  </w:t>
            </w:r>
            <w:commentRangeEnd w:id="17"/>
            <w:r>
              <w:rPr>
                <w:rStyle w:val="CommentReference"/>
              </w:rPr>
              <w:commentReference w:id="17"/>
            </w:r>
          </w:p>
          <w:p w14:paraId="4355488A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/>
              <w:jc w:val="left"/>
              <w:rPr>
                <w:rFonts w:hint="default" w:ascii="宋体" w:hAnsi="宋体" w:eastAsia="宋体" w:cs="宋体"/>
                <w:snapToGrid w:val="0"/>
                <w:kern w:val="0"/>
                <w:sz w:val="21"/>
                <w:szCs w:val="21"/>
                <w:highlight w:val="none"/>
                <w:u w:val="singl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  <w:t xml:space="preserve">（若有）不良记录情况: </w:t>
            </w:r>
            <w:r>
              <w:rPr>
                <w:rFonts w:hint="eastAsia" w:ascii="宋体" w:hAnsi="宋体" w:eastAsia="宋体" w:cs="宋体"/>
                <w:snapToGrid w:val="0"/>
                <w:kern w:val="0"/>
                <w:sz w:val="21"/>
                <w:szCs w:val="21"/>
                <w:highlight w:val="none"/>
                <w:u w:val="single"/>
                <w:lang w:val="en-US" w:eastAsia="zh-CN" w:bidi="ar-SA"/>
              </w:rPr>
              <w:t xml:space="preserve"> 材料中未发现不良记录情况。 </w:t>
            </w:r>
          </w:p>
          <w:p w14:paraId="0BD0E5B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22" w:firstLineChars="200"/>
              <w:jc w:val="both"/>
              <w:textAlignment w:val="auto"/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实控人黄祖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海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，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湖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highlight w:val="none"/>
                <w:u w:val="single"/>
                <w:lang w:val="en-US" w:eastAsia="zh-CN"/>
              </w:rPr>
              <w:t>南大学电子商务专业本科学历。2000年5月至2001年12月，任福建实达网络科技有限公司技术工程师；2002年1月至2003年1月，任福建实达网络科技有限公司技术经理；2003年1月至2011年12月，任福建星网锐捷网络有限公司技术部总经理；2012年1月至2016年3月，任福建中锐网络科技有限公司法定代表人、执行董事兼总经理；2016年3月至今，任福建中锐网络股份有限公司董事长兼总裁。身份证号：350124197704201694.</w:t>
            </w:r>
          </w:p>
          <w:p w14:paraId="5424B92B">
            <w:commentRangeStart w:id="18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2" w:firstLineChars="200"/>
              <w:jc w:val="left"/>
              <w:textAlignment w:val="baseline"/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3.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实控人配偶情况：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  <w:t>陈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____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中国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国籍，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福建福州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人，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19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78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年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生，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个人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征信信息：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 xml:space="preserve">  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可参考实控人征信描述格式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 xml:space="preserve"> </w:t>
            </w:r>
            <w:commentRangeEnd w:id="18"/>
            <w:r>
              <w:rPr>
                <w:rStyle w:val="CommentReference"/>
              </w:rPr>
              <w:commentReference w:id="18"/>
            </w:r>
          </w:p>
          <w:p w14:paraId="27DBD94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  <w:t>（七）科技情况分析（科技型企业填写）</w:t>
            </w:r>
          </w:p>
          <w:p w14:paraId="0C37BEE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211" w:firstLineChars="100"/>
              <w:jc w:val="left"/>
              <w:textAlignment w:val="baseline"/>
              <w:rPr>
                <w:rFonts w:hint="eastAsia" w:ascii="宋体" w:hAnsi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1.科技类型与评分</w:t>
            </w:r>
          </w:p>
          <w:p w14:paraId="4283556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ind w:firstLine="422" w:firstLineChars="20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科技型企业类型：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科技型中小企业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（第几轮，有效期至X年X月X日）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；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</w:rPr>
              <w:t>☑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高新技术企业；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创新型中小企业；</w:t>
            </w:r>
          </w:p>
          <w:p w14:paraId="2E216E6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ind w:firstLine="1687" w:firstLineChars="80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</w:rPr>
              <w:t>☑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“专精特新”中小企业；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专精特新“小巨人”企业；</w:t>
            </w:r>
          </w:p>
          <w:p w14:paraId="0EFFADC8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ind w:firstLine="1687" w:firstLineChars="800"/>
              <w:jc w:val="left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</w:rPr>
              <w:t>☑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制造业单项冠军企业；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国家技术创新示范企业</w:t>
            </w:r>
          </w:p>
          <w:p w14:paraId="6C01223F">
            <w:pPr>
              <w:pStyle w:val="7"/>
              <w:ind w:firstLine="422" w:firstLineChars="200"/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lang w:val="en-US" w:eastAsia="zh-CN" w:bidi="ar-SA"/>
              </w:rPr>
              <w:t>科技型企业评分：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 xml:space="preserve"> 材料中未提供科技型企业评分。 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lang w:val="en-US" w:eastAsia="zh-CN" w:bidi="ar-SA"/>
              </w:rPr>
              <w:t>分</w:t>
            </w:r>
          </w:p>
          <w:p w14:paraId="787DC0F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211" w:firstLineChars="10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※2.研发投入情况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：</w:t>
            </w:r>
          </w:p>
          <w:p w14:paraId="460D4DDD">
            <w:pPr>
              <w:widowControl/>
              <w:numPr>
                <w:ilvl w:val="0"/>
                <w:numId w:val="0"/>
              </w:numPr>
              <w:spacing w:line="240" w:lineRule="auto"/>
              <w:ind w:firstLine="422" w:firstLineChars="200"/>
              <w:jc w:val="left"/>
              <w:rPr>
                <w:rFonts w:hint="eastAsia" w:ascii="宋体" w:hAnsi="宋体" w:eastAsia="宋体" w:cs="宋体"/>
                <w:b/>
                <w:bCs w:val="0"/>
                <w:kern w:val="2"/>
                <w:szCs w:val="21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1"/>
                <w:highlight w:val="none"/>
                <w:lang w:val="en-US" w:eastAsia="zh-CN"/>
              </w:rPr>
              <w:t>①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1"/>
                <w:highlight w:val="none"/>
                <w:lang w:eastAsia="zh-CN"/>
              </w:rPr>
              <w:t>核心</w:t>
            </w:r>
            <w:r>
              <w:rPr>
                <w:rFonts w:hint="eastAsia" w:ascii="宋体" w:hAnsi="宋体" w:cs="宋体"/>
                <w:b/>
                <w:bCs w:val="0"/>
                <w:kern w:val="2"/>
                <w:sz w:val="21"/>
                <w:szCs w:val="21"/>
                <w:highlight w:val="none"/>
                <w:lang w:val="en-US" w:eastAsia="zh-CN"/>
              </w:rPr>
              <w:t>研发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1"/>
                <w:highlight w:val="none"/>
                <w:lang w:eastAsia="zh-CN"/>
              </w:rPr>
              <w:t>人员是否</w:t>
            </w:r>
            <w:r>
              <w:rPr>
                <w:rFonts w:hint="eastAsia" w:ascii="宋体" w:hAnsi="宋体" w:cs="宋体"/>
                <w:b/>
                <w:bCs w:val="0"/>
                <w:kern w:val="2"/>
                <w:sz w:val="21"/>
                <w:szCs w:val="21"/>
                <w:highlight w:val="none"/>
                <w:lang w:val="en-US" w:eastAsia="zh-CN"/>
              </w:rPr>
              <w:t>享有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1"/>
                <w:highlight w:val="none"/>
                <w:lang w:eastAsia="zh-CN"/>
              </w:rPr>
              <w:t>股权激励：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☑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Cs w:val="21"/>
                <w:highlight w:val="none"/>
                <w:lang w:eastAsia="zh-CN"/>
              </w:rPr>
              <w:t>是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Cs w:val="21"/>
                <w:highlight w:val="none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Cs w:val="21"/>
                <w:highlight w:val="none"/>
                <w:lang w:eastAsia="zh-CN"/>
              </w:rPr>
              <w:t>否</w:t>
            </w:r>
          </w:p>
          <w:p w14:paraId="5EFD5548">
            <w:pPr>
              <w:widowControl/>
              <w:numPr>
                <w:ilvl w:val="0"/>
                <w:numId w:val="0"/>
              </w:numPr>
              <w:spacing w:line="240" w:lineRule="auto"/>
              <w:ind w:firstLine="422" w:firstLineChars="200"/>
              <w:jc w:val="left"/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1"/>
                <w:highlight w:val="none"/>
                <w:lang w:val="en-US" w:eastAsia="zh-CN"/>
              </w:rPr>
              <w:t>②近三年研发投入占比及研发人员占比</w:t>
            </w:r>
          </w:p>
          <w:tbl>
            <w:tblPr>
              <w:tblStyle w:val="14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76"/>
              <w:gridCol w:w="936"/>
              <w:gridCol w:w="2826"/>
              <w:gridCol w:w="1296"/>
              <w:gridCol w:w="1296"/>
              <w:gridCol w:w="1296"/>
            </w:tblGrid>
            <w:tr w14:paraId="20626E9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5A9C2D4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center"/>
                    <w:textAlignment w:val="baseline"/>
                    <w:rPr>
                      <w:rFonts w:hint="eastAsia" w:ascii="宋体" w:hAnsi="宋体" w:eastAsia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年份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9107C17">
                  <w:pPr>
                    <w:numPr>
                      <w:ilvl w:val="0"/>
                      <w:numId w:val="0"/>
                    </w:numPr>
                    <w:spacing w:before="0" w:beforeLines="0" w:line="240" w:lineRule="auto"/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研发费用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AAB0030">
                  <w:pPr>
                    <w:numPr>
                      <w:ilvl w:val="0"/>
                      <w:numId w:val="0"/>
                    </w:numPr>
                    <w:spacing w:before="0" w:beforeLines="0" w:line="240" w:lineRule="auto"/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研发费用占比</w:t>
                  </w: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（研发费用/</w:t>
                  </w: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营收</w:t>
                  </w: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）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DE82046">
                  <w:pPr>
                    <w:numPr>
                      <w:ilvl w:val="0"/>
                      <w:numId w:val="0"/>
                    </w:numPr>
                    <w:spacing w:before="0" w:beforeLines="0" w:line="240" w:lineRule="auto"/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eastAsia="zh-CN"/>
                    </w:rPr>
                    <w:t>研发人员</w:t>
                  </w: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人数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91FB8D1">
                  <w:pPr>
                    <w:numPr>
                      <w:ilvl w:val="0"/>
                      <w:numId w:val="0"/>
                    </w:numPr>
                    <w:spacing w:before="0" w:beforeLines="0" w:line="240" w:lineRule="auto"/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研发人员占比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3866DDBC">
                  <w:pPr>
                    <w:numPr>
                      <w:ilvl w:val="0"/>
                      <w:numId w:val="0"/>
                    </w:numPr>
                    <w:spacing w:before="0" w:beforeLines="0" w:line="240" w:lineRule="auto"/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eastAsia="zh-CN"/>
                    </w:rPr>
                    <w:t>研发人员</w:t>
                  </w: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薪酬</w:t>
                  </w:r>
                </w:p>
              </w:tc>
            </w:tr>
            <w:tr w14:paraId="6887720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398729C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center"/>
                    <w:textAlignment w:val="baseline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2022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FC3C12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1447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E8C0C3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8E90B8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18CF5F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7359BA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</w:tr>
            <w:tr w14:paraId="7F546D0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27AC7DE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center"/>
                    <w:textAlignment w:val="baseline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2023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C67A1B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895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94C0E2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7.4%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1CD783E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888AD2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0C524C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</w:tr>
            <w:tr w14:paraId="57F3134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23857EE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center"/>
                    <w:textAlignment w:val="baseline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2024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F5E657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1262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D8BD3D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14.5%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69F176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A00D3F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38B5B5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</w:tr>
          </w:tbl>
          <w:p w14:paraId="10018B81">
            <w:pPr>
              <w:pStyle w:val="9"/>
              <w:numPr>
                <w:ilvl w:val="0"/>
                <w:numId w:val="0"/>
              </w:numPr>
              <w:ind w:firstLine="422" w:firstLineChars="200"/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※</w:t>
            </w:r>
            <w:r>
              <w:rPr>
                <w:rFonts w:hint="eastAsia" w:ascii="宋体" w:hAnsi="宋体" w:cs="宋体"/>
                <w:b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  <w:t>3.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  <w:t>专利情况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：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u w:val="single"/>
                <w:lang w:val="en-US" w:eastAsia="zh-CN" w:bidi="ar-SA"/>
              </w:rPr>
              <w:t>企业拥有发明专利X项、实用专利X项，权属清晰，不存在瑕疵及涉诉情况，具体情况如下表所示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u w:val="none"/>
                <w:lang w:val="en-US" w:eastAsia="zh-CN" w:bidi="ar-SA"/>
              </w:rPr>
              <w:t>：</w:t>
            </w:r>
          </w:p>
          <w:tbl>
            <w:tblPr>
              <w:tblStyle w:val="14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347"/>
              <w:gridCol w:w="936"/>
              <w:gridCol w:w="576"/>
              <w:gridCol w:w="1116"/>
              <w:gridCol w:w="1836"/>
            </w:tblGrid>
            <w:tr w14:paraId="44A4E30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50CE8793">
                  <w:pPr>
                    <w:numPr>
                      <w:ilvl w:val="0"/>
                      <w:numId w:val="0"/>
                    </w:numPr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发明/实用专利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7DF6663">
                  <w:pPr>
                    <w:numPr>
                      <w:ilvl w:val="0"/>
                      <w:numId w:val="0"/>
                    </w:numPr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/>
                      <w:color w:val="auto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专利名称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DFF5A45">
                  <w:pPr>
                    <w:numPr>
                      <w:ilvl w:val="0"/>
                      <w:numId w:val="0"/>
                    </w:numPr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/>
                      <w:color w:val="auto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证号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1CE23429">
                  <w:pPr>
                    <w:numPr>
                      <w:ilvl w:val="0"/>
                      <w:numId w:val="0"/>
                    </w:numPr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/>
                      <w:color w:val="auto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是否已质押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119F5CC">
                  <w:pPr>
                    <w:numPr>
                      <w:ilvl w:val="0"/>
                      <w:numId w:val="0"/>
                    </w:numPr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/>
                      <w:color w:val="auto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评估价值（如适用）</w:t>
                  </w:r>
                </w:p>
              </w:tc>
            </w:tr>
            <w:tr w14:paraId="3B0DEB5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4B7B871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center"/>
                    <w:textAlignment w:val="baseline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F6A3EC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发明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6E4637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设备故障的检测处理方法、装置和网络设备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99ABBA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ZL201010512112.7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F7B177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否</w:t>
                  </w:r>
                </w:p>
              </w:tc>
            </w:tr>
            <w:tr w14:paraId="129195E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4CEA10A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center"/>
                    <w:textAlignment w:val="baseline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A8A6BA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发明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AF83B3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数据缓存管理方法及装置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63AFA2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ZL201010601468.8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E53775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否</w:t>
                  </w:r>
                </w:p>
              </w:tc>
            </w:tr>
            <w:tr w14:paraId="071BF16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1E9AF9B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center"/>
                    <w:textAlignment w:val="baseline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D6F39A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发明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85581D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一种Web远程docker容器桌面的方法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708A89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ZL201910907578.8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DC2EAB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否</w:t>
                  </w:r>
                </w:p>
              </w:tc>
            </w:tr>
          </w:tbl>
          <w:p w14:paraId="2935449F">
            <w:pPr>
              <w:pStyle w:val="9"/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</w:p>
          <w:p w14:paraId="662F63FD">
            <w:pPr>
              <w:pStyle w:val="9"/>
              <w:rPr>
                <w:rFonts w:hint="default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  <w:t>（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  <w:t>八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  <w:t>）综合效益分析</w:t>
            </w:r>
          </w:p>
          <w:p w14:paraId="39908C0C">
            <w:commentRangeStart w:id="19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 w:after="93" w:afterLines="30"/>
              <w:ind w:firstLine="420" w:firstLineChars="2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pPr>
            <w:r>
              <w:rPr>
                <w:rFonts w:hint="eastAsia" w:ascii="宋体" w:hAnsi="宋体" w:cs="宋体"/>
                <w:b w:val="0"/>
                <w:bCs w:val="0"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  <w:t>1.当前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auto"/>
                <w:kern w:val="0"/>
                <w:szCs w:val="21"/>
                <w:highlight w:val="none"/>
              </w:rPr>
              <w:t>综合效益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auto"/>
                <w:kern w:val="0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  <w:t>包括但不限于：对公有效户、代发签约及发薪量、日均存款、基本户、其他派生业务等）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lang w:eastAsia="zh-CN"/>
              </w:rPr>
              <w:t>：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截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至目前，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企业在我行日均存款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___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_万元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，折对公有效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户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____户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，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全年结算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量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____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万元，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____名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员工在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我行签约代发，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上年发薪量____万元，综合效益较好。</w:t>
            </w:r>
            <w:commentRangeEnd w:id="19"/>
            <w:r>
              <w:rPr>
                <w:rStyle w:val="CommentReference"/>
              </w:rPr>
              <w:commentReference w:id="19"/>
            </w:r>
          </w:p>
          <w:p w14:paraId="6148F89F">
            <w:commentRangeStart w:id="20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 w:after="93" w:afterLines="30"/>
              <w:ind w:firstLine="420" w:firstLineChars="200"/>
              <w:jc w:val="left"/>
              <w:textAlignment w:val="baseline"/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 w:val="0"/>
                <w:bCs w:val="0"/>
                <w:snapToGrid w:val="0"/>
                <w:kern w:val="0"/>
                <w:szCs w:val="21"/>
                <w:highlight w:val="none"/>
                <w:lang w:val="en-US" w:eastAsia="zh-CN"/>
              </w:rPr>
              <w:t>预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kern w:val="0"/>
                <w:szCs w:val="21"/>
                <w:highlight w:val="none"/>
              </w:rPr>
              <w:t>计企业在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auto"/>
                <w:kern w:val="0"/>
                <w:szCs w:val="21"/>
                <w:highlight w:val="none"/>
                <w:lang w:eastAsia="zh-CN"/>
              </w:rPr>
              <w:t>我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  <w:t>行可实现日均存款____万元，折对公有效户年___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eastAsia="zh-CN"/>
              </w:rPr>
              <w:t>_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户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，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全年结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算量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__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__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万元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，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_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___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名员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工可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在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我行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签约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代发，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预计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可带来年度发薪量____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万元，整体综合效益较好。</w:t>
            </w:r>
            <w:commentRangeEnd w:id="20"/>
            <w:r>
              <w:rPr>
                <w:rStyle w:val="CommentReference"/>
              </w:rPr>
              <w:commentReference w:id="20"/>
            </w:r>
          </w:p>
          <w:p w14:paraId="2461EA4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eastAsia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（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九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）借款原因及还款能力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分析</w:t>
            </w:r>
          </w:p>
          <w:p w14:paraId="6429D21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1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借款原因说明：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借款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人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目前经营性现金流状况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整体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较好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  <w:t>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且账上拥有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货币资金1500万，但因对上游账款预付或现付、下游货款回笼较慢，且前端工序处于涨价周期，对营运资金需求较大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  <w:t>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故需申请部分贷款用于补充流动资金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。</w:t>
            </w:r>
          </w:p>
          <w:p w14:paraId="13F0D54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default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（若申请中期流动资金贷款，请补充分析原因：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 材料中未提供申请中期流动资金贷款的原因分析。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none"/>
                <w:lang w:val="en-US" w:eastAsia="zh-CN"/>
              </w:rPr>
              <w:t>）</w:t>
            </w:r>
          </w:p>
          <w:p w14:paraId="04F1C25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2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eastAsia="zh-CN"/>
              </w:rPr>
              <w:t>.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营运资金需求测算</w:t>
            </w:r>
          </w:p>
          <w:p w14:paraId="4655273D">
            <w:commentRangeStart w:id="21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</w:rPr>
              <w:t>根据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  <w:t>流动资金需求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</w:rPr>
              <w:t>测算，</w:t>
            </w:r>
            <w:r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</w:rPr>
              <w:t>企业</w:t>
            </w:r>
            <w:r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  <w:t>营运资金需求</w:t>
            </w:r>
            <w:r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</w:rPr>
              <w:t>：</w:t>
            </w:r>
            <w:r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  <w:u w:val="single"/>
              </w:rPr>
              <w:t xml:space="preserve">    </w:t>
            </w:r>
            <w:r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     </w:t>
            </w:r>
            <w:r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  <w:u w:val="none"/>
                <w:lang w:val="en-US" w:eastAsia="zh-CN"/>
              </w:rPr>
              <w:t>万元</w:t>
            </w:r>
            <w:commentRangeEnd w:id="21"/>
            <w:r>
              <w:rPr>
                <w:rStyle w:val="CommentReference"/>
              </w:rPr>
              <w:commentReference w:id="21"/>
            </w:r>
          </w:p>
          <w:p w14:paraId="6E23948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  <w:u w:val="none"/>
                <w:lang w:val="en-US" w:eastAsia="zh-CN"/>
              </w:rPr>
              <w:t>（请附531系统测算表截图）</w:t>
            </w:r>
          </w:p>
          <w:p w14:paraId="64AA94E5">
            <w:pPr>
              <w:pStyle w:val="11"/>
              <w:rPr>
                <w:rFonts w:hint="eastAsia"/>
              </w:rPr>
            </w:pPr>
          </w:p>
          <w:p w14:paraId="1970A0F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/>
                <w:highlight w:val="none"/>
                <w:u w:val="none"/>
                <w:lang w:val="en-US" w:eastAsia="zh-CN"/>
              </w:rPr>
            </w:pPr>
            <w:r>
              <w:rPr>
                <w:rFonts w:hint="eastAsia"/>
                <w:highlight w:val="none"/>
                <w:u w:val="none"/>
                <w:lang w:val="en-US" w:eastAsia="zh-CN"/>
              </w:rPr>
              <w:t>如上述测算过程存在数据调整，请补充说明：</w:t>
            </w:r>
            <w:r>
              <w:rPr>
                <w:rFonts w:hint="eastAsia"/>
                <w:highlight w:val="none"/>
                <w:u w:val="single"/>
                <w:lang w:val="en-US" w:eastAsia="zh-CN"/>
              </w:rPr>
              <w:t xml:space="preserve"> 材料中未提供测算数据调整说明。 </w:t>
            </w:r>
            <w:r>
              <w:rPr>
                <w:rFonts w:hint="eastAsia"/>
                <w:highlight w:val="none"/>
                <w:u w:val="none"/>
                <w:lang w:val="en-US" w:eastAsia="zh-CN"/>
              </w:rPr>
              <w:t xml:space="preserve">  </w:t>
            </w:r>
          </w:p>
          <w:p w14:paraId="3084A9F9">
            <w:pPr>
              <w:widowControl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leftChars="200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  <w:lang w:val="en-US" w:eastAsia="zh-CN"/>
              </w:rPr>
              <w:t>3.</w:t>
            </w:r>
            <w:r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</w:rPr>
              <w:t>还款能力分析：</w:t>
            </w:r>
          </w:p>
          <w:p w14:paraId="135AE982">
            <w:pPr>
              <w:widowControl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leftChars="200"/>
              <w:jc w:val="left"/>
              <w:textAlignment w:val="baseline"/>
              <w:rPr>
                <w:rFonts w:hint="eastAsia" w:ascii="宋体" w:hAnsi="宋体" w:cs="宋体"/>
                <w:bCs/>
                <w:snapToGrid w:val="0"/>
                <w:kern w:val="0"/>
                <w:sz w:val="21"/>
                <w:szCs w:val="21"/>
                <w:highlight w:val="none"/>
                <w:u w:val="none"/>
                <w:lang w:eastAsia="zh-CN"/>
              </w:rPr>
            </w:pPr>
            <w:r>
              <w:rPr>
                <w:rFonts w:hint="eastAsia" w:ascii="宋体" w:hAnsi="宋体" w:cs="宋体"/>
                <w:bCs/>
                <w:snapToGrid w:val="0"/>
                <w:kern w:val="0"/>
                <w:sz w:val="21"/>
                <w:szCs w:val="21"/>
                <w:highlight w:val="none"/>
                <w:u w:val="none"/>
                <w:lang w:val="en-US" w:eastAsia="zh-CN"/>
              </w:rPr>
              <w:t>①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 w:val="21"/>
                <w:szCs w:val="21"/>
                <w:highlight w:val="none"/>
                <w:u w:val="none"/>
                <w:lang w:eastAsia="zh-CN"/>
              </w:rPr>
              <w:t>第一还款来源（经营性现金流分析）：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 w:val="21"/>
                <w:szCs w:val="21"/>
                <w:highlight w:val="none"/>
                <w:u w:val="single"/>
                <w:lang w:val="en-US" w:eastAsia="zh-CN"/>
              </w:rPr>
              <w:t xml:space="preserve"> 材料中未提供第一还款来源（经营性现金流）的具体分析。 </w:t>
            </w:r>
          </w:p>
          <w:p w14:paraId="0DEB130D">
            <w:pPr>
              <w:widowControl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leftChars="100"/>
              <w:jc w:val="left"/>
              <w:textAlignment w:val="baseline"/>
              <w:rPr>
                <w:rFonts w:hint="default" w:ascii="宋体" w:hAnsi="宋体" w:cs="宋体"/>
                <w:bCs/>
                <w:snapToGrid w:val="0"/>
                <w:kern w:val="0"/>
                <w:sz w:val="21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snapToGrid w:val="0"/>
                <w:kern w:val="0"/>
                <w:sz w:val="21"/>
                <w:szCs w:val="21"/>
                <w:highlight w:val="none"/>
                <w:u w:val="none"/>
                <w:lang w:val="en-US" w:eastAsia="zh-CN"/>
              </w:rPr>
              <w:t xml:space="preserve">  ②第二还款来源（抵质押物变现能力分析及其他渠道现金流分析）：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 w:val="21"/>
                <w:szCs w:val="21"/>
                <w:highlight w:val="none"/>
                <w:u w:val="single"/>
                <w:lang w:val="en-US" w:eastAsia="zh-CN"/>
              </w:rPr>
              <w:t xml:space="preserve"> 材料中未提供第二还款来源（抵质押物变现能力等）的具体分析。 </w:t>
            </w:r>
          </w:p>
          <w:p w14:paraId="23BF48B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kern w:val="0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 w:val="21"/>
                <w:szCs w:val="21"/>
                <w:highlight w:val="none"/>
                <w:lang w:eastAsia="zh-CN"/>
              </w:rPr>
              <w:t>（注：若还款来源为股权融资款，需分析估值合理性、股权融资金额、当前进展、预计落地时间、投资方情况，并提供</w:t>
            </w:r>
            <w:r>
              <w:rPr>
                <w:rFonts w:hint="eastAsia" w:ascii="宋体" w:hAnsi="宋体" w:cs="宋体"/>
                <w:snapToGrid w:val="0"/>
                <w:kern w:val="0"/>
                <w:sz w:val="21"/>
                <w:szCs w:val="21"/>
                <w:highlight w:val="none"/>
                <w:lang w:val="en-US" w:eastAsia="zh-CN"/>
              </w:rPr>
              <w:t>相关</w:t>
            </w:r>
            <w:r>
              <w:rPr>
                <w:rFonts w:hint="eastAsia" w:ascii="宋体" w:hAnsi="宋体" w:cs="宋体"/>
                <w:snapToGrid w:val="0"/>
                <w:kern w:val="0"/>
                <w:sz w:val="21"/>
                <w:szCs w:val="21"/>
                <w:highlight w:val="none"/>
                <w:lang w:eastAsia="zh-CN"/>
              </w:rPr>
              <w:t>依据）</w:t>
            </w:r>
          </w:p>
          <w:p w14:paraId="5874C0C9">
            <w:commentRangeStart w:id="22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default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snapToGrid w:val="0"/>
                <w:kern w:val="0"/>
                <w:szCs w:val="21"/>
                <w:highlight w:val="none"/>
                <w:lang w:val="en-US" w:eastAsia="zh-CN"/>
              </w:rPr>
              <w:t>4.</w:t>
            </w:r>
            <w:r>
              <w:rPr>
                <w:rFonts w:hint="eastAsia" w:ascii="宋体" w:hAnsi="宋体" w:cs="宋体"/>
                <w:snapToGrid w:val="0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（若有）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续授信客户需对比前次授信方案，反映调整/变动原因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lang w:eastAsia="zh-CN"/>
              </w:rPr>
              <w:t>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        </w:t>
            </w:r>
            <w:commentRangeEnd w:id="22"/>
            <w:r>
              <w:rPr>
                <w:rStyle w:val="CommentReference"/>
              </w:rPr>
              <w:commentReference w:id="22"/>
            </w:r>
          </w:p>
          <w:p w14:paraId="0B565A9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（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十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）担保分析</w:t>
            </w:r>
          </w:p>
          <w:p w14:paraId="6EBF1999">
            <w:p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</w:rPr>
              <w:t>1</w:t>
            </w:r>
            <w:r>
              <w:rPr>
                <w:rFonts w:hint="eastAsia" w:ascii="宋体" w:hAnsi="宋体" w:cs="宋体"/>
                <w:b/>
                <w:color w:val="auto"/>
                <w:sz w:val="21"/>
                <w:szCs w:val="21"/>
                <w:highlight w:val="none"/>
                <w:lang w:val="en-US" w:eastAsia="zh-CN"/>
              </w:rPr>
              <w:t>.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</w:rPr>
              <w:t>抵押担保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  <w:lang w:val="en-US" w:eastAsia="zh-CN"/>
              </w:rPr>
              <w:t>如涉及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</w:rPr>
              <w:t>：</w:t>
            </w:r>
          </w:p>
          <w:tbl>
            <w:tblPr>
              <w:tblStyle w:val="13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467"/>
              <w:gridCol w:w="819"/>
              <w:gridCol w:w="859"/>
              <w:gridCol w:w="1256"/>
              <w:gridCol w:w="1073"/>
              <w:gridCol w:w="960"/>
              <w:gridCol w:w="1002"/>
              <w:gridCol w:w="876"/>
              <w:gridCol w:w="1303"/>
            </w:tblGrid>
            <w:tr w14:paraId="6E59F46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47" w:hRule="atLeast"/>
                <w:jc w:val="center"/>
              </w:trPr>
              <w:tc>
                <w:tcPr>
                  <w:tcW w:w="146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079C7838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t>抵押物</w:t>
                  </w:r>
                  <w:r>
                    <w:rPr>
                      <w:rFonts w:hint="eastAsia" w:ascii="宋体" w:hAnsi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  <w:t>名称</w:t>
                  </w:r>
                </w:p>
              </w:tc>
              <w:tc>
                <w:tcPr>
                  <w:tcW w:w="81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3739B261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t>类型</w:t>
                  </w:r>
                </w:p>
              </w:tc>
              <w:tc>
                <w:tcPr>
                  <w:tcW w:w="85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4F7789E8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  <w:t>面积</w:t>
                  </w:r>
                </w:p>
              </w:tc>
              <w:tc>
                <w:tcPr>
                  <w:tcW w:w="12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19B406F9">
                  <w:pPr>
                    <w:spacing w:line="240" w:lineRule="auto"/>
                    <w:jc w:val="center"/>
                    <w:rPr>
                      <w:rFonts w:hint="default" w:ascii="宋体" w:hAnsi="宋体" w:eastAsia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  <w:t>权属及证号</w:t>
                  </w:r>
                </w:p>
              </w:tc>
              <w:tc>
                <w:tcPr>
                  <w:tcW w:w="107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48CDD6FE">
                  <w:pPr>
                    <w:spacing w:line="240" w:lineRule="auto"/>
                    <w:jc w:val="center"/>
                    <w:rPr>
                      <w:rFonts w:hint="default" w:ascii="宋体" w:hAnsi="宋体" w:eastAsia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  <w:t>评估机构</w:t>
                  </w:r>
                </w:p>
              </w:tc>
              <w:tc>
                <w:tcPr>
                  <w:tcW w:w="9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1AC9E45">
                  <w:pPr>
                    <w:spacing w:line="240" w:lineRule="auto"/>
                    <w:jc w:val="center"/>
                    <w:rPr>
                      <w:rFonts w:hint="default" w:ascii="宋体" w:hAnsi="宋体" w:eastAsia="宋体" w:cs="宋体"/>
                      <w:b/>
                      <w:sz w:val="18"/>
                      <w:szCs w:val="18"/>
                      <w:highlight w:val="none"/>
                      <w:lang w:val="en-US"/>
                    </w:rPr>
                  </w:pPr>
                  <w:r>
                    <w:rPr>
                      <w:rFonts w:hint="eastAsia" w:ascii="宋体" w:hAnsi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  <w:t>评估时间</w:t>
                  </w:r>
                </w:p>
              </w:tc>
              <w:tc>
                <w:tcPr>
                  <w:tcW w:w="100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521AE479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  <w:t>评估净值</w:t>
                  </w:r>
                </w:p>
              </w:tc>
              <w:tc>
                <w:tcPr>
                  <w:tcW w:w="87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5B845581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t>抵押率</w:t>
                  </w:r>
                </w:p>
              </w:tc>
              <w:tc>
                <w:tcPr>
                  <w:tcW w:w="130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C7110E0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  <w:t>自用/</w:t>
                  </w: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  <w:lang w:eastAsia="zh-CN"/>
                    </w:rPr>
                    <w:t>出租</w:t>
                  </w: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  <w:t>/空置</w:t>
                  </w: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cr/>
                  </w:r>
                </w:p>
              </w:tc>
            </w:tr>
            <w:tr w14:paraId="6EC8982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8" w:hRule="atLeast"/>
                <w:jc w:val="center"/>
              </w:trPr>
              <w:tc>
                <w:tcPr>
                  <w:tcW w:w="146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026F75C5">
                  <w:pPr>
                    <w:spacing w:line="240" w:lineRule="auto"/>
                    <w:jc w:val="left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81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7095C5EC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85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5C5C4CC3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2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5423D1A0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07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6C42B2E0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9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6CB1A7C0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00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1A7C0CAF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87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5614C614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30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403984B8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  <w:lang w:eastAsia="zh-CN"/>
                    </w:rPr>
                  </w:pPr>
                </w:p>
              </w:tc>
            </w:tr>
            <w:tr w14:paraId="5A59F70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8" w:hRule="atLeast"/>
                <w:jc w:val="center"/>
              </w:trPr>
              <w:tc>
                <w:tcPr>
                  <w:tcW w:w="146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14D6537F">
                  <w:pPr>
                    <w:spacing w:line="240" w:lineRule="auto"/>
                    <w:jc w:val="left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81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2A610369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85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527B8DA0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2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707E2A6C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07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3E9AF0B9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9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1BFDD615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00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198D7FD4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87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1D9630DE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30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3FBF67B3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</w:tr>
            <w:tr w14:paraId="6386670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9" w:hRule="atLeast"/>
                <w:jc w:val="center"/>
              </w:trPr>
              <w:tc>
                <w:tcPr>
                  <w:tcW w:w="146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45F3DB0B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t>合计</w:t>
                  </w:r>
                </w:p>
              </w:tc>
              <w:tc>
                <w:tcPr>
                  <w:tcW w:w="81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19D3B6B9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t>/</w:t>
                  </w:r>
                </w:p>
              </w:tc>
              <w:tc>
                <w:tcPr>
                  <w:tcW w:w="85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2844C50E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t>2523</w:t>
                  </w:r>
                </w:p>
              </w:tc>
              <w:tc>
                <w:tcPr>
                  <w:tcW w:w="12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113CB2C0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t>福州大学国家科技园8号楼5层</w:t>
                  </w:r>
                </w:p>
              </w:tc>
              <w:tc>
                <w:tcPr>
                  <w:tcW w:w="107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14701F9B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t>/</w:t>
                  </w:r>
                </w:p>
              </w:tc>
              <w:tc>
                <w:tcPr>
                  <w:tcW w:w="9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6305A826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t>/</w:t>
                  </w:r>
                </w:p>
              </w:tc>
              <w:tc>
                <w:tcPr>
                  <w:tcW w:w="100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29DA3AB1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t>920</w:t>
                  </w:r>
                </w:p>
              </w:tc>
              <w:tc>
                <w:tcPr>
                  <w:tcW w:w="87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771E035D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t>/</w:t>
                  </w:r>
                </w:p>
              </w:tc>
              <w:tc>
                <w:tcPr>
                  <w:tcW w:w="130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669E44DC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t>/</w:t>
                  </w:r>
                </w:p>
              </w:tc>
            </w:tr>
          </w:tbl>
          <w:p w14:paraId="33A8B88A">
            <w:pPr>
              <w:widowControl w:val="0"/>
              <w:numPr>
                <w:ilvl w:val="0"/>
                <w:numId w:val="0"/>
              </w:numPr>
              <w:spacing w:line="240" w:lineRule="auto"/>
              <w:ind w:leftChars="0" w:firstLine="420" w:firstLineChars="200"/>
              <w:jc w:val="both"/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  <w:t>备注：“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类型”根据产证信息填写住宅、办公、厂房等房屋用途；“面积”填写房屋的建筑面积。</w:t>
            </w:r>
          </w:p>
          <w:p w14:paraId="61791684">
            <w:pPr>
              <w:widowControl w:val="0"/>
              <w:numPr>
                <w:ilvl w:val="0"/>
                <w:numId w:val="0"/>
              </w:numPr>
              <w:spacing w:line="240" w:lineRule="auto"/>
              <w:ind w:leftChars="0" w:firstLine="420" w:firstLineChars="200"/>
              <w:jc w:val="both"/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其他补充说明：（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①抵押物土地性质不是“出让”的应重点说明；②如已对外出租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应说明承租人是否同意放弃优先受让权；③如为个人住宅应说明权利人别处可供居住的房屋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  <w:lang w:eastAsia="zh-CN"/>
              </w:rPr>
              <w:t>（非唯一住宅说明）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。</w:t>
            </w:r>
          </w:p>
          <w:p w14:paraId="027D0FF2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z w:val="21"/>
                <w:szCs w:val="21"/>
                <w:highlight w:val="none"/>
                <w:lang w:val="en-US" w:eastAsia="zh-CN"/>
              </w:rPr>
              <w:t>2.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公司担保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val="en-US" w:eastAsia="zh-CN"/>
              </w:rPr>
              <w:t>如涉及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：</w:t>
            </w:r>
          </w:p>
          <w:p w14:paraId="0F2B1FC8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①保证人基本信息：成立日期、注册资本及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实收资本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、法人代表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eastAsia="zh-CN"/>
              </w:rPr>
              <w:t>、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经营场所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（坐落地点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、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场地面积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、自有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或租用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、是否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已对外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抵押）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；</w:t>
            </w:r>
          </w:p>
          <w:p w14:paraId="62F95C79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default" w:ascii="宋体" w:hAnsi="宋体" w:eastAsia="宋体" w:cs="宋体"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②保证人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  <w:lang w:eastAsia="zh-CN"/>
              </w:rPr>
              <w:t>化型及</w:t>
            </w:r>
            <w:r>
              <w:rPr>
                <w:rFonts w:hint="eastAsia" w:ascii="宋体" w:hAnsi="宋体" w:eastAsia="宋体" w:cs="宋体"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  <w:t xml:space="preserve">对公PD </w:t>
            </w:r>
            <w:r>
              <w:rPr>
                <w:rFonts w:hint="eastAsia" w:ascii="宋体" w:hAnsi="宋体" w:eastAsia="宋体" w:cs="宋体"/>
                <w:snapToGrid w:val="0"/>
                <w:kern w:val="0"/>
                <w:sz w:val="21"/>
                <w:szCs w:val="21"/>
                <w:highlight w:val="none"/>
                <w:u w:val="none"/>
                <w:lang w:val="en-US" w:eastAsia="zh-CN" w:bidi="ar-SA"/>
              </w:rPr>
              <w:t>X级</w:t>
            </w:r>
            <w:r>
              <w:rPr>
                <w:rFonts w:hint="eastAsia" w:ascii="宋体" w:hAnsi="宋体" w:eastAsia="宋体" w:cs="宋体"/>
                <w:snapToGrid w:val="0"/>
                <w:kern w:val="0"/>
                <w:sz w:val="21"/>
                <w:szCs w:val="21"/>
                <w:highlight w:val="none"/>
                <w:u w:val="single"/>
                <w:lang w:val="en-US" w:eastAsia="zh-CN" w:bidi="ar-SA"/>
              </w:rPr>
              <w:t>（注意是否符合保证人准入要求）</w:t>
            </w:r>
          </w:p>
          <w:p w14:paraId="4FB2F005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③保证人主要经营情况；</w:t>
            </w:r>
          </w:p>
          <w:p w14:paraId="1ECFCA73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kern w:val="2"/>
                <w:sz w:val="21"/>
                <w:szCs w:val="21"/>
                <w:highlight w:val="none"/>
              </w:rPr>
              <w:t>④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保证人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征信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信息（银行授信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业务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品种、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敞口提用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余额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eastAsia="zh-CN"/>
              </w:rPr>
              <w:t>、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对外担保余额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，不良记录等）；</w:t>
            </w:r>
          </w:p>
          <w:p w14:paraId="192DC78C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kern w:val="2"/>
                <w:sz w:val="21"/>
                <w:szCs w:val="21"/>
                <w:highlight w:val="none"/>
              </w:rPr>
              <w:t>⑤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主要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财务指标（请填写下表）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。</w:t>
            </w:r>
          </w:p>
          <w:tbl>
            <w:tblPr>
              <w:tblStyle w:val="13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56"/>
              <w:gridCol w:w="756"/>
              <w:gridCol w:w="756"/>
              <w:gridCol w:w="936"/>
              <w:gridCol w:w="756"/>
              <w:gridCol w:w="756"/>
              <w:gridCol w:w="1116"/>
            </w:tblGrid>
            <w:tr w14:paraId="6CD9FC0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83" w:hRule="atLeast"/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4075997B">
                  <w:pPr>
                    <w:snapToGrid w:val="0"/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年份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FDD7991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  <w:t>总资产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1991DAA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  <w:t>净资产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299A5A5">
                  <w:pPr>
                    <w:snapToGrid w:val="0"/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  <w:t>销售收入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A72B2F7">
                  <w:pPr>
                    <w:snapToGrid w:val="0"/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  <w:t>毛利率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EB6D537">
                  <w:pPr>
                    <w:snapToGrid w:val="0"/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  <w:t>净利润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6C9251D">
                  <w:pPr>
                    <w:snapToGrid w:val="0"/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  <w:t>资产负债率</w:t>
                  </w:r>
                </w:p>
              </w:tc>
            </w:tr>
            <w:tr w14:paraId="5FE4EBF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83" w:hRule="atLeast"/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182A6994">
                  <w:pPr>
                    <w:snapToGrid w:val="0"/>
                    <w:spacing w:line="240" w:lineRule="auto"/>
                    <w:jc w:val="center"/>
                    <w:rPr>
                      <w:rFonts w:hint="default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2023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7EFEDF9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17940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BBA8341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8927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28D0021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12130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538E1CA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27.3%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3507EDF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393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D966948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50.25%</w:t>
                  </w:r>
                </w:p>
              </w:tc>
            </w:tr>
            <w:tr w14:paraId="2621984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83" w:hRule="atLeast"/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7BB58F14">
                  <w:pPr>
                    <w:snapToGrid w:val="0"/>
                    <w:spacing w:line="240" w:lineRule="auto"/>
                    <w:jc w:val="center"/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2024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9A8F79A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18575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21F4AC8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9256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53CF650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8712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69CDD7E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38.8%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72369BE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329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39549615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50.17%</w:t>
                  </w:r>
                </w:p>
              </w:tc>
            </w:tr>
            <w:tr w14:paraId="4AE053E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83" w:hRule="atLeast"/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54EA4411">
                  <w:pPr>
                    <w:snapToGrid w:val="0"/>
                    <w:spacing w:line="240" w:lineRule="auto"/>
                    <w:jc w:val="center"/>
                    <w:rPr>
                      <w:rFonts w:hint="default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2025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4F87A57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16956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B1D2BB0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9749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815C032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10010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937CC66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38.02%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68725E9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494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3E05C034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42.5%</w:t>
                  </w:r>
                </w:p>
              </w:tc>
            </w:tr>
            <w:tr w14:paraId="7F7EEAA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8" w:hRule="atLeast"/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5545E239">
                  <w:pPr>
                    <w:snapToGrid w:val="0"/>
                    <w:spacing w:line="240" w:lineRule="auto"/>
                    <w:jc w:val="center"/>
                    <w:rPr>
                      <w:rFonts w:hint="default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2025.X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B9DC352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6D465F4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DA839B2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64BB7B6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D68CD95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BFB6235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</w:p>
              </w:tc>
            </w:tr>
          </w:tbl>
          <w:p w14:paraId="1BB3F6B6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eastAsia" w:ascii="方正仿宋_GBK" w:hAnsi="方正仿宋_GBK" w:eastAsia="方正仿宋_GBK" w:cs="方正仿宋_GBK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⑥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其他：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eastAsia="zh-CN"/>
              </w:rPr>
              <w:t>风险信息情况、涉诉等</w:t>
            </w:r>
          </w:p>
          <w:p w14:paraId="31380E80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color w:val="auto"/>
                <w:sz w:val="21"/>
                <w:szCs w:val="21"/>
                <w:highlight w:val="none"/>
                <w:lang w:val="en-US" w:eastAsia="zh-CN"/>
              </w:rPr>
              <w:t>3.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</w:rPr>
              <w:t>我行认可的专业担保公司担保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  <w:lang w:val="en-US" w:eastAsia="zh-CN"/>
              </w:rPr>
              <w:t>如</w:t>
            </w:r>
            <w:r>
              <w:rPr>
                <w:rFonts w:hint="eastAsia" w:ascii="宋体" w:hAnsi="宋体" w:cs="宋体"/>
                <w:b/>
                <w:color w:val="auto"/>
                <w:sz w:val="21"/>
                <w:szCs w:val="21"/>
                <w:highlight w:val="none"/>
                <w:lang w:val="en-US" w:eastAsia="zh-CN"/>
              </w:rPr>
              <w:t>涉及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  <w:t>：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</w:rPr>
              <w:t>简要阐述我行内部审批结论（额度、风险分担比例、放大倍数、单户上限等），并说明截止上报日该担保公司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  <w:lang w:val="en-US" w:eastAsia="zh-CN"/>
              </w:rPr>
              <w:t>最新担保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</w:rPr>
              <w:t>情况是否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  <w:lang w:val="en-US" w:eastAsia="zh-CN"/>
              </w:rPr>
              <w:t>符合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</w:rPr>
              <w:t>要求（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  <w:lang w:val="en-US" w:eastAsia="zh-CN"/>
              </w:rPr>
              <w:t>包括：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</w:rPr>
              <w:t>对外担保总额、我行担保余额、净资产和担保倍率等）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</w:rPr>
              <w:t>本次担保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  <w:lang w:val="en-US" w:eastAsia="zh-CN"/>
              </w:rPr>
              <w:t>是否符合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</w:rPr>
              <w:t>准入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  <w:lang w:val="en-US" w:eastAsia="zh-CN"/>
              </w:rPr>
              <w:t>要求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</w:rPr>
              <w:t>。</w:t>
            </w:r>
          </w:p>
          <w:p w14:paraId="7EC7AD71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z w:val="21"/>
                <w:szCs w:val="21"/>
                <w:highlight w:val="none"/>
                <w:lang w:val="en-US" w:eastAsia="zh-CN"/>
              </w:rPr>
              <w:t>4.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个人担保</w:t>
            </w:r>
            <w:r>
              <w:rPr>
                <w:rFonts w:hint="eastAsia" w:ascii="宋体" w:hAnsi="宋体" w:cs="宋体"/>
                <w:b/>
                <w:sz w:val="21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sz w:val="21"/>
                <w:szCs w:val="21"/>
                <w:highlight w:val="none"/>
                <w:lang w:val="en-US" w:eastAsia="zh-CN"/>
              </w:rPr>
              <w:t>如：实控人及配偶</w:t>
            </w:r>
            <w:r>
              <w:rPr>
                <w:rFonts w:hint="eastAsia" w:ascii="宋体" w:hAnsi="宋体" w:cs="宋体"/>
                <w:b/>
                <w:sz w:val="21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。</w:t>
            </w:r>
          </w:p>
          <w:p w14:paraId="09E5C6EF">
            <w:p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z w:val="21"/>
                <w:szCs w:val="21"/>
                <w:highlight w:val="none"/>
                <w:lang w:val="en-US" w:eastAsia="zh-CN"/>
              </w:rPr>
              <w:t>5.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信用方式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val="en-US" w:eastAsia="zh-CN"/>
              </w:rPr>
              <w:t>简述理由。注：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2"/>
                <w:sz w:val="21"/>
                <w:szCs w:val="21"/>
                <w:highlight w:val="none"/>
                <w:lang w:val="en-US" w:eastAsia="zh-CN" w:bidi="ar-SA"/>
              </w:rPr>
              <w:t>PD为9-10级的，需阐述有效可行的风险缓释措施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。</w:t>
            </w:r>
          </w:p>
          <w:p w14:paraId="615FBFA9">
            <w:pPr>
              <w:pStyle w:val="11"/>
              <w:rPr>
                <w:rFonts w:hint="default" w:ascii="宋体" w:hAnsi="宋体" w:eastAsia="宋体" w:cs="宋体"/>
                <w:i w:val="0"/>
                <w:iCs w:val="0"/>
                <w:caps w:val="0"/>
                <w:spacing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  <w:p w14:paraId="7FC4DC80">
            <w:pPr>
              <w:widowControl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jc w:val="left"/>
              <w:textAlignment w:val="baseline"/>
              <w:rPr>
                <w:rFonts w:hint="default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（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十一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）经营单位授信申报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结论及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方案：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围绕“现金流、杠杆率、可持续、垒小户、配结算、强担保”六要素展开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eastAsia="zh-CN"/>
              </w:rPr>
              <w:t>，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基于“六要素”综合评判客户是否准入，如何设置合理授信方案及贷后管控措施）</w:t>
            </w:r>
          </w:p>
          <w:p w14:paraId="068BDD9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both"/>
              <w:textAlignment w:val="auto"/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</w:rPr>
              <w:t>1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lang w:val="en-US" w:eastAsia="zh-CN"/>
              </w:rPr>
              <w:t>.</w:t>
            </w: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  <w:lang w:val="en-US" w:eastAsia="zh-CN"/>
              </w:rPr>
              <w:t>综合</w:t>
            </w: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</w:rPr>
              <w:t>评价</w:t>
            </w: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  <w:lang w:val="en-US" w:eastAsia="zh-CN"/>
              </w:rPr>
              <w:t>围绕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lang w:val="en-US" w:eastAsia="zh-CN"/>
              </w:rPr>
              <w:t>“</w:t>
            </w: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  <w:lang w:val="en-US" w:eastAsia="zh-CN"/>
              </w:rPr>
              <w:t>六要素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lang w:val="en-US" w:eastAsia="zh-CN"/>
              </w:rPr>
              <w:t>”</w:t>
            </w: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lang w:eastAsia="zh-CN"/>
              </w:rPr>
              <w:t>：</w:t>
            </w:r>
          </w:p>
          <w:p w14:paraId="6326386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both"/>
              <w:textAlignment w:val="auto"/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现金流：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借款人2022年经营性现金流-739万元，2023年502万元，2024年按企业自编流量表也呈流入状态。2025年预计与2024年无重大变化，现金流能平衡。公司每月现金流入1000万元左右，日常开销流出900万元左右，账上资金余额维持在100万元左右，能维持日常经营周转。</w:t>
            </w:r>
          </w:p>
          <w:p w14:paraId="4FF7897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both"/>
              <w:textAlignment w:val="auto"/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杠杆率: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借款人负债率一般在65-70%之间，流动比在1.4-1.5，整体比较稳定，综合评判该公司具备偿还贷款本息的能力。</w:t>
            </w:r>
          </w:p>
          <w:p w14:paraId="1882DF71">
            <w:commentRangeStart w:id="23"/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both"/>
              <w:textAlignment w:val="auto"/>
              <w:rPr>
                <w:rFonts w:hint="default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可持续：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借款人成立时间较长，技术先进，订单稳定，部分订单会外发加工，产能已满负荷，2025年正在考虑扩大经营地增加产能，公司人员配备齐全，现有240多名员工，其法人就是该公司的技术骨干，研发团队领头人均是从事____行业多年的专业人员，公司可持续性发展趋势良好。</w:t>
            </w:r>
            <w:commentRangeEnd w:id="23"/>
            <w:r>
              <w:rPr>
                <w:rStyle w:val="CommentReference"/>
              </w:rPr>
              <w:commentReference w:id="23"/>
            </w:r>
          </w:p>
          <w:p w14:paraId="6C1C120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both"/>
              <w:textAlignment w:val="auto"/>
              <w:rPr>
                <w:rFonts w:hint="default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垒小户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（多头贷款、交叉授信、超融）：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该公司现有合作银行4家，短期贷款2300万元，均是短贷产品。我行此次申请敞口额度1000万元，其中500万元用于补充流动资金需求，故最终整体合作银行仍维持4家，短期贷款2800万元。公司名下无房产，现有固定资产1300万元大部分是生产设备。该公司成立时间较长，上下游客户稳定且较优质，主要生产模具，研发和生产能力较强，团队专业能力较强，法人及团队长经验丰富，企业抗风险能力较强，不存在融资银行垒小户现象。</w:t>
            </w:r>
          </w:p>
          <w:p w14:paraId="282CB97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both"/>
              <w:textAlignment w:val="auto"/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配结算：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借款人在我行开户时间较长，由于近两年在我行贷款提用不多，整体结算减少，后续将加强营销结算和代发业务。</w:t>
            </w:r>
          </w:p>
          <w:p w14:paraId="5BDB992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both"/>
              <w:textAlignment w:val="auto"/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强担保：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该公司名下无房产，他行贷款均是信用方式，我行此次申请授信敞口1000万，其中500万元由实控人个人房产抵押，剩余500万元为信用方式，并追加实控人个人连带责任保证。</w:t>
            </w:r>
          </w:p>
          <w:p w14:paraId="340E9C0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both"/>
              <w:textAlignment w:val="auto"/>
              <w:rPr>
                <w:rFonts w:hint="default" w:ascii="宋体" w:hAnsi="宋体" w:eastAsia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基于以上六要素综合评判，借款人予以准入。</w:t>
            </w:r>
          </w:p>
          <w:p w14:paraId="52F81D45">
            <w:pPr>
              <w:widowControl w:val="0"/>
              <w:spacing w:line="240" w:lineRule="auto"/>
              <w:jc w:val="both"/>
              <w:rPr>
                <w:rFonts w:hint="default" w:ascii="宋体" w:hAnsi="宋体" w:eastAsia="宋体" w:cs="宋体"/>
                <w:kern w:val="2"/>
                <w:sz w:val="21"/>
                <w:szCs w:val="21"/>
                <w:highlight w:val="none"/>
                <w:lang w:val="en-US" w:eastAsia="zh-CN"/>
              </w:rPr>
            </w:pPr>
          </w:p>
          <w:p w14:paraId="2003E6DE">
            <w:commentRangeStart w:id="24"/>
            <w:pPr>
              <w:widowControl w:val="0"/>
              <w:spacing w:line="240" w:lineRule="auto"/>
              <w:ind w:firstLine="422" w:firstLineChars="20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</w:rPr>
              <w:t>2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lang w:eastAsia="zh-CN"/>
              </w:rPr>
              <w:t>.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lang w:val="en-US" w:eastAsia="zh-CN"/>
              </w:rPr>
              <w:t>申报</w:t>
            </w: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</w:rPr>
              <w:t>授信</w:t>
            </w: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  <w:lang w:val="en-US" w:eastAsia="zh-CN"/>
              </w:rPr>
              <w:t>方案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lang w:eastAsia="zh-CN"/>
              </w:rPr>
              <w:t>：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  <w:highlight w:val="none"/>
                <w:u w:val="single"/>
              </w:rPr>
              <w:t>拟申请给予</w:t>
            </w:r>
            <w:r>
              <w:rPr>
                <w:rFonts w:hint="eastAsia" w:ascii="宋体" w:hAnsi="宋体"/>
                <w:highlight w:val="none"/>
                <w:u w:val="single"/>
                <w:lang w:val="en-US" w:eastAsia="zh-CN"/>
              </w:rPr>
              <w:t>借款人授信敞口1000万元，____     。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u w:val="single"/>
                <w:lang w:val="en-US" w:eastAsia="zh-CN"/>
              </w:rPr>
              <w:t xml:space="preserve"> </w:t>
            </w:r>
            <w:commentRangeEnd w:id="24"/>
            <w:r>
              <w:rPr>
                <w:rStyle w:val="CommentReference"/>
              </w:rPr>
              <w:commentReference w:id="24"/>
            </w:r>
          </w:p>
          <w:p w14:paraId="38E6AC17">
            <w:pPr>
              <w:adjustRightInd w:val="0"/>
              <w:snapToGrid w:val="0"/>
              <w:spacing w:before="93" w:beforeLines="30" w:after="93" w:afterLines="30"/>
              <w:rPr>
                <w:rFonts w:hint="eastAsia" w:ascii="宋体" w:hAnsi="宋体" w:cs="宋体"/>
                <w:b/>
                <w:snapToGrid w:val="0"/>
                <w:color w:val="auto"/>
                <w:kern w:val="0"/>
                <w:szCs w:val="21"/>
                <w:highlight w:val="cyan"/>
              </w:rPr>
            </w:pPr>
          </w:p>
          <w:p w14:paraId="196DEADF">
            <w:pPr>
              <w:adjustRightInd w:val="0"/>
              <w:snapToGrid w:val="0"/>
              <w:spacing w:before="93" w:beforeLines="30" w:after="93" w:afterLines="30"/>
              <w:rPr>
                <w:rFonts w:hint="eastAsia" w:ascii="宋体" w:hAnsi="宋体" w:cs="宋体"/>
                <w:bCs/>
                <w:snapToGrid w:val="0"/>
                <w:color w:val="auto"/>
                <w:kern w:val="0"/>
                <w:szCs w:val="21"/>
                <w:highlight w:val="cyan"/>
              </w:rPr>
            </w:pPr>
            <w:r>
              <w:rPr>
                <w:rFonts w:hint="eastAsia" w:ascii="宋体" w:hAnsi="宋体" w:cs="宋体"/>
                <w:b/>
                <w:snapToGrid w:val="0"/>
                <w:color w:val="auto"/>
                <w:kern w:val="0"/>
                <w:szCs w:val="21"/>
                <w:highlight w:val="cyan"/>
              </w:rPr>
              <w:t>尽职</w:t>
            </w:r>
            <w:r>
              <w:rPr>
                <w:rFonts w:hint="eastAsia" w:ascii="宋体" w:hAnsi="宋体" w:cs="宋体"/>
                <w:b/>
                <w:snapToGrid w:val="0"/>
                <w:color w:val="auto"/>
                <w:kern w:val="0"/>
                <w:szCs w:val="21"/>
                <w:highlight w:val="cyan"/>
                <w:lang w:val="en-US" w:eastAsia="zh-CN"/>
              </w:rPr>
              <w:t>调查</w:t>
            </w:r>
            <w:r>
              <w:rPr>
                <w:rFonts w:hint="eastAsia" w:ascii="宋体" w:hAnsi="宋体" w:cs="宋体"/>
                <w:b/>
                <w:snapToGrid w:val="0"/>
                <w:color w:val="auto"/>
                <w:kern w:val="0"/>
                <w:szCs w:val="21"/>
                <w:highlight w:val="cyan"/>
              </w:rPr>
              <w:t>：经营单位对上述材料真实性负责。</w:t>
            </w:r>
          </w:p>
          <w:p w14:paraId="6483A6E1">
            <w:commentRangeStart w:id="25"/>
            <w:pPr>
              <w:adjustRightInd w:val="0"/>
              <w:snapToGrid w:val="0"/>
              <w:spacing w:before="93" w:beforeLines="30" w:after="93" w:afterLines="30"/>
              <w:ind w:firstLine="420" w:firstLineChars="200"/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</w:pP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</w:rPr>
              <w:t>客户经理：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 xml:space="preserve">       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日期：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</w:t>
            </w:r>
            <w:commentRangeEnd w:id="25"/>
            <w:r>
              <w:rPr>
                <w:rStyle w:val="CommentReference"/>
              </w:rPr>
              <w:commentReference w:id="25"/>
            </w:r>
          </w:p>
          <w:p w14:paraId="6AC425A6">
            <w:commentRangeStart w:id="26"/>
            <w:pPr>
              <w:adjustRightInd w:val="0"/>
              <w:snapToGrid w:val="0"/>
              <w:spacing w:before="93" w:beforeLines="30" w:after="93" w:afterLines="30"/>
              <w:ind w:firstLine="420" w:firstLineChars="200"/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共同调查人</w:t>
            </w:r>
            <w:r>
              <w:rPr>
                <w:rFonts w:hint="eastAsia" w:ascii="宋体" w:hAnsi="宋体" w:cs="宋体"/>
                <w:b w:val="0"/>
                <w:bCs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: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none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none"/>
                <w:lang w:val="en-US" w:eastAsia="zh-CN"/>
              </w:rPr>
              <w:t xml:space="preserve">       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日期：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     </w:t>
            </w:r>
            <w:commentRangeEnd w:id="26"/>
            <w:r>
              <w:rPr>
                <w:rStyle w:val="CommentReference"/>
              </w:rPr>
              <w:commentReference w:id="26"/>
            </w:r>
          </w:p>
          <w:p w14:paraId="2FC82B07">
            <w:commentRangeStart w:id="27"/>
            <w:pPr>
              <w:adjustRightInd w:val="0"/>
              <w:snapToGrid w:val="0"/>
              <w:spacing w:before="93" w:beforeLines="30" w:after="93" w:afterLines="30"/>
              <w:ind w:firstLine="420" w:firstLineChars="200"/>
              <w:rPr>
                <w:rFonts w:hint="default" w:ascii="宋体" w:hAnsi="宋体" w:eastAsia="宋体" w:cs="宋体"/>
                <w:b w:val="0"/>
                <w:bCs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管理经理/二级支行行长: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 xml:space="preserve">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none"/>
                <w:lang w:val="en-US" w:eastAsia="zh-CN"/>
              </w:rPr>
              <w:t xml:space="preserve">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日期：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</w:t>
            </w:r>
            <w:commentRangeEnd w:id="27"/>
            <w:r>
              <w:rPr>
                <w:rStyle w:val="CommentReference"/>
              </w:rPr>
              <w:commentReference w:id="27"/>
            </w:r>
          </w:p>
          <w:p w14:paraId="269107E9">
            <w:commentRangeStart w:id="28"/>
            <w:pPr>
              <w:adjustRightInd w:val="0"/>
              <w:snapToGrid w:val="0"/>
              <w:spacing w:before="93" w:beforeLines="30" w:after="93" w:afterLines="30"/>
              <w:ind w:firstLine="420" w:firstLineChars="200"/>
              <w:rPr>
                <w:rFonts w:hint="eastAsia"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分管行长：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 xml:space="preserve">                          日期：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</w:t>
            </w:r>
            <w:commentRangeEnd w:id="28"/>
            <w:r>
              <w:rPr>
                <w:rStyle w:val="CommentReference"/>
              </w:rPr>
              <w:commentReference w:id="28"/>
            </w:r>
          </w:p>
          <w:p w14:paraId="3096CC3B">
            <w:commentRangeStart w:id="29"/>
            <w:pPr>
              <w:ind w:firstLine="420" w:firstLineChars="200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行长：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 xml:space="preserve">                          日期：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</w:t>
            </w:r>
            <w:commentRangeEnd w:id="29"/>
            <w:r>
              <w:rPr>
                <w:rStyle w:val="CommentReference"/>
              </w:rPr>
              <w:commentReference w:id="29"/>
            </w:r>
          </w:p>
        </w:tc>
      </w:tr>
      <w:tr w14:paraId="6D61B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1" w:hRule="atLeast"/>
          <w:jc w:val="center"/>
        </w:trPr>
        <w:tc>
          <w:tcPr>
            <w:tcW w:w="110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17DA78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省分行（辖行）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普惠部审查岗意见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可另附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：</w:t>
            </w:r>
          </w:p>
          <w:p w14:paraId="3BF0CB64">
            <w:pPr>
              <w:pStyle w:val="11"/>
              <w:numPr>
                <w:ilvl w:val="0"/>
                <w:numId w:val="1"/>
              </w:numPr>
              <w:ind w:left="420" w:leftChars="0" w:hanging="420" w:firstLineChars="0"/>
              <w:rPr>
                <w:rFonts w:hint="eastAsia" w:ascii="宋体" w:hAnsi="宋体"/>
                <w:b/>
                <w:color w:val="auto"/>
                <w:kern w:val="2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/>
                <w:b/>
                <w:color w:val="auto"/>
                <w:kern w:val="2"/>
                <w:sz w:val="21"/>
                <w:szCs w:val="21"/>
                <w:highlight w:val="none"/>
                <w:lang w:val="en-US" w:eastAsia="zh-CN"/>
              </w:rPr>
              <w:t>主要风险及</w:t>
            </w:r>
            <w:r>
              <w:rPr>
                <w:rFonts w:hint="eastAsia" w:ascii="宋体" w:hAnsi="宋体"/>
                <w:b/>
                <w:color w:val="auto"/>
                <w:kern w:val="2"/>
                <w:sz w:val="21"/>
                <w:szCs w:val="21"/>
                <w:highlight w:val="none"/>
              </w:rPr>
              <w:t>管控措施</w:t>
            </w:r>
          </w:p>
          <w:p w14:paraId="15B0E221">
            <w:pPr>
              <w:numPr>
                <w:ilvl w:val="0"/>
                <w:numId w:val="1"/>
              </w:numPr>
              <w:ind w:left="420" w:leftChars="0" w:hanging="420" w:firstLineChars="0"/>
              <w:rPr>
                <w:rFonts w:hint="eastAsia"/>
              </w:rPr>
            </w:pPr>
            <w:r>
              <w:rPr>
                <w:rFonts w:hint="eastAsia" w:ascii="国标宋体" w:hAnsi="国标宋体" w:eastAsia="国标宋体" w:cs="国标宋体"/>
                <w:b/>
                <w:color w:val="auto"/>
                <w:kern w:val="2"/>
                <w:sz w:val="21"/>
                <w:szCs w:val="21"/>
                <w:highlight w:val="none"/>
              </w:rPr>
              <w:t>审查审批意见</w:t>
            </w:r>
          </w:p>
          <w:p w14:paraId="4232D210">
            <w:pPr>
              <w:rPr>
                <w:rFonts w:hint="eastAsia"/>
              </w:rPr>
            </w:pPr>
          </w:p>
          <w:p w14:paraId="191D2183">
            <w:pPr>
              <w:rPr>
                <w:rFonts w:hint="eastAsia"/>
              </w:rPr>
            </w:pPr>
          </w:p>
          <w:p w14:paraId="2C1B80E0">
            <w:pPr>
              <w:pStyle w:val="2"/>
              <w:rPr>
                <w:rFonts w:hint="eastAsia"/>
              </w:rPr>
            </w:pPr>
          </w:p>
          <w:p w14:paraId="3B36D497">
            <w:pPr>
              <w:rPr>
                <w:rFonts w:hint="eastAsia"/>
              </w:rPr>
            </w:pPr>
          </w:p>
          <w:p w14:paraId="7515CFF7">
            <w:pPr>
              <w:pStyle w:val="2"/>
              <w:rPr>
                <w:rFonts w:hint="eastAsia"/>
              </w:rPr>
            </w:pPr>
          </w:p>
          <w:p w14:paraId="076F6CB1">
            <w:pPr>
              <w:rPr>
                <w:rFonts w:hint="eastAsia"/>
              </w:rPr>
            </w:pPr>
          </w:p>
          <w:p w14:paraId="1F1034B2">
            <w:pPr>
              <w:pStyle w:val="2"/>
              <w:rPr>
                <w:rFonts w:hint="eastAsia"/>
              </w:rPr>
            </w:pPr>
          </w:p>
          <w:p w14:paraId="5DDA68B5">
            <w:commentRangeStart w:id="30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0" w:beforeAutospacing="1" w:after="100" w:afterAutospacing="1"/>
              <w:ind w:firstLine="3360" w:firstLineChars="16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      审查员：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 xml:space="preserve">       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        日期：  　 年    月    日</w:t>
            </w:r>
            <w:commentRangeEnd w:id="30"/>
            <w:r>
              <w:rPr>
                <w:rStyle w:val="CommentReference"/>
              </w:rPr>
              <w:commentReference w:id="30"/>
            </w:r>
          </w:p>
        </w:tc>
      </w:tr>
      <w:tr w14:paraId="3D39D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  <w:jc w:val="center"/>
        </w:trPr>
        <w:tc>
          <w:tcPr>
            <w:tcW w:w="110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99161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0" w:beforeAutospacing="1" w:after="100" w:afterAutospacing="1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省分行（辖行）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普惠部审批意见：</w:t>
            </w:r>
          </w:p>
          <w:p w14:paraId="02AD351A">
            <w:pPr>
              <w:pStyle w:val="2"/>
              <w:rPr>
                <w:rFonts w:hint="eastAsia"/>
              </w:rPr>
            </w:pPr>
          </w:p>
          <w:p w14:paraId="149CD46A">
            <w:pPr>
              <w:rPr>
                <w:rFonts w:hint="eastAsia"/>
              </w:rPr>
            </w:pPr>
          </w:p>
          <w:p w14:paraId="1575AA1D">
            <w:pPr>
              <w:pStyle w:val="2"/>
              <w:rPr>
                <w:rFonts w:hint="eastAsia"/>
              </w:rPr>
            </w:pPr>
          </w:p>
          <w:p w14:paraId="1D3ADA5F">
            <w:pPr>
              <w:rPr>
                <w:rFonts w:hint="eastAsia"/>
              </w:rPr>
            </w:pPr>
          </w:p>
          <w:p w14:paraId="4940E0C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0" w:beforeAutospacing="1" w:after="100" w:afterAutospacing="1"/>
              <w:ind w:firstLine="3990" w:firstLineChars="19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审批人：    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 xml:space="preserve">      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 日期：  　 年    月    日</w:t>
            </w:r>
          </w:p>
        </w:tc>
      </w:tr>
      <w:tr w14:paraId="5B9D3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1" w:hRule="atLeast"/>
          <w:jc w:val="center"/>
        </w:trPr>
        <w:tc>
          <w:tcPr>
            <w:tcW w:w="110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802B60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0" w:beforeAutospacing="1" w:after="100" w:afterAutospacing="1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省分行（辖行）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分管行长审批意见：</w:t>
            </w:r>
          </w:p>
          <w:p w14:paraId="092FC32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0" w:beforeAutospacing="1" w:after="100" w:afterAutospacing="1"/>
              <w:ind w:firstLine="3360" w:firstLineChars="16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</w:p>
          <w:p w14:paraId="59A37825">
            <w:pPr>
              <w:pStyle w:val="2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</w:p>
          <w:p w14:paraId="5B5FFF65">
            <w:pP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</w:p>
          <w:p w14:paraId="4E5A23FF">
            <w:pPr>
              <w:pStyle w:val="2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</w:p>
          <w:p w14:paraId="5FD459E3">
            <w:pP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</w:p>
          <w:p w14:paraId="15835491">
            <w:pPr>
              <w:pStyle w:val="2"/>
              <w:rPr>
                <w:rFonts w:hint="eastAsia"/>
                <w:lang w:val="en-US" w:eastAsia="zh-CN"/>
              </w:rPr>
            </w:pPr>
          </w:p>
          <w:p w14:paraId="6084C2B8">
            <w:pPr>
              <w:pStyle w:val="2"/>
              <w:rPr>
                <w:rFonts w:hint="eastAsia"/>
                <w:lang w:val="en-US" w:eastAsia="zh-CN"/>
              </w:rPr>
            </w:pPr>
          </w:p>
          <w:p w14:paraId="220DDAE1">
            <w:commentRangeStart w:id="31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0" w:beforeAutospacing="1" w:after="100" w:afterAutospacing="1"/>
              <w:ind w:firstLine="3360" w:firstLineChars="16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分管行长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：  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 xml:space="preserve">      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 日期：  　 年    月    日</w:t>
            </w:r>
            <w:commentRangeEnd w:id="31"/>
            <w:r>
              <w:rPr>
                <w:rStyle w:val="CommentReference"/>
              </w:rPr>
              <w:commentReference w:id="31"/>
            </w:r>
          </w:p>
        </w:tc>
      </w:tr>
    </w:tbl>
    <w:p w14:paraId="1437A6E2">
      <w:pPr>
        <w:rPr>
          <w:rFonts w:ascii="宋体" w:hAnsi="宋体" w:cs="宋体"/>
          <w:sz w:val="28"/>
          <w:szCs w:val="36"/>
        </w:rPr>
      </w:pPr>
    </w:p>
    <w:sectPr>
      <w:footerReference r:id="rId3" w:type="default"/>
      <w:pgSz w:w="11907" w:h="16839"/>
      <w:pgMar w:top="1431" w:right="1640" w:bottom="400" w:left="1600" w:header="0" w:footer="0" w:gutter="0"/>
      <w:lnNumType w:countBy="0" w:distance="360"/>
      <w:cols w:space="720" w:num="1"/>
      <w:docGrid w:type="lines" w:linePitch="312" w:charSpace="0"/>
    </w:sectPr>
  </w:body>
</w:document>
</file>

<file path=word/comments.xml><?xml version="1.0" encoding="utf-8"?>
<w:comments xmlns:w="http://schemas.openxmlformats.org/wordprocessingml/2006/main">
  <w:comment w:id="0" w:author="信贷报告 Agent" w:date="2026-04-03T10:56:14Z" w:initials="Agent">
    <w:p>
      <w:r>
        <w:rPr>
          <w:rStyle w:val="CommentReference"/>
        </w:rPr>
        <w:annotationRef/>
      </w:r>
      <w:r>
        <w:t xml:space="preserve">该处“申报单位”仍为空白，请人工确认。</w:t>
      </w:r>
    </w:p>
  </w:comment>
  <w:comment w:id="1" w:author="信贷报告 Agent" w:date="2026-04-03T10:56:14Z" w:initials="Agent">
    <w:p>
      <w:r>
        <w:rPr>
          <w:rStyle w:val="CommentReference"/>
        </w:rPr>
        <w:annotationRef/>
      </w:r>
      <w:r>
        <w:t xml:space="preserve">该处“小类）”仍为空白，请人工确认。</w:t>
      </w:r>
    </w:p>
  </w:comment>
  <w:comment w:id="2" w:author="信贷报告 Agent" w:date="2026-04-03T10:56:14Z" w:initials="Agent">
    <w:p>
      <w:r>
        <w:rPr>
          <w:rStyle w:val="CommentReference"/>
        </w:rPr>
        <w:annotationRef/>
      </w:r>
      <w:r>
        <w:t xml:space="preserve">该处“绿通标识”仍为空白，请人工确认。</w:t>
      </w:r>
    </w:p>
  </w:comment>
  <w:comment w:id="3" w:author="信贷报告 Agent" w:date="2026-04-03T10:56:14Z" w:initials="Agent">
    <w:p>
      <w:r>
        <w:rPr>
          <w:rStyle w:val="CommentReference"/>
        </w:rPr>
        <w:annotationRef/>
      </w:r>
      <w:r>
        <w:t xml:space="preserve">该处“企业成立于”仍为空白，请人工确认。</w:t>
      </w:r>
    </w:p>
  </w:comment>
  <w:comment w:id="4" w:author="信贷报告 Agent" w:date="2026-04-03T10:56:14Z" w:initials="Agent">
    <w:p>
      <w:r>
        <w:rPr>
          <w:rStyle w:val="CommentReference"/>
        </w:rPr>
        <w:annotationRef/>
      </w:r>
      <w:r>
        <w:t xml:space="preserve">该处“排污许可证（编号”仍为空白，请人工确认。</w:t>
      </w:r>
    </w:p>
  </w:comment>
  <w:comment w:id="5" w:author="信贷报告 Agent" w:date="2026-04-03T10:56:14Z" w:initials="Agent">
    <w:p>
      <w:r>
        <w:rPr>
          <w:rStyle w:val="CommentReference"/>
        </w:rPr>
        <w:annotationRef/>
      </w:r>
      <w:r>
        <w:t xml:space="preserve">该处“注册资本”仍为空白，请人工确认。</w:t>
      </w:r>
    </w:p>
  </w:comment>
  <w:comment w:id="6" w:author="信贷报告 Agent" w:date="2026-04-03T10:56:14Z" w:initials="Agent">
    <w:p>
      <w:r>
        <w:rPr>
          <w:rStyle w:val="CommentReference"/>
        </w:rPr>
        <w:annotationRef/>
      </w:r>
      <w:r>
        <w:t xml:space="preserve">该处“实控人”仍为空白，请人工确认。</w:t>
      </w:r>
    </w:p>
  </w:comment>
  <w:comment w:id="7" w:author="信贷报告 Agent" w:date="2026-04-03T10:56:14Z" w:initials="Agent">
    <w:p>
      <w:r>
        <w:rPr>
          <w:rStyle w:val="CommentReference"/>
        </w:rPr>
        <w:annotationRef/>
      </w:r>
      <w:r>
        <w:t xml:space="preserve">该处“过往两年企业股权变动情况及变动原因”仍为空白，请人工确认。</w:t>
      </w:r>
    </w:p>
  </w:comment>
  <w:comment w:id="8" w:author="信贷报告 Agent" w:date="2026-04-03T10:56:14Z" w:initials="Agent">
    <w:p>
      <w:r>
        <w:rPr>
          <w:rStyle w:val="CommentReference"/>
        </w:rPr>
        <w:annotationRef/>
      </w:r>
      <w:r>
        <w:t xml:space="preserve">该处“分析原因”仍为空白，请人工确认。</w:t>
      </w:r>
    </w:p>
  </w:comment>
  <w:comment w:id="9" w:author="信贷报告 Agent" w:date="2026-04-03T10:56:14Z" w:initials="Agent">
    <w:p>
      <w:r>
        <w:rPr>
          <w:rStyle w:val="CommentReference"/>
        </w:rPr>
        <w:annotationRef/>
      </w:r>
      <w:r>
        <w:t xml:space="preserve">该处“法定代表人：张”仍为模板占位符，请人工核实。</w:t>
      </w:r>
    </w:p>
  </w:comment>
  <w:comment w:id="10" w:author="信贷报告 Agent" w:date="2026-04-03T10:56:14Z" w:initials="Agent">
    <w:p>
      <w:r>
        <w:rPr>
          <w:rStyle w:val="CommentReference"/>
        </w:rPr>
        <w:annotationRef/>
      </w:r>
      <w:r>
        <w:t xml:space="preserve">该处“合计在”仍为空白，请人工确认。</w:t>
      </w:r>
    </w:p>
  </w:comment>
  <w:comment w:id="11" w:author="信贷报告 Agent" w:date="2026-04-03T10:56:14Z" w:initials="Agent">
    <w:p>
      <w:r>
        <w:rPr>
          <w:rStyle w:val="CommentReference"/>
        </w:rPr>
        <w:annotationRef/>
      </w:r>
      <w:r>
        <w:t xml:space="preserve">该处“公司拥有机器设备约”仍为空白，请人工确认。</w:t>
      </w:r>
    </w:p>
  </w:comment>
  <w:comment w:id="12" w:author="信贷报告 Agent" w:date="2026-04-03T10:56:14Z" w:initials="Agent">
    <w:p>
      <w:r>
        <w:rPr>
          <w:rStyle w:val="CommentReference"/>
        </w:rPr>
        <w:annotationRef/>
      </w:r>
      <w:r>
        <w:t xml:space="preserve">该处“主要上游（前五大）”仍为空白，请人工确认。</w:t>
      </w:r>
    </w:p>
  </w:comment>
  <w:comment w:id="13" w:author="信贷报告 Agent" w:date="2026-04-03T10:56:14Z" w:initials="Agent">
    <w:p>
      <w:r>
        <w:rPr>
          <w:rStyle w:val="CommentReference"/>
        </w:rPr>
        <w:annotationRef/>
      </w:r>
      <w:r>
        <w:t xml:space="preserve">该处“主要下游（前五大）”仍为空白，请人工确认。</w:t>
      </w:r>
    </w:p>
  </w:comment>
  <w:comment w:id="14" w:author="信贷报告 Agent" w:date="2026-04-03T10:56:14Z" w:initials="Agent">
    <w:p>
      <w:r>
        <w:rPr>
          <w:rStyle w:val="CommentReference"/>
        </w:rPr>
        <w:annotationRef/>
      </w:r>
      <w:r>
        <w:t xml:space="preserve">该处“最新在手订单列表”仍为空白，请人工确认。</w:t>
      </w:r>
    </w:p>
  </w:comment>
  <w:comment w:id="15" w:author="信贷报告 Agent" w:date="2026-04-03T10:56:14Z" w:initials="Agent">
    <w:p>
      <w:r>
        <w:rPr>
          <w:rStyle w:val="CommentReference"/>
        </w:rPr>
        <w:annotationRef/>
      </w:r>
      <w:r>
        <w:t xml:space="preserve">该处“因为”仍为空白，请人工确认。</w:t>
      </w:r>
    </w:p>
  </w:comment>
  <w:comment w:id="16" w:author="信贷报告 Agent" w:date="2026-04-03T10:56:14Z" w:initials="Agent">
    <w:p>
      <w:r>
        <w:rPr>
          <w:rStyle w:val="CommentReference"/>
        </w:rPr>
        <w:annotationRef/>
      </w:r>
      <w:r>
        <w:t xml:space="preserve">该处“截至”仍为模板占位符，请人工核实。</w:t>
      </w:r>
    </w:p>
  </w:comment>
  <w:comment w:id="17" w:author="信贷报告 Agent" w:date="2026-04-03T10:56:14Z" w:initials="Agent">
    <w:p>
      <w:r>
        <w:rPr>
          <w:rStyle w:val="CommentReference"/>
        </w:rPr>
        <w:annotationRef/>
      </w:r>
      <w:r>
        <w:t xml:space="preserve">该处“（若有）对外担保情况”仍为空白，请人工确认。</w:t>
      </w:r>
    </w:p>
  </w:comment>
  <w:comment w:id="18" w:author="信贷报告 Agent" w:date="2026-04-03T10:56:14Z" w:initials="Agent">
    <w:p>
      <w:r>
        <w:rPr>
          <w:rStyle w:val="CommentReference"/>
        </w:rPr>
        <w:annotationRef/>
      </w:r>
      <w:r>
        <w:t xml:space="preserve">该处“3.实控人配偶情况： 陈____ ，中国”仍为空白，请人工确认。</w:t>
      </w:r>
    </w:p>
  </w:comment>
  <w:comment w:id="19" w:author="信贷报告 Agent" w:date="2026-04-03T10:56:14Z" w:initials="Agent">
    <w:p>
      <w:r>
        <w:rPr>
          <w:rStyle w:val="CommentReference"/>
        </w:rPr>
        <w:annotationRef/>
      </w:r>
      <w:r>
        <w:t xml:space="preserve">该处“企业在我行日均存款”仍为空白，请人工确认。</w:t>
      </w:r>
    </w:p>
  </w:comment>
  <w:comment w:id="20" w:author="信贷报告 Agent" w:date="2026-04-03T10:56:14Z" w:initials="Agent">
    <w:p>
      <w:r>
        <w:rPr>
          <w:rStyle w:val="CommentReference"/>
        </w:rPr>
        <w:annotationRef/>
      </w:r>
      <w:r>
        <w:t xml:space="preserve">该处“企业在我行可实现日均存款”仍为空白，请人工确认。</w:t>
      </w:r>
    </w:p>
  </w:comment>
  <w:comment w:id="21" w:author="信贷报告 Agent" w:date="2026-04-03T10:56:14Z" w:initials="Agent">
    <w:p>
      <w:r>
        <w:rPr>
          <w:rStyle w:val="CommentReference"/>
        </w:rPr>
        <w:annotationRef/>
      </w:r>
      <w:r>
        <w:t xml:space="preserve">该处“企业营运资金需求”仍为空白，请人工确认。</w:t>
      </w:r>
    </w:p>
  </w:comment>
  <w:comment w:id="22" w:author="信贷报告 Agent" w:date="2026-04-03T10:56:14Z" w:initials="Agent">
    <w:p>
      <w:r>
        <w:rPr>
          <w:rStyle w:val="CommentReference"/>
        </w:rPr>
        <w:annotationRef/>
      </w:r>
      <w:r>
        <w:t xml:space="preserve">该处“变动原因”仍为空白，请人工确认。</w:t>
      </w:r>
    </w:p>
  </w:comment>
  <w:comment w:id="23" w:author="信贷报告 Agent" w:date="2026-04-03T10:56:14Z" w:initials="Agent">
    <w:p>
      <w:r>
        <w:rPr>
          <w:rStyle w:val="CommentReference"/>
        </w:rPr>
        <w:annotationRef/>
      </w:r>
      <w:r>
        <w:t xml:space="preserve">该处“研发团队领头人均是从事”仍为空白，请人工确认。</w:t>
      </w:r>
    </w:p>
  </w:comment>
  <w:comment w:id="24" w:author="信贷报告 Agent" w:date="2026-04-03T10:56:14Z" w:initials="Agent">
    <w:p>
      <w:r>
        <w:rPr>
          <w:rStyle w:val="CommentReference"/>
        </w:rPr>
        <w:annotationRef/>
      </w:r>
      <w:r>
        <w:t xml:space="preserve">该处“2.申报授信方案： 拟申请给予借款人授信”仍为空白，请人工确认。</w:t>
      </w:r>
    </w:p>
  </w:comment>
  <w:comment w:id="25" w:author="信贷报告 Agent" w:date="2026-04-03T10:56:14Z" w:initials="Agent">
    <w:p>
      <w:r>
        <w:rPr>
          <w:rStyle w:val="CommentReference"/>
        </w:rPr>
        <w:annotationRef/>
      </w:r>
      <w:r>
        <w:t xml:space="preserve">该处“客户经理”仍为空白，请人工确认。</w:t>
      </w:r>
    </w:p>
  </w:comment>
  <w:comment w:id="26" w:author="信贷报告 Agent" w:date="2026-04-03T10:56:14Z" w:initials="Agent">
    <w:p>
      <w:r>
        <w:rPr>
          <w:rStyle w:val="CommentReference"/>
        </w:rPr>
        <w:annotationRef/>
      </w:r>
      <w:r>
        <w:t xml:space="preserve">该处“共同调查人”仍为空白，请人工确认。</w:t>
      </w:r>
    </w:p>
  </w:comment>
  <w:comment w:id="27" w:author="信贷报告 Agent" w:date="2026-04-03T10:56:14Z" w:initials="Agent">
    <w:p>
      <w:r>
        <w:rPr>
          <w:rStyle w:val="CommentReference"/>
        </w:rPr>
        <w:annotationRef/>
      </w:r>
      <w:r>
        <w:t xml:space="preserve">该处“二级支行行长”仍为空白，请人工确认。</w:t>
      </w:r>
    </w:p>
  </w:comment>
  <w:comment w:id="28" w:author="信贷报告 Agent" w:date="2026-04-03T10:56:14Z" w:initials="Agent">
    <w:p>
      <w:r>
        <w:rPr>
          <w:rStyle w:val="CommentReference"/>
        </w:rPr>
        <w:annotationRef/>
      </w:r>
      <w:r>
        <w:t xml:space="preserve">该处“分管行长”仍为空白，请人工确认。</w:t>
      </w:r>
    </w:p>
  </w:comment>
  <w:comment w:id="29" w:author="信贷报告 Agent" w:date="2026-04-03T10:56:14Z" w:initials="Agent">
    <w:p>
      <w:r>
        <w:rPr>
          <w:rStyle w:val="CommentReference"/>
        </w:rPr>
        <w:annotationRef/>
      </w:r>
      <w:r>
        <w:t xml:space="preserve">该处“行长”仍为空白，请人工确认。</w:t>
      </w:r>
    </w:p>
  </w:comment>
  <w:comment w:id="30" w:author="信贷报告 Agent" w:date="2026-04-03T10:56:14Z" w:initials="Agent">
    <w:p>
      <w:r>
        <w:rPr>
          <w:rStyle w:val="CommentReference"/>
        </w:rPr>
        <w:annotationRef/>
      </w:r>
      <w:r>
        <w:t xml:space="preserve">该处“审查员”仍为空白，请人工确认。</w:t>
      </w:r>
    </w:p>
  </w:comment>
  <w:comment w:id="31" w:author="信贷报告 Agent" w:date="2026-04-03T10:56:14Z" w:initials="Agent">
    <w:p>
      <w:r>
        <w:rPr>
          <w:rStyle w:val="CommentReference"/>
        </w:rPr>
        <w:annotationRef/>
      </w:r>
      <w:r>
        <w:t xml:space="preserve">该处“分管行长”仍为空白，请人工确认。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仿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国标宋体">
    <w:altName w:val="宋体"/>
    <w:panose1 w:val="02000500000000000000"/>
    <w:charset w:val="86"/>
    <w:family w:val="auto"/>
    <w:pitch w:val="default"/>
    <w:sig w:usb0="00000001" w:usb1="28000000" w:usb2="00000000" w:usb3="00000000" w:csb0="00060007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D670D4">
    <w:pPr>
      <w:spacing w:line="14" w:lineRule="auto"/>
      <w:rPr>
        <w:rFonts w:ascii="Times New Roman"/>
        <w:sz w:val="2"/>
      </w:rPr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F7F6F59"/>
    <w:multiLevelType w:val="singleLevel"/>
    <w:tmpl w:val="6F7F6F5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5E3714"/>
    <w:rsid w:val="00764A8B"/>
    <w:rsid w:val="00A166EE"/>
    <w:rsid w:val="00D90AA0"/>
    <w:rsid w:val="06DB1BB4"/>
    <w:rsid w:val="07B27654"/>
    <w:rsid w:val="07E763E4"/>
    <w:rsid w:val="0BC762E6"/>
    <w:rsid w:val="0D954BD9"/>
    <w:rsid w:val="0EC97A27"/>
    <w:rsid w:val="12E93877"/>
    <w:rsid w:val="14953789"/>
    <w:rsid w:val="158201C9"/>
    <w:rsid w:val="1637656C"/>
    <w:rsid w:val="171C0C53"/>
    <w:rsid w:val="173EF8C1"/>
    <w:rsid w:val="177A55D7"/>
    <w:rsid w:val="17F40B37"/>
    <w:rsid w:val="17FB581B"/>
    <w:rsid w:val="18324D87"/>
    <w:rsid w:val="18D0254B"/>
    <w:rsid w:val="1BFF4D91"/>
    <w:rsid w:val="1C1C6F93"/>
    <w:rsid w:val="1D96A11F"/>
    <w:rsid w:val="1FAF8FBB"/>
    <w:rsid w:val="1FF1A6AF"/>
    <w:rsid w:val="1FF6DC3C"/>
    <w:rsid w:val="1FFF045A"/>
    <w:rsid w:val="27EE74B0"/>
    <w:rsid w:val="28C699E3"/>
    <w:rsid w:val="2A8FE461"/>
    <w:rsid w:val="2B7B0304"/>
    <w:rsid w:val="2BB6058D"/>
    <w:rsid w:val="2C9E0B69"/>
    <w:rsid w:val="2D0614F6"/>
    <w:rsid w:val="2FFB9424"/>
    <w:rsid w:val="30D04E4D"/>
    <w:rsid w:val="30DB0B5F"/>
    <w:rsid w:val="30F1FCF6"/>
    <w:rsid w:val="313D566B"/>
    <w:rsid w:val="33F81E92"/>
    <w:rsid w:val="34864AAC"/>
    <w:rsid w:val="35A5DC4D"/>
    <w:rsid w:val="36846A8F"/>
    <w:rsid w:val="373BBE7D"/>
    <w:rsid w:val="37759545"/>
    <w:rsid w:val="3793C324"/>
    <w:rsid w:val="37E93666"/>
    <w:rsid w:val="38D27C6C"/>
    <w:rsid w:val="39BA7E3D"/>
    <w:rsid w:val="3A1D799F"/>
    <w:rsid w:val="3BDEE4E1"/>
    <w:rsid w:val="3BFAC4BE"/>
    <w:rsid w:val="3BFDBDB4"/>
    <w:rsid w:val="3C0F569F"/>
    <w:rsid w:val="3D57611A"/>
    <w:rsid w:val="3DED5217"/>
    <w:rsid w:val="3DFA07B6"/>
    <w:rsid w:val="3E74B328"/>
    <w:rsid w:val="3F270550"/>
    <w:rsid w:val="3F70FCFD"/>
    <w:rsid w:val="3F7F609F"/>
    <w:rsid w:val="3FBBC75F"/>
    <w:rsid w:val="3FBCBD91"/>
    <w:rsid w:val="3FCDCA15"/>
    <w:rsid w:val="3FDBDE28"/>
    <w:rsid w:val="3FDD5086"/>
    <w:rsid w:val="3FEF1A08"/>
    <w:rsid w:val="43CB5B47"/>
    <w:rsid w:val="4457223E"/>
    <w:rsid w:val="45FDF073"/>
    <w:rsid w:val="47F3ED6F"/>
    <w:rsid w:val="497B672A"/>
    <w:rsid w:val="49B9018B"/>
    <w:rsid w:val="4FD5188D"/>
    <w:rsid w:val="501609F4"/>
    <w:rsid w:val="50627984"/>
    <w:rsid w:val="50DB1139"/>
    <w:rsid w:val="514C4929"/>
    <w:rsid w:val="537E3442"/>
    <w:rsid w:val="53B7A129"/>
    <w:rsid w:val="57523C46"/>
    <w:rsid w:val="57630E24"/>
    <w:rsid w:val="577FF43F"/>
    <w:rsid w:val="579FB2CC"/>
    <w:rsid w:val="57AF1F58"/>
    <w:rsid w:val="57BCB87C"/>
    <w:rsid w:val="57BE9DA5"/>
    <w:rsid w:val="57FA609C"/>
    <w:rsid w:val="57FF7902"/>
    <w:rsid w:val="588340F0"/>
    <w:rsid w:val="5A066DAE"/>
    <w:rsid w:val="5B7467F5"/>
    <w:rsid w:val="5BF472D2"/>
    <w:rsid w:val="5EE3BF08"/>
    <w:rsid w:val="5EE549C7"/>
    <w:rsid w:val="5EFC0AD9"/>
    <w:rsid w:val="5FCF9DAA"/>
    <w:rsid w:val="61F4646E"/>
    <w:rsid w:val="65793A8D"/>
    <w:rsid w:val="66BFA5C4"/>
    <w:rsid w:val="67CDF47D"/>
    <w:rsid w:val="67FE7F83"/>
    <w:rsid w:val="6877E72C"/>
    <w:rsid w:val="69CF1561"/>
    <w:rsid w:val="6A1D064D"/>
    <w:rsid w:val="6BBB34A1"/>
    <w:rsid w:val="6BEF2A7E"/>
    <w:rsid w:val="6D6E0EB8"/>
    <w:rsid w:val="6D9376D1"/>
    <w:rsid w:val="6E5AA136"/>
    <w:rsid w:val="6E6728B5"/>
    <w:rsid w:val="6E82A079"/>
    <w:rsid w:val="6F7EF780"/>
    <w:rsid w:val="6FBD494C"/>
    <w:rsid w:val="6FDE41E7"/>
    <w:rsid w:val="70603282"/>
    <w:rsid w:val="72AD7DE9"/>
    <w:rsid w:val="73FC0773"/>
    <w:rsid w:val="746F82C4"/>
    <w:rsid w:val="749F6B6E"/>
    <w:rsid w:val="74CD1A79"/>
    <w:rsid w:val="74EB867B"/>
    <w:rsid w:val="75025FC3"/>
    <w:rsid w:val="75096B37"/>
    <w:rsid w:val="76A35668"/>
    <w:rsid w:val="76BF2927"/>
    <w:rsid w:val="77CFD1B9"/>
    <w:rsid w:val="77E53724"/>
    <w:rsid w:val="77F6BA3B"/>
    <w:rsid w:val="77FA78CD"/>
    <w:rsid w:val="791FC5D3"/>
    <w:rsid w:val="79CC6043"/>
    <w:rsid w:val="79EAB1FE"/>
    <w:rsid w:val="7AF60429"/>
    <w:rsid w:val="7B37416B"/>
    <w:rsid w:val="7B6F21EA"/>
    <w:rsid w:val="7B7D0DE6"/>
    <w:rsid w:val="7B7F9DFF"/>
    <w:rsid w:val="7BB4D559"/>
    <w:rsid w:val="7BB76175"/>
    <w:rsid w:val="7BBEA13F"/>
    <w:rsid w:val="7BF2C9AF"/>
    <w:rsid w:val="7BF5200F"/>
    <w:rsid w:val="7BFC5776"/>
    <w:rsid w:val="7BFEF90D"/>
    <w:rsid w:val="7BFF90D8"/>
    <w:rsid w:val="7C9DAEF5"/>
    <w:rsid w:val="7CAB857A"/>
    <w:rsid w:val="7D1F8653"/>
    <w:rsid w:val="7D6DD25B"/>
    <w:rsid w:val="7D796FD0"/>
    <w:rsid w:val="7DABF984"/>
    <w:rsid w:val="7DD46EE1"/>
    <w:rsid w:val="7DE71A8A"/>
    <w:rsid w:val="7DFB02C7"/>
    <w:rsid w:val="7DFDE312"/>
    <w:rsid w:val="7E5A887A"/>
    <w:rsid w:val="7E75556D"/>
    <w:rsid w:val="7E7F7EC3"/>
    <w:rsid w:val="7E97E85B"/>
    <w:rsid w:val="7EB7A5BA"/>
    <w:rsid w:val="7EDB0311"/>
    <w:rsid w:val="7F0B3013"/>
    <w:rsid w:val="7F19CC3F"/>
    <w:rsid w:val="7F6F5D1E"/>
    <w:rsid w:val="7F75CA29"/>
    <w:rsid w:val="7FB7E507"/>
    <w:rsid w:val="7FBB8417"/>
    <w:rsid w:val="7FD59CA6"/>
    <w:rsid w:val="7FDE79A3"/>
    <w:rsid w:val="7FDF599D"/>
    <w:rsid w:val="7FE209B4"/>
    <w:rsid w:val="7FFB0597"/>
    <w:rsid w:val="7FFB9568"/>
    <w:rsid w:val="7FFDF2AF"/>
    <w:rsid w:val="7FFE13F7"/>
    <w:rsid w:val="7FFE3B48"/>
    <w:rsid w:val="7FFE6769"/>
    <w:rsid w:val="7FFF4144"/>
    <w:rsid w:val="7FFFA5E9"/>
    <w:rsid w:val="7FFFAB0E"/>
    <w:rsid w:val="9AFDC22D"/>
    <w:rsid w:val="9B7F6633"/>
    <w:rsid w:val="9BF7D46E"/>
    <w:rsid w:val="9BFE7F78"/>
    <w:rsid w:val="9DF6EE3C"/>
    <w:rsid w:val="9F3BFD3A"/>
    <w:rsid w:val="9F6E9328"/>
    <w:rsid w:val="9FCF6C0F"/>
    <w:rsid w:val="A2BBC82A"/>
    <w:rsid w:val="A95F5463"/>
    <w:rsid w:val="ADDF2F43"/>
    <w:rsid w:val="AEBEA1C7"/>
    <w:rsid w:val="AF2B76F3"/>
    <w:rsid w:val="AFFF0EDA"/>
    <w:rsid w:val="B1CAA8EA"/>
    <w:rsid w:val="B37DFDC9"/>
    <w:rsid w:val="B3F7B7F6"/>
    <w:rsid w:val="B6FBF6E5"/>
    <w:rsid w:val="B7CE9CFB"/>
    <w:rsid w:val="B7EEA521"/>
    <w:rsid w:val="B7FB75CC"/>
    <w:rsid w:val="B91E3CE8"/>
    <w:rsid w:val="BBBFF6CE"/>
    <w:rsid w:val="BBDD8E60"/>
    <w:rsid w:val="BBFA39B1"/>
    <w:rsid w:val="BD56C7D7"/>
    <w:rsid w:val="BDB645ED"/>
    <w:rsid w:val="BDE59C8C"/>
    <w:rsid w:val="BDFD2BFC"/>
    <w:rsid w:val="BFBBF616"/>
    <w:rsid w:val="BFBF4B23"/>
    <w:rsid w:val="BFC2706C"/>
    <w:rsid w:val="BFEFDE76"/>
    <w:rsid w:val="BFF80A83"/>
    <w:rsid w:val="BFFF826B"/>
    <w:rsid w:val="BFFFCF0C"/>
    <w:rsid w:val="CAFFF224"/>
    <w:rsid w:val="CBE30829"/>
    <w:rsid w:val="CEEB168C"/>
    <w:rsid w:val="CFB58096"/>
    <w:rsid w:val="CFFD9B9B"/>
    <w:rsid w:val="D4BDD89C"/>
    <w:rsid w:val="D8CF4985"/>
    <w:rsid w:val="DA9FAEA0"/>
    <w:rsid w:val="DBBF06B3"/>
    <w:rsid w:val="DBFADF63"/>
    <w:rsid w:val="DC97FE40"/>
    <w:rsid w:val="DD5D61C1"/>
    <w:rsid w:val="DEBE507F"/>
    <w:rsid w:val="DF7BF9BB"/>
    <w:rsid w:val="DFAF5187"/>
    <w:rsid w:val="E536D225"/>
    <w:rsid w:val="E68FEED7"/>
    <w:rsid w:val="E7BF4536"/>
    <w:rsid w:val="E7FB50B7"/>
    <w:rsid w:val="E90C9038"/>
    <w:rsid w:val="EBBB1A7C"/>
    <w:rsid w:val="EBFF4E77"/>
    <w:rsid w:val="EF571E55"/>
    <w:rsid w:val="F0F318BB"/>
    <w:rsid w:val="F1FEDC16"/>
    <w:rsid w:val="F29B5B29"/>
    <w:rsid w:val="F3B721E5"/>
    <w:rsid w:val="F5BFFC75"/>
    <w:rsid w:val="F5FBF463"/>
    <w:rsid w:val="F5FFEF68"/>
    <w:rsid w:val="F6B6CB5F"/>
    <w:rsid w:val="F6F79D67"/>
    <w:rsid w:val="F6FF59A5"/>
    <w:rsid w:val="F7F55AE5"/>
    <w:rsid w:val="F7F9CB77"/>
    <w:rsid w:val="F7FA6CF9"/>
    <w:rsid w:val="F7FDCC31"/>
    <w:rsid w:val="F7FE7A3C"/>
    <w:rsid w:val="F7FF210A"/>
    <w:rsid w:val="F87AE0FA"/>
    <w:rsid w:val="F8B3ED8C"/>
    <w:rsid w:val="F97E36E3"/>
    <w:rsid w:val="F9BFE6BB"/>
    <w:rsid w:val="FA9BE760"/>
    <w:rsid w:val="FB0EA37A"/>
    <w:rsid w:val="FBABD93E"/>
    <w:rsid w:val="FBAF2E00"/>
    <w:rsid w:val="FBB70D30"/>
    <w:rsid w:val="FBBD53CF"/>
    <w:rsid w:val="FBBFB228"/>
    <w:rsid w:val="FC7BB9D5"/>
    <w:rsid w:val="FC8E76F0"/>
    <w:rsid w:val="FCCFCD11"/>
    <w:rsid w:val="FD735184"/>
    <w:rsid w:val="FD7E90A0"/>
    <w:rsid w:val="FD7F50C5"/>
    <w:rsid w:val="FDDDBF61"/>
    <w:rsid w:val="FDFFAC37"/>
    <w:rsid w:val="FEFCB2C5"/>
    <w:rsid w:val="FEFD0F1C"/>
    <w:rsid w:val="FF55AB7A"/>
    <w:rsid w:val="FF577926"/>
    <w:rsid w:val="FF5AEF6E"/>
    <w:rsid w:val="FF7F287B"/>
    <w:rsid w:val="FFB799BA"/>
    <w:rsid w:val="FFBF0732"/>
    <w:rsid w:val="FFBF5853"/>
    <w:rsid w:val="FFC78ACE"/>
    <w:rsid w:val="FFD6396D"/>
    <w:rsid w:val="FFDB324A"/>
    <w:rsid w:val="FFDB57F9"/>
    <w:rsid w:val="FFDDB20A"/>
    <w:rsid w:val="FFE69971"/>
    <w:rsid w:val="FFE7A732"/>
    <w:rsid w:val="FFF6BA21"/>
    <w:rsid w:val="FFF6BA63"/>
    <w:rsid w:val="FFF6DEE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iPriority="9" w:semiHidden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iPriority="99" w:semiHidden="0" w:name="Normal Indent"/>
    <w:lsdException w:unhideWhenUsed="0" w:uiPriority="0" w:semiHidden="0" w:name="footnote text"/>
    <w:lsdException w:qFormat="1" w:uiPriority="99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paragraph" w:styleId="3">
    <w:name w:val="heading 1"/>
    <w:basedOn w:val="1"/>
    <w:next w:val="1"/>
    <w:qFormat/>
    <w:uiPriority w:val="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1"/>
    <w:next w:val="1"/>
    <w:unhideWhenUsed/>
    <w:qFormat/>
    <w:uiPriority w:val="9"/>
    <w:pPr>
      <w:keepNext/>
      <w:spacing w:before="240" w:after="60"/>
      <w:outlineLvl w:val="1"/>
    </w:pPr>
    <w:rPr>
      <w:rFonts w:ascii="Cambria" w:hAnsi="Cambria" w:eastAsia="宋体"/>
      <w:b/>
      <w:bCs/>
      <w:i/>
      <w:iCs/>
      <w:sz w:val="28"/>
      <w:szCs w:val="28"/>
    </w:rPr>
  </w:style>
  <w:style w:type="paragraph" w:styleId="2">
    <w:name w:val="heading 3"/>
    <w:basedOn w:val="1"/>
    <w:next w:val="1"/>
    <w:unhideWhenUsed/>
    <w:qFormat/>
    <w:uiPriority w:val="9"/>
    <w:pPr>
      <w:keepNext/>
      <w:spacing w:before="240" w:after="60"/>
      <w:outlineLvl w:val="2"/>
    </w:pPr>
    <w:rPr>
      <w:rFonts w:ascii="Cambria" w:hAnsi="Cambria" w:eastAsia="宋体"/>
      <w:b/>
      <w:bCs/>
      <w:sz w:val="26"/>
      <w:szCs w:val="26"/>
    </w:rPr>
  </w:style>
  <w:style w:type="character" w:default="1" w:styleId="15">
    <w:name w:val="Default Paragraph Font"/>
    <w:semiHidden/>
    <w:uiPriority w:val="0"/>
  </w:style>
  <w:style w:type="table" w:default="1" w:styleId="13">
    <w:name w:val="Normal Table"/>
    <w:semiHidden/>
    <w:uiPriority w:val="0"/>
    <w:tblPr>
      <w:tblStyle w:val="13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Indent"/>
    <w:basedOn w:val="1"/>
    <w:next w:val="1"/>
    <w:unhideWhenUsed/>
    <w:qFormat/>
    <w:uiPriority w:val="99"/>
    <w:pPr>
      <w:ind w:firstLine="420" w:firstLineChars="200"/>
    </w:pPr>
  </w:style>
  <w:style w:type="paragraph" w:styleId="6">
    <w:name w:val="annotation text"/>
    <w:basedOn w:val="1"/>
    <w:unhideWhenUsed/>
    <w:qFormat/>
    <w:uiPriority w:val="99"/>
    <w:pPr>
      <w:jc w:val="left"/>
    </w:pPr>
  </w:style>
  <w:style w:type="paragraph" w:styleId="7">
    <w:name w:val="Body Text"/>
    <w:basedOn w:val="1"/>
    <w:next w:val="8"/>
    <w:qFormat/>
    <w:uiPriority w:val="0"/>
    <w:rPr>
      <w:rFonts w:ascii="华文中宋" w:hAnsi="华文中宋" w:eastAsia="华文中宋"/>
      <w:sz w:val="24"/>
    </w:rPr>
  </w:style>
  <w:style w:type="paragraph" w:styleId="8">
    <w:name w:val="Body Text Indent"/>
    <w:basedOn w:val="1"/>
    <w:qFormat/>
    <w:uiPriority w:val="0"/>
    <w:pPr>
      <w:ind w:firstLine="560" w:firstLineChars="200"/>
    </w:pPr>
    <w:rPr>
      <w:rFonts w:ascii="Times New Roman" w:hAnsi="Times New Roman" w:eastAsia="宋体" w:cs="Times New Roman"/>
      <w:sz w:val="28"/>
      <w:szCs w:val="24"/>
    </w:rPr>
  </w:style>
  <w:style w:type="paragraph" w:styleId="9">
    <w:name w:val="footer"/>
    <w:basedOn w:val="1"/>
    <w:link w:val="16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link w:val="17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1"/>
    <w:next w:val="1"/>
    <w:unhideWhenUsed/>
    <w:qFormat/>
    <w:uiPriority w:val="39"/>
    <w:pPr>
      <w:widowControl/>
      <w:spacing w:after="100" w:line="259" w:lineRule="auto"/>
      <w:jc w:val="left"/>
    </w:pPr>
    <w:rPr>
      <w:rFonts w:cs="Times New Roman"/>
      <w:kern w:val="0"/>
      <w:sz w:val="22"/>
    </w:rPr>
  </w:style>
  <w:style w:type="paragraph" w:styleId="12">
    <w:name w:val="Normal (Web)"/>
    <w:basedOn w:val="1"/>
    <w:unhideWhenUsed/>
    <w:qFormat/>
    <w:uiPriority w:val="99"/>
    <w:pPr>
      <w:spacing w:before="100" w:beforeAutospacing="1" w:after="100" w:afterAutospacing="1"/>
    </w:pPr>
    <w:rPr>
      <w:rFonts w:hint="eastAsia" w:ascii="宋体" w:hAnsi="宋体" w:eastAsia="宋体"/>
    </w:rPr>
  </w:style>
  <w:style w:type="table" w:styleId="14">
    <w:name w:val="Table Grid"/>
    <w:qFormat/>
    <w:uiPriority w:val="59"/>
    <w:rPr>
      <w:lang w:val="en-US" w:eastAsia="zh-CN" w:bidi="ar-SA"/>
    </w:rPr>
    <w:tblPr>
      <w:tblStyle w:val="13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6">
    <w:name w:val="页脚 Char"/>
    <w:basedOn w:val="15"/>
    <w:link w:val="9"/>
    <w:uiPriority w:val="0"/>
    <w:rPr>
      <w:kern w:val="2"/>
      <w:sz w:val="18"/>
      <w:szCs w:val="18"/>
    </w:rPr>
  </w:style>
  <w:style w:type="character" w:customStyle="1" w:styleId="17">
    <w:name w:val="页眉 Char"/>
    <w:basedOn w:val="15"/>
    <w:link w:val="10"/>
    <w:uiPriority w:val="0"/>
    <w:rPr>
      <w:kern w:val="2"/>
      <w:sz w:val="18"/>
      <w:szCs w:val="18"/>
    </w:rPr>
  </w:style>
  <w:style w:type="paragraph" w:customStyle="1" w:styleId="18">
    <w:name w:val="Default"/>
    <w:unhideWhenUsed/>
    <w:qFormat/>
    <w:uiPriority w:val="99"/>
    <w:pPr>
      <w:widowControl w:val="0"/>
      <w:autoSpaceDE w:val="0"/>
      <w:autoSpaceDN w:val="0"/>
      <w:adjustRightInd w:val="0"/>
    </w:pPr>
    <w:rPr>
      <w:rFonts w:hint="eastAsia" w:ascii="宋体" w:hAnsi="宋体" w:eastAsia="宋体" w:cs="Times New Roman"/>
      <w:color w:val="000000"/>
      <w:sz w:val="24"/>
      <w:szCs w:val="22"/>
      <w:lang w:val="en-US" w:eastAsia="zh-CN" w:bidi="ar-SA"/>
    </w:rPr>
  </w:style>
  <w:style w:type="paragraph" w:styleId="19">
    <w:name w:val="List Paragraph"/>
    <w:basedOn w:val="1"/>
    <w:qFormat/>
    <w:uiPriority w:val="34"/>
    <w:pPr>
      <w:ind w:firstLine="420" w:firstLineChars="200"/>
    </w:pPr>
  </w:style>
  <w:style w:type="character" w:customStyle="1" w:styleId="20">
    <w:name w:val="font21"/>
    <w:qFormat/>
    <w:uiPriority w:val="0"/>
    <w:rPr>
      <w:rFonts w:ascii="微软雅黑" w:hAnsi="微软雅黑" w:eastAsia="微软雅黑" w:cs="微软雅黑"/>
      <w:color w:val="000000"/>
      <w:sz w:val="22"/>
      <w:szCs w:val="22"/>
      <w:u w:val="none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Comments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7635</Words>
  <Characters>8303</Characters>
  <Lines>1</Lines>
  <Paragraphs>1</Paragraphs>
  <TotalTime>5</TotalTime>
  <ScaleCrop>false</ScaleCrop>
  <LinksUpToDate>false</LinksUpToDate>
  <CharactersWithSpaces>10179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2022-01-27T09:10:00Z</dcterms:created>
  <dc:creator>bocsz</dc:creator>
  <cp:lastModifiedBy>Mr</cp:lastModifiedBy>
  <cp:lastPrinted>2025-12-06T01:27:47Z</cp:lastPrinted>
  <dcterms:modified xsi:type="dcterms:W3CDTF">2026-03-25T08:18:29Z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93653D5F18F94F03932E1DB54AB64C20_13</vt:lpwstr>
  </property>
</Properties>
</file>