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comments.xml" ContentType="application/vnd.openxmlformats-officedocument.wordprocessingml.comments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55B943">
      <w:pPr>
        <w:rPr>
          <w:rFonts w:hint="eastAsia" w:ascii="宋体" w:hAnsi="宋体" w:cs="宋体"/>
          <w:sz w:val="28"/>
          <w:szCs w:val="36"/>
        </w:rPr>
      </w:pPr>
      <w:bookmarkStart w:id="0" w:name="_GoBack"/>
      <w:bookmarkEnd w:id="0"/>
      <w:r>
        <w:rPr>
          <w:rFonts w:hint="eastAsia" w:ascii="宋体" w:hAnsi="宋体" w:cs="宋体"/>
          <w:sz w:val="28"/>
          <w:szCs w:val="36"/>
        </w:rPr>
        <w:t>附件1：</w:t>
      </w:r>
    </w:p>
    <w:tbl>
      <w:tblPr>
        <w:tblStyle w:val="13"/>
        <w:tblW w:w="1106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64"/>
      </w:tblGrid>
      <w:tr w14:paraId="5B7C5C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28" w:hRule="atLeast"/>
          <w:jc w:val="center"/>
        </w:trPr>
        <w:tc>
          <w:tcPr>
            <w:tcW w:w="11064" w:type="dxa"/>
            <w:noWrap w:val="0"/>
            <w:vAlign w:val="top"/>
          </w:tcPr>
          <w:p w14:paraId="0E4D79E6">
            <w:pPr>
              <w:widowControl/>
              <w:kinsoku w:val="0"/>
              <w:autoSpaceDE w:val="0"/>
              <w:autoSpaceDN w:val="0"/>
              <w:adjustRightInd w:val="0"/>
              <w:snapToGrid w:val="0"/>
              <w:jc w:val="center"/>
              <w:textAlignment w:val="baseline"/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 w:val="32"/>
                <w:szCs w:val="32"/>
                <w:lang w:eastAsia="zh-CN"/>
              </w:rPr>
              <w:t>福建省分行普惠法人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 w:val="32"/>
                <w:szCs w:val="32"/>
              </w:rPr>
              <w:t>授信申报及审查审批意见表（202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 w:val="32"/>
                <w:szCs w:val="32"/>
                <w:lang w:val="en-US" w:eastAsia="zh-CN"/>
              </w:rPr>
              <w:t>5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 w:val="32"/>
                <w:szCs w:val="32"/>
              </w:rPr>
              <w:t>新版）</w:t>
            </w:r>
          </w:p>
        </w:tc>
      </w:tr>
      <w:tr w14:paraId="4CC121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11" w:hRule="atLeast"/>
          <w:jc w:val="center"/>
        </w:trPr>
        <w:tc>
          <w:tcPr>
            <w:tcW w:w="11064" w:type="dxa"/>
            <w:noWrap w:val="0"/>
            <w:vAlign w:val="top"/>
          </w:tcPr>
          <w:p w14:paraId="4CF78940">
            <w:pPr>
              <w:spacing w:before="62" w:beforeLines="20"/>
              <w:jc w:val="left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kern w:val="0"/>
                <w:sz w:val="21"/>
                <w:szCs w:val="21"/>
                <w:highlight w:val="none"/>
                <w:lang w:val="en-US" w:eastAsia="zh-CN" w:bidi="ar-SA"/>
              </w:rPr>
              <w:t>客户名称：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  <w:t xml:space="preserve"> 福建中锐网络股份有限公司 </w:t>
            </w:r>
          </w:p>
          <w:p w14:paraId="54CB5F37">
            <w:pPr>
              <w:spacing w:line="240" w:lineRule="auto"/>
              <w:jc w:val="both"/>
              <w:outlineLvl w:val="0"/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  <w:lang w:val="en-US" w:eastAsia="zh-CN"/>
              </w:rPr>
              <w:t>集团名称（如涉及）：</w:t>
            </w:r>
          </w:p>
          <w:p w14:paraId="0C2EFAED">
            <w:commentRangeStart w:id="0"/>
            <w:pPr>
              <w:pStyle w:val="11"/>
              <w:rPr>
                <w:rFonts w:hint="eastAsia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  <w:lang w:val="en-US" w:eastAsia="zh-CN"/>
              </w:rPr>
              <w:t>申报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</w:rPr>
              <w:t>单位：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</w:rPr>
              <w:tab/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</w:rPr>
              <w:tab/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</w:rPr>
              <w:tab/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</w:rPr>
              <w:tab/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</w:rPr>
              <w:tab/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  <w:lang w:val="en-US" w:eastAsia="zh-CN"/>
              </w:rPr>
              <w:t>客户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</w:rPr>
              <w:t>经</w:t>
            </w:r>
            <w:r>
              <w:rPr>
                <w:rFonts w:hint="eastAsia" w:ascii="宋体" w:hAnsi="宋体" w:eastAsia="宋体" w:cs="宋体"/>
                <w:b/>
                <w:i w:val="0"/>
                <w:iCs w:val="0"/>
                <w:sz w:val="21"/>
                <w:szCs w:val="21"/>
                <w:highlight w:val="none"/>
              </w:rPr>
              <w:t>理</w:t>
            </w:r>
            <w:r>
              <w:rPr>
                <w:rFonts w:hint="eastAsia" w:ascii="宋体" w:hAnsi="宋体" w:eastAsia="宋体" w:cs="宋体"/>
                <w:b/>
                <w:i w:val="0"/>
                <w:iCs w:val="0"/>
                <w:sz w:val="21"/>
                <w:szCs w:val="21"/>
                <w:highlight w:val="none"/>
                <w:lang w:eastAsia="zh-CN"/>
              </w:rPr>
              <w:t>：</w:t>
            </w:r>
            <w:r>
              <w:rPr>
                <w:rFonts w:hint="eastAsia" w:ascii="宋体" w:hAnsi="宋体" w:eastAsia="宋体" w:cs="宋体"/>
                <w:b/>
                <w:i w:val="0"/>
                <w:iCs w:val="0"/>
                <w:sz w:val="21"/>
                <w:szCs w:val="21"/>
                <w:highlight w:val="none"/>
                <w:lang w:val="en-US" w:eastAsia="zh-CN"/>
              </w:rPr>
              <w:t xml:space="preserve">                联系电话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</w:rPr>
              <w:t>：</w:t>
            </w:r>
            <w:commentRangeEnd w:id="0"/>
            <w:r>
              <w:rPr>
                <w:rStyle w:val="CommentReference"/>
              </w:rPr>
              <w:commentReference w:id="0"/>
            </w:r>
          </w:p>
          <w:p w14:paraId="37779223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beforeLines="20"/>
              <w:jc w:val="left"/>
              <w:textAlignment w:val="baseline"/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授信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eastAsia="zh-CN"/>
              </w:rPr>
              <w:t>方案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：☑新客户</w:t>
            </w:r>
          </w:p>
          <w:p w14:paraId="2DA73A3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beforeLines="20"/>
              <w:ind w:firstLine="1054" w:firstLineChars="500"/>
              <w:jc w:val="left"/>
              <w:textAlignment w:val="baseline"/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eastAsia="zh-CN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□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eastAsia="zh-CN"/>
              </w:rPr>
              <w:t>存量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客户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eastAsia="zh-CN"/>
              </w:rPr>
              <w:t>（</w:t>
            </w:r>
            <w:r>
              <w:rPr>
                <w:rFonts w:hint="eastAsia" w:ascii="宋体" w:hAnsi="宋体" w:cs="宋体"/>
                <w:b/>
                <w:bCs/>
                <w:szCs w:val="21"/>
              </w:rPr>
              <w:t>原有额度批复日期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: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u w:val="single"/>
                <w:lang w:val="en-US" w:eastAsia="zh-CN"/>
              </w:rPr>
              <w:t xml:space="preserve">   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年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u w:val="single"/>
                <w:lang w:val="en-US" w:eastAsia="zh-CN"/>
              </w:rPr>
              <w:t xml:space="preserve">   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月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u w:val="single"/>
                <w:lang w:val="en-US" w:eastAsia="zh-CN"/>
              </w:rPr>
              <w:t xml:space="preserve">   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日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eastAsia="zh-CN"/>
              </w:rPr>
              <w:t>）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 xml:space="preserve">□维持 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sym w:font="Wingdings 2" w:char="00A3"/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增加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□减少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 xml:space="preserve">  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□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eastAsia="zh-CN"/>
              </w:rPr>
              <w:t>授信方案调整</w:t>
            </w:r>
          </w:p>
          <w:p w14:paraId="68968EB1">
            <w:commentRangeStart w:id="1"/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beforeLines="20"/>
              <w:jc w:val="left"/>
              <w:textAlignment w:val="baseline"/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u w:val="singl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lang w:eastAsia="zh-CN"/>
              </w:rPr>
              <w:t>国标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</w:rPr>
              <w:t>行业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门类-大类-中类-小类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eastAsia="zh-CN"/>
              </w:rPr>
              <w:t>）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</w:rPr>
              <w:t>：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u w:val="single"/>
                <w:lang w:val="en-US" w:eastAsia="zh-CN"/>
              </w:rPr>
              <w:t xml:space="preserve">                          </w:t>
            </w:r>
            <w:commentRangeEnd w:id="1"/>
            <w:r>
              <w:rPr>
                <w:rStyle w:val="CommentReference"/>
              </w:rPr>
              <w:commentReference w:id="1"/>
            </w:r>
          </w:p>
          <w:p w14:paraId="3E70D6AC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beforeLines="20"/>
              <w:jc w:val="left"/>
              <w:textAlignment w:val="baseline"/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eastAsia="zh-CN"/>
              </w:rPr>
              <w:t>规模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划型：□微型 □小型 □中型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eastAsia="zh-CN"/>
              </w:rPr>
              <w:t>，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所属客群：□支持类 □审慎类 □禁止类</w:t>
            </w:r>
          </w:p>
          <w:p w14:paraId="007D558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beforeLines="20"/>
              <w:jc w:val="left"/>
              <w:textAlignment w:val="baseline"/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u w:val="singl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划型要素：上年度资产总额 18575万元；上年度销售额 10010万元；上年度末员工人数      人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u w:val="single"/>
                <w:lang w:val="en-US" w:eastAsia="zh-CN"/>
              </w:rPr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u w:val="single"/>
                <w:lang w:val="en-US" w:eastAsia="zh-CN"/>
              </w:rPr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u w:val="single"/>
                <w:lang w:val="en-US" w:eastAsia="zh-CN"/>
              </w:rPr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</w:r>
          </w:p>
          <w:p w14:paraId="14F4997C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beforeLines="20"/>
              <w:jc w:val="left"/>
              <w:textAlignment w:val="baseline"/>
              <w:rPr>
                <w:rFonts w:hint="eastAsia" w:ascii="宋体" w:hAnsi="宋体" w:eastAsia="宋体" w:cs="宋体"/>
                <w:b/>
                <w:bCs/>
                <w:strike w:val="0"/>
                <w:dstrike w:val="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环境、社会和治理风险分类</w:t>
            </w:r>
            <w:r>
              <w:rPr>
                <w:rFonts w:hint="eastAsia" w:ascii="宋体" w:hAnsi="宋体" w:eastAsia="宋体" w:cs="宋体"/>
                <w:b/>
                <w:bCs/>
                <w:strike w:val="0"/>
                <w:dstrike w:val="0"/>
                <w:sz w:val="21"/>
                <w:szCs w:val="21"/>
                <w:highlight w:val="none"/>
                <w:lang w:val="en-US" w:eastAsia="zh-CN"/>
              </w:rPr>
              <w:t>（ESG评价）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：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□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A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 xml:space="preserve"> 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sym w:font="Wingdings 2" w:char="00A3"/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 xml:space="preserve">B 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□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C</w:t>
            </w:r>
            <w:r>
              <w:rPr>
                <w:rFonts w:hint="eastAsia" w:ascii="宋体" w:hAnsi="宋体" w:eastAsia="宋体" w:cs="宋体"/>
                <w:b/>
                <w:bCs/>
                <w:strike w:val="0"/>
                <w:dstrike w:val="0"/>
                <w:sz w:val="21"/>
                <w:szCs w:val="21"/>
                <w:highlight w:val="none"/>
                <w:lang w:val="en-US" w:eastAsia="zh-CN"/>
              </w:rPr>
              <w:t>（如涉及A/B类,须在其他负面信息栏反馈ESG风险评价）</w:t>
            </w:r>
          </w:p>
          <w:p w14:paraId="6953AC58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beforeLines="20"/>
              <w:jc w:val="left"/>
              <w:textAlignment w:val="baseline"/>
              <w:rPr>
                <w:rFonts w:hint="eastAsia" w:ascii="宋体" w:hAnsi="宋体" w:eastAsia="宋体" w:cs="宋体"/>
                <w:b/>
                <w:bCs/>
                <w:sz w:val="21"/>
                <w:szCs w:val="21"/>
                <w:highlight w:val="no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反洗钱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highlight w:val="none"/>
                <w:lang w:val="en-US" w:eastAsia="zh-CN"/>
              </w:rPr>
              <w:t>风险等级：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□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eastAsia="zh-CN"/>
              </w:rPr>
              <w:t>低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 xml:space="preserve"> 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sym w:font="Wingdings 2" w:char="00A3"/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eastAsia="zh-CN"/>
              </w:rPr>
              <w:t>一般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□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highlight w:val="none"/>
                <w:lang w:eastAsia="zh-CN"/>
              </w:rPr>
              <w:t>较高（</w:t>
            </w:r>
            <w:r>
              <w:rPr>
                <w:rFonts w:hint="eastAsia" w:ascii="宋体" w:hAnsi="宋体" w:eastAsia="宋体" w:cs="宋体"/>
                <w:b/>
                <w:bCs/>
                <w:strike w:val="0"/>
                <w:dstrike w:val="0"/>
                <w:sz w:val="21"/>
                <w:szCs w:val="21"/>
                <w:highlight w:val="none"/>
                <w:lang w:val="en-US" w:eastAsia="zh-CN"/>
              </w:rPr>
              <w:t>须在其他负面信息栏说明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highlight w:val="none"/>
                <w:lang w:eastAsia="zh-CN"/>
              </w:rPr>
              <w:t>）；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□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highlight w:val="none"/>
                <w:lang w:eastAsia="zh-CN"/>
              </w:rPr>
              <w:t>高（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highlight w:val="none"/>
                <w:lang w:val="en-US" w:eastAsia="zh-CN"/>
              </w:rPr>
              <w:t>不得准入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highlight w:val="none"/>
                <w:lang w:eastAsia="zh-CN"/>
              </w:rPr>
              <w:t>）</w:t>
            </w:r>
          </w:p>
          <w:p w14:paraId="11732687">
            <w:commentRangeStart w:id="2"/>
            <w:pPr>
              <w:pStyle w:val="7"/>
              <w:rPr>
                <w:rFonts w:hint="default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 w:val="21"/>
                <w:szCs w:val="21"/>
                <w:lang w:val="en-US" w:eastAsia="zh-CN" w:bidi="ar-SA"/>
              </w:rPr>
              <w:t>绿通标识：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u w:val="single"/>
                <w:lang w:val="en-US" w:eastAsia="zh-CN"/>
              </w:rPr>
              <w:t xml:space="preserve">        </w:t>
            </w:r>
            <w:commentRangeEnd w:id="2"/>
            <w:r>
              <w:rPr>
                <w:rStyle w:val="CommentReference"/>
              </w:rPr>
              <w:commentReference w:id="2"/>
            </w:r>
          </w:p>
        </w:tc>
      </w:tr>
      <w:tr w14:paraId="0D714D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68" w:hRule="atLeast"/>
          <w:jc w:val="center"/>
        </w:trPr>
        <w:tc>
          <w:tcPr>
            <w:tcW w:w="11064" w:type="dxa"/>
            <w:noWrap w:val="0"/>
            <w:vAlign w:val="top"/>
          </w:tcPr>
          <w:p w14:paraId="663E39A1">
            <w:pPr>
              <w:spacing w:before="62" w:beforeLines="20"/>
              <w:jc w:val="left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</w:pP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  <w:t>申报额度： 1000万元；申报敞口 1000万元；【上一期授信敞口（若有）：  500万元】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u w:val="singl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u w:val="singl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</w:r>
          </w:p>
          <w:p w14:paraId="2F13B6BC">
            <w:pPr>
              <w:spacing w:before="62" w:beforeLines="20"/>
              <w:jc w:val="left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业务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品种：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一般短期流动资金贷款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  <w:t>；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业务期限：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 xml:space="preserve"> 12个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none"/>
                <w:lang w:val="en-US" w:eastAsia="zh-CN"/>
              </w:rPr>
              <w:t>月；授信期限：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 xml:space="preserve"> 1 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none"/>
                <w:lang w:val="en-US" w:eastAsia="zh-CN"/>
              </w:rPr>
              <w:t>年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 xml:space="preserve">     </w:t>
            </w:r>
          </w:p>
          <w:p w14:paraId="1D0618AE">
            <w:pPr>
              <w:spacing w:before="62" w:beforeLines="20"/>
              <w:jc w:val="left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担保方式：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500万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抵押+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500万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信用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none"/>
                <w:lang w:val="en-US" w:eastAsia="zh-CN"/>
              </w:rPr>
              <w:t>；【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上一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期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授信担保方式：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 xml:space="preserve">  500万抵押  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none"/>
                <w:lang w:val="en-US" w:eastAsia="zh-CN"/>
              </w:rPr>
              <w:t>】</w:t>
            </w:r>
          </w:p>
          <w:p w14:paraId="119CF21D">
            <w:pPr>
              <w:spacing w:before="62" w:beforeLines="20"/>
              <w:jc w:val="left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PD评级：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6级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none"/>
                <w:lang w:eastAsia="zh-CN"/>
              </w:rPr>
              <w:t>【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上一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期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授信评级：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 xml:space="preserve"> 7 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none"/>
              </w:rPr>
              <w:t>级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none"/>
                <w:lang w:eastAsia="zh-CN"/>
              </w:rPr>
              <w:t>】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 xml:space="preserve">   </w:t>
            </w:r>
          </w:p>
        </w:tc>
      </w:tr>
      <w:tr w14:paraId="20545C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1" w:hRule="atLeast"/>
          <w:jc w:val="center"/>
        </w:trPr>
        <w:tc>
          <w:tcPr>
            <w:tcW w:w="110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DE904E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jc w:val="left"/>
              <w:textAlignment w:val="baseline"/>
              <w:rPr>
                <w:rFonts w:hint="eastAsia" w:ascii="宋体" w:hAnsi="宋体" w:eastAsia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  <w:t>一、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经营单位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  <w:t>尽调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情况</w:t>
            </w:r>
          </w:p>
          <w:p w14:paraId="46AC6F1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jc w:val="left"/>
              <w:textAlignment w:val="baseline"/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  <w:t>（一）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借款人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  <w:t>简介</w:t>
            </w:r>
          </w:p>
          <w:p w14:paraId="7159615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2" w:firstLineChars="200"/>
              <w:jc w:val="left"/>
              <w:textAlignment w:val="baseline"/>
              <w:rPr>
                <w:rFonts w:hint="default" w:ascii="宋体" w:hAnsi="宋体" w:eastAsia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1.借款人概况：</w:t>
            </w:r>
          </w:p>
          <w:p w14:paraId="1B564AC8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材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料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未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提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供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经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营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场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所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的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场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地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面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积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eastAsia="zh-CN"/>
              </w:rPr>
              <w:t>、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产权性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eastAsia="zh-CN"/>
              </w:rPr>
              <w:t>质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（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自有或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租</w:t>
            </w:r>
            <w:r>
              <w:rPr>
                <w:rFonts w:hint="eastAsia" w:ascii="宋体" w:hAnsi="宋体" w:cs="仿宋"/>
                <w:b w:val="0"/>
                <w:bCs/>
                <w:color w:val="auto"/>
                <w:kern w:val="2"/>
                <w:sz w:val="21"/>
                <w:szCs w:val="21"/>
                <w:highlight w:val="none"/>
                <w:u w:val="single"/>
                <w:lang w:val="en-US" w:eastAsia="zh-CN"/>
              </w:rPr>
              <w:t>用）及抵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押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情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eastAsia="zh-CN"/>
              </w:rPr>
              <w:t>况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。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仿宋"/>
                <w:b w:val="0"/>
                <w:bCs/>
                <w:color w:val="auto"/>
                <w:kern w:val="2"/>
                <w:sz w:val="21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eastAsia="zh-CN"/>
              </w:rPr>
            </w: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r>
          </w:p>
          <w:p w14:paraId="4986ECC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eastAsia" w:ascii="宋体" w:hAnsi="宋体" w:eastAsia="宋体" w:cs="宋体"/>
                <w:b/>
                <w:bCs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color w:val="auto"/>
                <w:sz w:val="21"/>
                <w:szCs w:val="21"/>
                <w:u w:val="none"/>
                <w:lang w:val="en-US" w:eastAsia="zh-CN"/>
              </w:rPr>
              <w:t>已取得资质情况：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□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highlight w:val="none"/>
                <w:lang w:val="en-US" w:eastAsia="zh-CN"/>
              </w:rPr>
              <w:t>不涉及；</w:t>
            </w:r>
          </w:p>
          <w:p w14:paraId="44CF5D83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2108" w:firstLineChars="1000"/>
              <w:jc w:val="left"/>
              <w:textAlignment w:val="baseline"/>
              <w:rPr>
                <w:rFonts w:hint="eastAsia" w:ascii="宋体" w:hAnsi="宋体" w:eastAsia="宋体" w:cs="宋体"/>
                <w:b/>
                <w:bCs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□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highlight w:val="none"/>
                <w:lang w:val="en-US" w:eastAsia="zh-CN"/>
              </w:rPr>
              <w:t>排污许可证（</w:t>
            </w:r>
            <w:r>
              <w:rPr>
                <w:rFonts w:hint="eastAsia" w:ascii="宋体" w:hAnsi="宋体" w:cs="宋体"/>
                <w:bCs/>
                <w:color w:val="auto"/>
                <w:sz w:val="21"/>
                <w:szCs w:val="21"/>
                <w:u w:val="none"/>
                <w:lang w:val="en-US" w:eastAsia="zh-CN"/>
              </w:rPr>
              <w:t>编号：____，有效期至</w:t>
            </w:r>
            <w:r>
              <w:rPr>
                <w:rFonts w:hint="eastAsia" w:ascii="宋体" w:hAnsi="宋体" w:cs="宋体"/>
                <w:bCs/>
                <w:color w:val="auto"/>
                <w:sz w:val="21"/>
                <w:szCs w:val="21"/>
                <w:u w:val="single"/>
                <w:lang w:val="en-US" w:eastAsia="zh-CN"/>
              </w:rPr>
              <w:t xml:space="preserve">   </w:t>
            </w:r>
            <w:r>
              <w:rPr>
                <w:rFonts w:hint="eastAsia" w:ascii="宋体" w:hAnsi="宋体" w:cs="宋体"/>
                <w:bCs/>
                <w:color w:val="auto"/>
                <w:sz w:val="21"/>
                <w:szCs w:val="21"/>
                <w:u w:val="none"/>
                <w:lang w:val="en-US" w:eastAsia="zh-CN"/>
              </w:rPr>
              <w:t>年</w:t>
            </w:r>
            <w:r>
              <w:rPr>
                <w:rFonts w:hint="eastAsia" w:ascii="宋体" w:hAnsi="宋体" w:cs="宋体"/>
                <w:bCs/>
                <w:color w:val="auto"/>
                <w:sz w:val="21"/>
                <w:szCs w:val="21"/>
                <w:u w:val="single"/>
                <w:lang w:val="en-US" w:eastAsia="zh-CN"/>
              </w:rPr>
              <w:t xml:space="preserve">   </w:t>
            </w:r>
            <w:r>
              <w:rPr>
                <w:rFonts w:hint="eastAsia" w:ascii="宋体" w:hAnsi="宋体" w:cs="宋体"/>
                <w:bCs/>
                <w:color w:val="auto"/>
                <w:sz w:val="21"/>
                <w:szCs w:val="21"/>
                <w:u w:val="none"/>
                <w:lang w:val="en-US" w:eastAsia="zh-CN"/>
              </w:rPr>
              <w:t>月</w:t>
            </w:r>
            <w:r>
              <w:rPr>
                <w:rFonts w:hint="eastAsia" w:ascii="宋体" w:hAnsi="宋体" w:cs="宋体"/>
                <w:bCs/>
                <w:color w:val="auto"/>
                <w:sz w:val="21"/>
                <w:szCs w:val="21"/>
                <w:u w:val="single"/>
                <w:lang w:val="en-US" w:eastAsia="zh-CN"/>
              </w:rPr>
              <w:t xml:space="preserve">   </w:t>
            </w:r>
            <w:r>
              <w:rPr>
                <w:rFonts w:hint="eastAsia" w:ascii="宋体" w:hAnsi="宋体" w:cs="宋体"/>
                <w:bCs/>
                <w:color w:val="auto"/>
                <w:sz w:val="21"/>
                <w:szCs w:val="21"/>
                <w:u w:val="none"/>
                <w:lang w:val="en-US" w:eastAsia="zh-CN"/>
              </w:rPr>
              <w:t>日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highlight w:val="none"/>
                <w:lang w:val="en-US" w:eastAsia="zh-CN"/>
              </w:rPr>
              <w:t>）；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□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lang w:eastAsia="zh-CN"/>
              </w:rPr>
              <w:t>排污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highlight w:val="none"/>
                <w:lang w:val="en-US" w:eastAsia="zh-CN"/>
              </w:rPr>
              <w:t>登记回执；</w:t>
            </w:r>
          </w:p>
          <w:p w14:paraId="6CDB29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2108" w:firstLineChars="1000"/>
              <w:jc w:val="left"/>
              <w:textAlignment w:val="baseline"/>
              <w:rPr>
                <w:rFonts w:hint="eastAsia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□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highlight w:val="none"/>
                <w:lang w:val="en-US" w:eastAsia="zh-CN"/>
              </w:rPr>
              <w:t>其他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highlight w:val="none"/>
                <w:u w:val="single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bCs/>
                <w:color w:val="auto"/>
                <w:sz w:val="21"/>
                <w:szCs w:val="21"/>
                <w:u w:val="single"/>
                <w:lang w:val="en-US" w:eastAsia="zh-CN"/>
              </w:rPr>
              <w:t>食品生产许可证/食品生产许可证/建筑工程施工总承包一级等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highlight w:val="none"/>
                <w:u w:val="single"/>
                <w:lang w:val="en-US" w:eastAsia="zh-CN"/>
              </w:rPr>
              <w:t xml:space="preserve">      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highlight w:val="none"/>
                <w:u w:val="none"/>
                <w:lang w:val="en-US" w:eastAsia="zh-CN"/>
              </w:rPr>
              <w:t>；</w:t>
            </w:r>
          </w:p>
          <w:p w14:paraId="1931416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主营业务——智慧水利：中锐网络积极响应国家水利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</w:rPr>
              <w:t>政策，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lang w:val="en-US" w:eastAsia="zh-CN"/>
              </w:rPr>
              <w:t>推出了一系列智慧水利解决方案，帮助客户落地水灾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</w:rPr>
              <w:t>害，水工程，水资源，水生态水环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lang w:val="en-US" w:eastAsia="zh-CN"/>
              </w:rPr>
              <w:t>境，水监督，水政务等六大重点应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</w:rPr>
              <w:t>用</w:t>
              <w:br/>
              <w:t>主营业务——智慧教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育：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中锐网络紧跟国家战略发展需求，聚焦网络、人工智能、智慧行业三大领域，推出数字人才培养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解决方案，将行业企业用人的需求导入院校人才培养体系，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实现产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业与人才需求的无缝对接。</w:t>
            </w:r>
          </w:p>
          <w:p w14:paraId="0959F8FD">
            <w:commentRangeStart w:id="3"/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lang w:eastAsia="zh-CN"/>
              </w:rPr>
              <w:t>上年度末社保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  <w:t>人数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 xml:space="preserve">     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人；注册资本：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 xml:space="preserve">         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万元、实收资本：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 xml:space="preserve">        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万元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  <w:t>；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法定代表人：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 xml:space="preserve"> 黄祖海 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。</w:t>
            </w:r>
            <w:commentRangeEnd w:id="3"/>
            <w:r>
              <w:rPr>
                <w:rStyle w:val="CommentReference"/>
              </w:rPr>
              <w:commentReference w:id="3"/>
            </w:r>
          </w:p>
          <w:p w14:paraId="5EAD39A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2310" w:firstLineChars="1100"/>
              <w:jc w:val="left"/>
              <w:textAlignment w:val="baseline"/>
              <w:rPr>
                <w:rFonts w:hint="eastAsia" w:ascii="宋体" w:hAnsi="宋体" w:cs="宋体"/>
                <w:snapToGrid w:val="0"/>
                <w:kern w:val="0"/>
                <w:szCs w:val="21"/>
              </w:rPr>
            </w:pPr>
            <w:r>
              <w:rPr>
                <w:rFonts w:hint="eastAsia" w:ascii="宋体" w:hAnsi="宋体" w:cs="宋体"/>
                <w:snapToGrid w:val="0"/>
                <w:kern w:val="0"/>
                <w:szCs w:val="21"/>
                <w:lang w:eastAsia="zh-CN"/>
              </w:rPr>
              <w:t>最新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>股权结构表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lang w:val="en-US" w:eastAsia="zh-CN"/>
              </w:rPr>
              <w:t xml:space="preserve">                      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 xml:space="preserve">         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  <w:t>单位：万元</w:t>
            </w:r>
          </w:p>
          <w:tbl>
            <w:tblPr>
              <w:tblStyle w:val="13"/>
              <w:tblW w:w="0" w:type="auto"/>
              <w:jc w:val="center"/>
              <w:tblBorders>
                <w:top w:val="single" w:color="000000" w:sz="0" w:space="0"/>
                <w:left w:val="single" w:color="000000" w:sz="0" w:space="0"/>
                <w:bottom w:val="single" w:color="000000" w:sz="0" w:space="0"/>
                <w:right w:val="single" w:color="000000" w:sz="0" w:space="0"/>
                <w:insideH w:val="single" w:color="000000" w:sz="0" w:space="0"/>
                <w:insideV w:val="single" w:color="000000" w:sz="0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056"/>
              <w:gridCol w:w="2001"/>
              <w:gridCol w:w="1161"/>
              <w:gridCol w:w="1266"/>
              <w:gridCol w:w="1056"/>
            </w:tblGrid>
            <w:tr w14:paraId="547A40DA">
              <w:tblPrEx>
                <w:tblBorders>
                  <w:top w:val="single" w:color="000000" w:sz="0" w:space="0"/>
                  <w:left w:val="single" w:color="000000" w:sz="0" w:space="0"/>
                  <w:bottom w:val="single" w:color="000000" w:sz="0" w:space="0"/>
                  <w:right w:val="single" w:color="000000" w:sz="0" w:space="0"/>
                  <w:insideH w:val="single" w:color="000000" w:sz="0" w:space="0"/>
                  <w:insideV w:val="single" w:color="000000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3C988E8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  <w:t>股东名称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29C2DCEB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  <w:t>认缴出资额/持股数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726B1A0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  <w:t>出资比例%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50840E37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  <w:t>实际出资额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2C94200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  <w:t>出资形式</w:t>
                  </w:r>
                </w:p>
              </w:tc>
            </w:tr>
            <w:tr w14:paraId="7696C81A">
              <w:tblPrEx>
                <w:tblBorders>
                  <w:top w:val="single" w:color="000000" w:sz="0" w:space="0"/>
                  <w:left w:val="single" w:color="000000" w:sz="0" w:space="0"/>
                  <w:bottom w:val="single" w:color="000000" w:sz="0" w:space="0"/>
                  <w:right w:val="single" w:color="000000" w:sz="0" w:space="0"/>
                  <w:insideH w:val="single" w:color="000000" w:sz="0" w:space="0"/>
                  <w:insideV w:val="single" w:color="000000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10A32E9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  <w:r>
                    <w:t>福建中锐汉鼎信息技术有限公司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213A18E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  <w:r>
                    <w:t>4100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2B77F9B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40A03FF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  <w:r>
                    <w:t>100%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7B733E0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</w:p>
              </w:tc>
            </w:tr>
            <w:tr w14:paraId="7D9AFE7B">
              <w:tblPrEx>
                <w:tblBorders>
                  <w:top w:val="single" w:color="000000" w:sz="0" w:space="0"/>
                  <w:left w:val="single" w:color="000000" w:sz="0" w:space="0"/>
                  <w:bottom w:val="single" w:color="000000" w:sz="0" w:space="0"/>
                  <w:right w:val="single" w:color="000000" w:sz="0" w:space="0"/>
                  <w:insideH w:val="single" w:color="000000" w:sz="0" w:space="0"/>
                  <w:insideV w:val="single" w:color="000000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22" w:hRule="atLeast"/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24DC015D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  <w:r>
                    <w:t>福建中锐教育科技有限公司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7C2931C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  <w:r>
                    <w:t>4100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44B16B7A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51D149A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  <w:r>
                    <w:t>100%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7F243B6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</w:p>
              </w:tc>
            </w:tr>
            <w:tr w14:paraId="0CAD9291">
              <w:tblPrEx>
                <w:tblBorders>
                  <w:top w:val="single" w:color="000000" w:sz="0" w:space="0"/>
                  <w:left w:val="single" w:color="000000" w:sz="0" w:space="0"/>
                  <w:bottom w:val="single" w:color="000000" w:sz="0" w:space="0"/>
                  <w:right w:val="single" w:color="000000" w:sz="0" w:space="0"/>
                  <w:insideH w:val="single" w:color="000000" w:sz="0" w:space="0"/>
                  <w:insideV w:val="single" w:color="000000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36D3D55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  <w:r>
                    <w:t>北京中锐青云科技有限公司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56ED707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  <w:r>
                    <w:t>4100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14D4B4D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72F5A7A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  <w:r>
                    <w:t>100%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05ECBB62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</w:p>
              </w:tc>
            </w:tr>
            <w:tr w14:paraId="4764A2BF">
              <w:tblPrEx>
                <w:tblBorders>
                  <w:top w:val="single" w:color="000000" w:sz="0" w:space="0"/>
                  <w:left w:val="single" w:color="000000" w:sz="0" w:space="0"/>
                  <w:bottom w:val="single" w:color="000000" w:sz="0" w:space="0"/>
                  <w:right w:val="single" w:color="000000" w:sz="0" w:space="0"/>
                  <w:insideH w:val="single" w:color="000000" w:sz="0" w:space="0"/>
                  <w:insideV w:val="single" w:color="000000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3F914094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  <w:r>
                    <w:t>厦门中锐软件科技有限公司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1FFA916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  <w:r>
                    <w:t>4100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309DFB9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7EF9571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  <w:r>
                    <w:t>100%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1EA9D72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</w:rPr>
                  </w:pPr>
                </w:p>
              </w:tc>
            </w:tr>
            <w:tr w14:paraId="5DDC6E5C">
              <w:tblPrEx>
                <w:tblBorders>
                  <w:top w:val="single" w:color="000000" w:sz="0" w:space="0"/>
                  <w:left w:val="single" w:color="000000" w:sz="0" w:space="0"/>
                  <w:bottom w:val="single" w:color="000000" w:sz="0" w:space="0"/>
                  <w:right w:val="single" w:color="000000" w:sz="0" w:space="0"/>
                  <w:insideH w:val="single" w:color="000000" w:sz="0" w:space="0"/>
                  <w:insideV w:val="single" w:color="000000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784C282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Cs w:val="21"/>
                    </w:rPr>
                    <w:t>合计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59EC9BD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Cs w:val="21"/>
                    </w:rPr>
                  </w:pPr>
                  <w:r>
                    <w:t>16400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51CDDC8A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Cs w:val="21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Cs w:val="21"/>
                    </w:rPr>
                    <w:t>100%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67C8042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Cs w:val="21"/>
                    </w:rPr>
                  </w:pPr>
                  <w:r>
                    <w:t>16400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1870006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Cs w:val="21"/>
                    </w:rPr>
                  </w:pPr>
                  <w:r>
                    <w:t>货币</w:t>
                  </w:r>
                </w:p>
              </w:tc>
            </w:tr>
          </w:tbl>
          <w:p w14:paraId="247BBB47">
            <w:commentRangeStart w:id="4"/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default" w:ascii="宋体" w:hAnsi="宋体" w:eastAsia="宋体" w:cs="宋体"/>
                <w:snapToGrid w:val="0"/>
                <w:color w:val="000000"/>
                <w:kern w:val="0"/>
                <w:szCs w:val="21"/>
                <w:u w:val="single"/>
                <w:lang w:val="en-US" w:eastAsia="zh-CN"/>
              </w:rPr>
            </w:pP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股权穿透后实际控制人持股比例：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实控人黄祖海，持股比例____%。</w:t>
            </w:r>
            <w:commentRangeEnd w:id="4"/>
            <w:r>
              <w:rPr>
                <w:rStyle w:val="CommentReference"/>
              </w:rPr>
              <w:commentReference w:id="4"/>
            </w:r>
          </w:p>
          <w:p w14:paraId="360105F5">
            <w:commentRangeStart w:id="5"/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u w:val="single"/>
              </w:rPr>
            </w:pP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过往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  <w:t>两年企业股权变动情况及变动原因：</w:t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u w:val="single"/>
              </w:rPr>
              <w:t xml:space="preserve">                                              </w:t>
            </w:r>
            <w:commentRangeEnd w:id="5"/>
            <w:r>
              <w:rPr>
                <w:rStyle w:val="CommentReference"/>
              </w:rPr>
              <w:commentReference w:id="5"/>
            </w:r>
          </w:p>
          <w:p w14:paraId="1768720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2" w:firstLineChars="200"/>
              <w:jc w:val="left"/>
              <w:textAlignment w:val="baseline"/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</w:pP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lang w:val="en-US" w:eastAsia="zh-CN"/>
              </w:rPr>
              <w:t>上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</w:rPr>
              <w:t>游供应商主要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yellow"/>
                <w:lang w:eastAsia="zh-CN"/>
              </w:rPr>
              <w:t>包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yellow"/>
                <w:lang w:val="en-US" w:eastAsia="zh-CN"/>
              </w:rPr>
              <w:t>括：锐捷网络股份有限公司、北京星链南天科技有限公司、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yellow"/>
                <w:lang w:eastAsia="zh-CN"/>
              </w:rPr>
              <w:t>广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</w:rPr>
              <w:t>州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kern w:val="0"/>
                <w:szCs w:val="21"/>
                <w:u w:val="single"/>
                <w:lang w:eastAsia="zh-CN"/>
              </w:rPr>
              <w:t>浩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kern w:val="0"/>
                <w:szCs w:val="21"/>
                <w:u w:val="single"/>
                <w:lang w:val="en-US" w:eastAsia="zh-CN"/>
              </w:rPr>
              <w:t>瀚星图信息技术有限公司、新天科技股份有限公司、精导信息技术有限公司司等。下游客户主要包括：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  <w:t>涵江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  <w:lang w:val="en-US" w:eastAsia="zh-CN"/>
              </w:rPr>
              <w:t>水利局、福建省翔远电子科技有限公司、三明水利水电工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  <w:t>程有限公司顺昌分公司、福州市福清公路事业发展中心、济南展雄电子有限公司等。</w:t>
            </w:r>
          </w:p>
          <w:p w14:paraId="566E66D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2" w:firstLineChars="200"/>
              <w:jc w:val="left"/>
              <w:textAlignment w:val="baseline"/>
              <w:rPr>
                <w:rFonts w:hint="default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/>
              </w:rPr>
            </w:pP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lang w:val="en-US" w:eastAsia="zh-CN"/>
              </w:rPr>
              <w:t>实地走访情况：企业办公场所位于福州市马尾区罗星东路2号海峡经贸广场1#楼A615室，现场人员正常到岗，内部管理有序。企业主营业务为智慧水利与智慧教育解决方案的研发与销售，属于轻资产运营模式，现场未见传统生产车间及大规模存货。16万元，较年初的1166万元有所增长，主要系业务备货增加所致，与当期经营活动及收入规模相匹配。企业整体经营环境正常，未发现异常停工或管理混乱迹象。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kern w:val="0"/>
                <w:szCs w:val="21"/>
                <w:highlight w:val="none"/>
                <w:u w:val="single"/>
              </w:rPr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auto"/>
                <w:kern w:val="0"/>
                <w:szCs w:val="21"/>
                <w:highlight w:val="none"/>
                <w:u w:val="single"/>
                <w:lang w:eastAsia="zh-CN"/>
              </w:rPr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r>
          </w:p>
          <w:p w14:paraId="654EDA8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2" w:firstLineChars="200"/>
              <w:jc w:val="left"/>
              <w:textAlignment w:val="baseline"/>
              <w:rPr>
                <w:rFonts w:hint="eastAsia" w:ascii="宋体" w:hAnsi="宋体" w:cs="宋体"/>
                <w:b/>
                <w:snapToGrid w:val="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highlight w:val="none"/>
                <w:lang w:val="en-US" w:eastAsia="zh-CN"/>
              </w:rPr>
              <w:t>※</w:t>
            </w:r>
            <w:r>
              <w:rPr>
                <w:rFonts w:hint="eastAsia" w:ascii="宋体" w:hAnsi="宋体" w:cs="宋体"/>
                <w:b/>
                <w:bCs/>
                <w:kern w:val="2"/>
                <w:sz w:val="21"/>
                <w:szCs w:val="21"/>
                <w:highlight w:val="none"/>
                <w:lang w:val="en-US" w:eastAsia="zh-CN"/>
              </w:rPr>
              <w:t>4.</w:t>
            </w: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highlight w:val="none"/>
                <w:lang w:val="en-US" w:eastAsia="zh-CN"/>
              </w:rPr>
              <w:t>历年</w:t>
            </w:r>
            <w:r>
              <w:rPr>
                <w:rFonts w:hint="eastAsia" w:ascii="宋体" w:hAnsi="宋体" w:cs="宋体"/>
                <w:b/>
                <w:bCs/>
                <w:kern w:val="2"/>
                <w:sz w:val="21"/>
                <w:szCs w:val="21"/>
                <w:highlight w:val="none"/>
                <w:lang w:val="en-US" w:eastAsia="zh-CN"/>
              </w:rPr>
              <w:t>股权</w:t>
            </w: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highlight w:val="none"/>
                <w:lang w:val="en-US" w:eastAsia="zh-CN"/>
              </w:rPr>
              <w:t>融资情况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</w:rPr>
              <w:t>（</w:t>
            </w:r>
            <w:r>
              <w:rPr>
                <w:rFonts w:hint="eastAsia" w:ascii="宋体" w:hAnsi="宋体" w:cs="宋体"/>
                <w:b/>
                <w:sz w:val="21"/>
                <w:szCs w:val="21"/>
                <w:highlight w:val="none"/>
                <w:lang w:val="en-US" w:eastAsia="zh-CN"/>
              </w:rPr>
              <w:t>如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  <w:lang w:val="en-US" w:eastAsia="zh-CN"/>
              </w:rPr>
              <w:t>为</w:t>
            </w:r>
            <w:r>
              <w:rPr>
                <w:rFonts w:hint="eastAsia" w:ascii="宋体" w:hAnsi="宋体" w:cs="宋体"/>
                <w:b/>
                <w:sz w:val="21"/>
                <w:szCs w:val="21"/>
                <w:highlight w:val="none"/>
                <w:lang w:val="en-US" w:eastAsia="zh-CN"/>
              </w:rPr>
              <w:t>科技型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  <w:lang w:val="en-US" w:eastAsia="zh-CN"/>
              </w:rPr>
              <w:t>企业，请填列下表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</w:rPr>
              <w:t>）</w:t>
            </w:r>
            <w:r>
              <w:rPr>
                <w:rFonts w:hint="eastAsia" w:ascii="宋体" w:hAnsi="宋体" w:cs="宋体"/>
                <w:b/>
                <w:snapToGrid w:val="0"/>
                <w:kern w:val="0"/>
                <w:szCs w:val="21"/>
                <w:highlight w:val="none"/>
              </w:rPr>
              <w:t>：</w:t>
            </w:r>
          </w:p>
          <w:tbl>
            <w:tblPr>
              <w:tblStyle w:val="13"/>
              <w:tblW w:w="10172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806"/>
              <w:gridCol w:w="1204"/>
              <w:gridCol w:w="1359"/>
              <w:gridCol w:w="1950"/>
              <w:gridCol w:w="1919"/>
              <w:gridCol w:w="1934"/>
            </w:tblGrid>
            <w:tr w14:paraId="0D296E9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806" w:type="dxa"/>
                  <w:noWrap w:val="0"/>
                  <w:vAlign w:val="center"/>
                </w:tcPr>
                <w:p w14:paraId="1B848019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股权融资时间</w:t>
                  </w:r>
                </w:p>
              </w:tc>
              <w:tc>
                <w:tcPr>
                  <w:tcW w:w="1204" w:type="dxa"/>
                  <w:noWrap w:val="0"/>
                  <w:vAlign w:val="center"/>
                </w:tcPr>
                <w:p w14:paraId="4BD7A175">
                  <w:pPr>
                    <w:adjustRightInd w:val="0"/>
                    <w:snapToGrid w:val="0"/>
                    <w:jc w:val="center"/>
                    <w:rPr>
                      <w:rFonts w:hint="default" w:ascii="宋体" w:hAnsi="宋体" w:eastAsia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融资金额</w:t>
                  </w:r>
                </w:p>
              </w:tc>
              <w:tc>
                <w:tcPr>
                  <w:tcW w:w="1359" w:type="dxa"/>
                  <w:noWrap w:val="0"/>
                  <w:vAlign w:val="center"/>
                </w:tcPr>
                <w:p w14:paraId="5164D282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投资机构</w:t>
                  </w:r>
                </w:p>
              </w:tc>
              <w:tc>
                <w:tcPr>
                  <w:tcW w:w="1950" w:type="dxa"/>
                  <w:noWrap w:val="0"/>
                  <w:vAlign w:val="center"/>
                </w:tcPr>
                <w:p w14:paraId="68B551EA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融资阶段</w:t>
                  </w:r>
                </w:p>
                <w:p w14:paraId="19512620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eastAsia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</w:pPr>
                  <w:r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（</w:t>
                  </w:r>
                  <w:r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天使轮/A/B/C…</w:t>
                  </w:r>
                  <w:r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）</w:t>
                  </w:r>
                </w:p>
              </w:tc>
              <w:tc>
                <w:tcPr>
                  <w:tcW w:w="1919" w:type="dxa"/>
                  <w:noWrap w:val="0"/>
                  <w:vAlign w:val="center"/>
                </w:tcPr>
                <w:p w14:paraId="7B83BEBC">
                  <w:pPr>
                    <w:adjustRightInd w:val="0"/>
                    <w:snapToGrid w:val="0"/>
                    <w:jc w:val="center"/>
                    <w:rPr>
                      <w:rFonts w:hint="default" w:ascii="宋体" w:hAnsi="宋体" w:eastAsia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投后估值</w:t>
                  </w:r>
                </w:p>
              </w:tc>
              <w:tc>
                <w:tcPr>
                  <w:tcW w:w="1934" w:type="dxa"/>
                  <w:noWrap w:val="0"/>
                  <w:vAlign w:val="center"/>
                </w:tcPr>
                <w:p w14:paraId="073CE059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是否存在对赌条款（若有，</w:t>
                  </w:r>
                  <w:r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请</w:t>
                  </w:r>
                  <w:r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说明）</w:t>
                  </w:r>
                </w:p>
              </w:tc>
            </w:tr>
            <w:tr w14:paraId="3A4E890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806" w:type="dxa"/>
                  <w:noWrap w:val="0"/>
                  <w:vAlign w:val="center"/>
                </w:tcPr>
                <w:p w14:paraId="281CA77D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2025年</w:t>
                  </w:r>
                </w:p>
              </w:tc>
              <w:tc>
                <w:tcPr>
                  <w:tcW w:w="1204" w:type="dxa"/>
                  <w:noWrap w:val="0"/>
                  <w:vAlign w:val="center"/>
                </w:tcPr>
                <w:p w14:paraId="6AC1320E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213</w:t>
                  </w:r>
                </w:p>
              </w:tc>
              <w:tc>
                <w:tcPr>
                  <w:tcW w:w="1359" w:type="dxa"/>
                  <w:noWrap w:val="0"/>
                  <w:vAlign w:val="center"/>
                </w:tcPr>
                <w:p w14:paraId="12462613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北京中锐青云科技有限公司</w:t>
                  </w:r>
                </w:p>
              </w:tc>
              <w:tc>
                <w:tcPr>
                  <w:tcW w:w="1950" w:type="dxa"/>
                  <w:noWrap w:val="0"/>
                  <w:vAlign w:val="center"/>
                </w:tcPr>
                <w:p w14:paraId="404C0D85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融资</w:t>
                  </w:r>
                </w:p>
              </w:tc>
              <w:tc>
                <w:tcPr>
                  <w:tcW w:w="1919" w:type="dxa"/>
                  <w:noWrap w:val="0"/>
                  <w:vAlign w:val="center"/>
                </w:tcPr>
                <w:p w14:paraId="18888B5B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1000</w:t>
                  </w:r>
                </w:p>
              </w:tc>
              <w:tc>
                <w:tcPr>
                  <w:tcW w:w="1934" w:type="dxa"/>
                  <w:noWrap w:val="0"/>
                  <w:vAlign w:val="center"/>
                </w:tcPr>
                <w:p w14:paraId="55CC0F5B">
                  <w:pPr>
                    <w:adjustRightInd w:val="0"/>
                    <w:snapToGrid w:val="0"/>
                    <w:jc w:val="center"/>
                    <w:rPr>
                      <w:rFonts w:hint="default" w:ascii="宋体" w:hAnsi="宋体" w:eastAsia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Cs/>
                      <w:snapToGrid w:val="0"/>
                      <w:kern w:val="0"/>
                      <w:sz w:val="15"/>
                      <w:szCs w:val="15"/>
                      <w:highlight w:val="none"/>
                      <w:lang w:val="en-US" w:eastAsia="zh-CN"/>
                    </w:rPr>
                    <w:t>若企业反馈“无”，建议出具书面声明并加盖公章</w:t>
                  </w:r>
                </w:p>
              </w:tc>
            </w:tr>
            <w:tr w14:paraId="4F7BE80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806" w:type="dxa"/>
                  <w:noWrap w:val="0"/>
                  <w:vAlign w:val="center"/>
                </w:tcPr>
                <w:p w14:paraId="3E17328D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204" w:type="dxa"/>
                  <w:noWrap w:val="0"/>
                  <w:vAlign w:val="center"/>
                </w:tcPr>
                <w:p w14:paraId="4EE82F08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359" w:type="dxa"/>
                  <w:noWrap w:val="0"/>
                  <w:vAlign w:val="center"/>
                </w:tcPr>
                <w:p w14:paraId="03794F96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950" w:type="dxa"/>
                  <w:noWrap w:val="0"/>
                  <w:vAlign w:val="center"/>
                </w:tcPr>
                <w:p w14:paraId="51D8A8F6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919" w:type="dxa"/>
                  <w:noWrap w:val="0"/>
                  <w:vAlign w:val="center"/>
                </w:tcPr>
                <w:p w14:paraId="17F9A247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934" w:type="dxa"/>
                  <w:noWrap w:val="0"/>
                  <w:vAlign w:val="center"/>
                </w:tcPr>
                <w:p w14:paraId="506E34A5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有（须于</w:t>
                  </w:r>
                  <w:r>
                    <w:rPr>
                      <w:rFonts w:hint="eastAsia" w:ascii="宋体" w:hAnsi="宋体" w:eastAsia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2026年上市）</w:t>
                  </w:r>
                </w:p>
              </w:tc>
            </w:tr>
            <w:tr w14:paraId="070419B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806" w:type="dxa"/>
                  <w:noWrap w:val="0"/>
                  <w:vAlign w:val="center"/>
                </w:tcPr>
                <w:p w14:paraId="35F72E72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204" w:type="dxa"/>
                  <w:noWrap w:val="0"/>
                  <w:vAlign w:val="center"/>
                </w:tcPr>
                <w:p w14:paraId="3E6223B1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359" w:type="dxa"/>
                  <w:noWrap w:val="0"/>
                  <w:vAlign w:val="center"/>
                </w:tcPr>
                <w:p w14:paraId="3BE62158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950" w:type="dxa"/>
                  <w:noWrap w:val="0"/>
                  <w:vAlign w:val="center"/>
                </w:tcPr>
                <w:p w14:paraId="595331AD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919" w:type="dxa"/>
                  <w:noWrap w:val="0"/>
                  <w:vAlign w:val="center"/>
                </w:tcPr>
                <w:p w14:paraId="1ACFD4BF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934" w:type="dxa"/>
                  <w:noWrap w:val="0"/>
                  <w:vAlign w:val="center"/>
                </w:tcPr>
                <w:p w14:paraId="57932EC5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</w:tr>
          </w:tbl>
          <w:p w14:paraId="3A5E6995">
            <w:pPr>
              <w:pStyle w:val="11"/>
              <w:numPr>
                <w:ilvl w:val="0"/>
                <w:numId w:val="0"/>
              </w:numPr>
              <w:ind w:firstLine="422" w:firstLineChars="200"/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 w:val="21"/>
                <w:szCs w:val="21"/>
                <w:highlight w:val="none"/>
                <w:u w:val="singl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color w:val="000000"/>
                <w:kern w:val="0"/>
                <w:sz w:val="21"/>
                <w:szCs w:val="21"/>
                <w:highlight w:val="none"/>
                <w:lang w:val="en-US" w:eastAsia="zh-CN" w:bidi="ar-SA"/>
              </w:rPr>
              <w:t>5.与我行历史授信合作（如为存量客户，请填写）：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 w:val="21"/>
                <w:szCs w:val="21"/>
                <w:highlight w:val="none"/>
                <w:u w:val="single"/>
                <w:lang w:val="en-US" w:eastAsia="zh-CN" w:bidi="ar-SA"/>
              </w:rPr>
              <w:t>自2017年以来，我行与借款人建立授信合作关系，近三年分别给予其500、400、500万授信敞口。</w:t>
            </w:r>
          </w:p>
          <w:p w14:paraId="2F0C5C3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/>
              <w:ind w:firstLine="422" w:firstLineChars="200"/>
              <w:jc w:val="left"/>
              <w:textAlignment w:val="baseline"/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6.上一期授后要求落实情况（包括但不限于负债率、融资总额控制等）：</w:t>
            </w:r>
          </w:p>
          <w:tbl>
            <w:tblPr>
              <w:tblStyle w:val="14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10"/>
              <w:gridCol w:w="1776"/>
              <w:gridCol w:w="2709"/>
              <w:gridCol w:w="5643"/>
            </w:tblGrid>
            <w:tr w14:paraId="653C905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082" w:hRule="atLeast"/>
                <w:jc w:val="center"/>
              </w:trPr>
              <w:tc>
                <w:tcPr>
                  <w:tcW w:w="0" w:type="auto"/>
                  <w:noWrap w:val="0"/>
                  <w:vAlign w:val="top"/>
                </w:tcPr>
                <w:p w14:paraId="4CD7B72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  <w:t>贷款提用情况</w:t>
                  </w:r>
                </w:p>
              </w:tc>
              <w:tc>
                <w:tcPr>
                  <w:tcW w:w="0" w:type="auto"/>
                  <w:gridSpan w:val="3"/>
                  <w:noWrap w:val="0"/>
                  <w:vAlign w:val="top"/>
                </w:tcPr>
                <w:p w14:paraId="42C95EA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left"/>
                    <w:textAlignment w:val="baseline"/>
                    <w:rPr>
                      <w:rFonts w:hint="default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  <w:t>截至 2025 年 12 月 2025年12月31日 日，经531系统查询，借款人 2025 年 12 月   日提贷 0万元，到期日 2025 年 12 月   日，贷款采取自主支付方式发放，通过调取借款人账户流水，1. 0万元向 福建中锐网络股份有限公司 有限公司支付 福建中锐网络股份有限公司 货款（已提供发票）；2. 0万元转至工行同户名账户，穿透查看用于向 0 个人支付采购竹刨花原料款 0万元，其余用于支付税款；3.____万元元转至农行同户名账户(基本户），用于向37个员工支付工资款。</w:t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singl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singl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singl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singl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singl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singl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singl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singl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singl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singl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singl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singl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singl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singl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singl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singl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singl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singl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single"/>
                      <w:vertAlign w:val="baseline"/>
                      <w:lang w:val="en-US" w:eastAsia="zh-CN"/>
                    </w:rPr>
                  </w: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r>
                </w:p>
              </w:tc>
            </w:tr>
            <w:tr w14:paraId="648601E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vMerge w:val="restart"/>
                  <w:noWrap w:val="0"/>
                  <w:vAlign w:val="top"/>
                </w:tcPr>
                <w:p w14:paraId="48F9149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  <w:t>上一期授信条件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40F0BBD7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  <w:t>序号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60881EE7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 w:bidi="ar-SA"/>
                    </w:rPr>
                    <w:t>授信条件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286C64FB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  <w:t>具体落实情况</w:t>
                  </w:r>
                </w:p>
              </w:tc>
            </w:tr>
            <w:tr w14:paraId="5632D33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vMerge w:val="continue"/>
                  <w:noWrap w:val="0"/>
                  <w:vAlign w:val="top"/>
                </w:tcPr>
                <w:p w14:paraId="69A80B4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default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409AF09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  <w:t>1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08CD28B7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pPr>
                  <w:r>
                    <w:t>提供2023年、2024年及2025年财务报表（若有审计，提供审计报告）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77BFCEC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  <w:t>如未落实，请说明原因</w:t>
                  </w:r>
                </w:p>
              </w:tc>
            </w:tr>
            <w:tr w14:paraId="4D8D3F6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vMerge w:val="continue"/>
                  <w:noWrap w:val="0"/>
                  <w:vAlign w:val="top"/>
                </w:tcPr>
                <w:p w14:paraId="72EE11F2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default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65DB165A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  <w:t>2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44522374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pPr>
                  <w:r>
                    <w:t>提供2023年、2024年及2025年纳税申报表及完税证明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61AB5E7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pPr>
                  <w:r>
                    <w:t>已提供2023年、2024年、2025年增值税及附加税申报表及完税证明</w:t>
                  </w:r>
                </w:p>
              </w:tc>
            </w:tr>
            <w:tr w14:paraId="0E3EFB2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vMerge w:val="restart"/>
                  <w:noWrap w:val="0"/>
                  <w:vAlign w:val="top"/>
                </w:tcPr>
                <w:p w14:paraId="6BEB847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  <w:t>上一期贷后要求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307B0CA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  <w:t>序号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7850D8AB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 w:bidi="ar-SA"/>
                    </w:rPr>
                    <w:t>贷后要求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4A95866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  <w:t>具体落实情况</w:t>
                  </w:r>
                </w:p>
              </w:tc>
            </w:tr>
            <w:tr w14:paraId="1AD951E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vMerge w:val="continue"/>
                  <w:noWrap w:val="0"/>
                  <w:vAlign w:val="top"/>
                </w:tcPr>
                <w:p w14:paraId="464EA31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default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6303063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  <w:t>1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38067C19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pPr>
                  <w:r>
                    <w:t>提供公司主要结算账户2025年至今的银行流水EXCEL版本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5300BC0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  <w:t>如未落实，请说明原因</w:t>
                  </w:r>
                </w:p>
              </w:tc>
            </w:tr>
            <w:tr w14:paraId="191E8E0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vMerge w:val="continue"/>
                  <w:noWrap w:val="0"/>
                  <w:vAlign w:val="top"/>
                </w:tcPr>
                <w:p w14:paraId="2CA7FB3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default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6DC3DE02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  <w:t>2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52A667B4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pPr>
                  <w:r>
                    <w:t>提供公司及实际控制人家庭资产情况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4F1CC85D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u w:val="none"/>
                      <w:vertAlign w:val="baseline"/>
                      <w:lang w:val="en-US" w:eastAsia="zh-CN"/>
                    </w:rPr>
                  </w:pPr>
                  <w:r>
                    <w:t>已提供实际控制人黄祖海及其配偶康恩慧名下私有房产信息</w:t>
                  </w:r>
                </w:p>
              </w:tc>
            </w:tr>
          </w:tbl>
          <w:p w14:paraId="77E93048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/>
              <w:ind w:firstLine="422" w:firstLineChars="200"/>
              <w:jc w:val="left"/>
              <w:textAlignment w:val="baseline"/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auto"/>
                <w:kern w:val="0"/>
                <w:szCs w:val="21"/>
                <w:highlight w:val="none"/>
                <w:lang w:val="en-US" w:eastAsia="zh-CN"/>
              </w:rPr>
              <w:t>7.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授信及风险信号提示及反馈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auto"/>
                <w:kern w:val="0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auto"/>
                <w:kern w:val="0"/>
                <w:szCs w:val="21"/>
                <w:highlight w:val="none"/>
                <w:lang w:val="en-US" w:eastAsia="zh-CN"/>
              </w:rPr>
              <w:t>531系统模块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auto"/>
                <w:kern w:val="0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auto"/>
                <w:kern w:val="0"/>
                <w:szCs w:val="21"/>
                <w:highlight w:val="none"/>
              </w:rPr>
              <w:t>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黄色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预警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提示法定代表人目前信用卡存在逾期，经核实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eastAsia="zh-CN"/>
              </w:rPr>
              <w:t>，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……。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综合评判，未对借款人造成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实质性风险。</w:t>
            </w:r>
          </w:p>
          <w:p w14:paraId="08933178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/>
              <w:ind w:firstLine="422" w:firstLineChars="200"/>
              <w:jc w:val="left"/>
              <w:textAlignment w:val="baseline"/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8.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  <w:t>其他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负面信息解释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包括但不限于ESG评价、诉讼、反洗钱“较高”风险等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： 基于已读取材料，未见企业主动披露的诉讼、行政处罚、失信等重大负面事项；但ESG评价、反洗钱等级及司法监管外部检索结果不以当前材料为穷尽，仍需以行内系统和权威公开查询结果补充核验。</w:t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</w:rPr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r>
          </w:p>
          <w:p w14:paraId="4FBC188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beforeLines="20" w:after="93" w:afterLines="30"/>
              <w:ind w:firstLine="422" w:firstLineChars="200"/>
              <w:jc w:val="left"/>
              <w:textAlignment w:val="baseline"/>
              <w:rPr>
                <w:rFonts w:hint="default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 w:val="0"/>
                <w:snapToGrid w:val="0"/>
                <w:color w:val="000000"/>
                <w:kern w:val="0"/>
                <w:szCs w:val="21"/>
                <w:highlight w:val="none"/>
                <w:u w:val="none"/>
                <w:lang w:val="en-US" w:eastAsia="zh-CN"/>
              </w:rPr>
              <w:t>9.</w:t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none"/>
                <w:lang w:val="en-US" w:eastAsia="zh-CN"/>
              </w:rPr>
              <w:t>（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若有）PD评级较上期下滑，分析原因：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u w:val="single"/>
                <w:lang w:val="en-US" w:eastAsia="zh-CN"/>
              </w:rPr>
              <w:t xml:space="preserve">                                                                </w:t>
            </w:r>
          </w:p>
          <w:p w14:paraId="51F4DBA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jc w:val="left"/>
              <w:textAlignment w:val="baseline"/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</w:rPr>
              <w:t>（二）法定代表人/实控人简介</w:t>
            </w:r>
            <w:r>
              <w:rPr>
                <w:rFonts w:hint="eastAsia" w:ascii="宋体" w:hAnsi="宋体" w:cs="宋体"/>
                <w:b/>
                <w:snapToGrid w:val="0"/>
                <w:kern w:val="0"/>
                <w:szCs w:val="21"/>
              </w:rPr>
              <w:t>（如果为同一人，仅需填写一次情况）</w:t>
            </w:r>
          </w:p>
          <w:p w14:paraId="43C74FA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 w:firstLineChars="200"/>
              <w:jc w:val="left"/>
              <w:textAlignment w:val="baseline"/>
              <w:rPr>
                <w:rFonts w:hint="eastAsia" w:ascii="宋体" w:hAnsi="宋体" w:eastAsia="宋体" w:cs="宋体"/>
                <w:snapToGrid w:val="0"/>
                <w:kern w:val="0"/>
                <w:szCs w:val="21"/>
                <w:lang w:eastAsia="zh-CN"/>
              </w:rPr>
            </w:pP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  <w:t>法定代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表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人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  <w:t>/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u w:val="single"/>
                <w:lang w:eastAsia="zh-CN"/>
              </w:rPr>
              <w:t>实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lang w:eastAsia="zh-CN"/>
              </w:rPr>
              <w:t>控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u w:val="single"/>
                <w:lang w:eastAsia="zh-CN"/>
              </w:rPr>
              <w:t>人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u w:val="single"/>
                <w:lang w:val="en-US" w:eastAsia="zh-CN"/>
              </w:rPr>
              <w:t>：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u w:val="single"/>
                <w:lang w:eastAsia="zh-CN"/>
              </w:rPr>
              <w:t>黄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u w:val="single"/>
                <w:lang w:val="en-US" w:eastAsia="zh-CN"/>
              </w:rPr>
              <w:t>祖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lang w:eastAsia="zh-CN"/>
              </w:rPr>
              <w:t>海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u w:val="single"/>
                <w:lang w:eastAsia="zh-CN"/>
              </w:rPr>
              <w:t>，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lang w:eastAsia="zh-CN"/>
              </w:rPr>
              <w:t>中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u w:val="single"/>
              </w:rPr>
              <w:t>国国籍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  <w:t>，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u w:val="single"/>
                <w:lang w:eastAsia="zh-CN"/>
              </w:rPr>
              <w:t>湖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  <w:t>南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>大学电子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  <w:lang w:eastAsia="zh-CN"/>
              </w:rPr>
              <w:t>商</w:t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务专业本科学历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  <w:lang w:eastAsia="zh-CN"/>
              </w:rPr>
              <w:t>。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  <w:lang w:val="en-US" w:eastAsia="zh-CN"/>
              </w:rPr>
              <w:t>其实控人身份稳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定，在信息技术及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网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络领域拥有超过二十年的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技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术与管理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eastAsia="zh-CN"/>
              </w:rPr>
              <w:t>经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验，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对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公司的战</w:t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</w:rPr>
              <w:t>略发展和技术路线有深刻影响。</w:t>
            </w:r>
          </w:p>
          <w:p w14:paraId="7D5D22C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 w:firstLineChars="200"/>
              <w:jc w:val="left"/>
              <w:textAlignment w:val="baseline"/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</w:rPr>
              <w:t>实控人黄祖海，湖南大学电子商务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专业本科学历。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20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</w:rPr>
              <w:t>00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u w:val="single"/>
                <w:lang w:eastAsia="zh-CN"/>
              </w:rPr>
              <w:t>年5月至2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lang w:eastAsia="zh-CN"/>
              </w:rPr>
              <w:t>001年12月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u w:val="single"/>
                <w:lang w:eastAsia="zh-CN"/>
              </w:rPr>
              <w:t>，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u w:val="single"/>
                <w:lang w:val="en-US" w:eastAsia="zh-CN"/>
              </w:rPr>
              <w:t>任福建实达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u w:val="single"/>
                <w:lang w:eastAsia="zh-CN"/>
              </w:rPr>
              <w:t>网络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u w:val="single"/>
                <w:lang w:val="en-US" w:eastAsia="zh-CN"/>
              </w:rPr>
              <w:t>科技有限公司技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lang w:eastAsia="zh-CN"/>
              </w:rPr>
              <w:t>术工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u w:val="single"/>
                <w:lang w:eastAsia="zh-CN"/>
              </w:rPr>
              <w:t>程师；2002年1月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lang w:eastAsia="zh-CN"/>
              </w:rPr>
              <w:t>至2003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u w:val="single"/>
              </w:rPr>
              <w:t>年1月，任福建实达网络科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  <w:t>技有限公司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u w:val="single"/>
                <w:lang w:eastAsia="zh-CN"/>
              </w:rPr>
              <w:t>技术经理；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  <w:t>2003年1月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</w:rPr>
              <w:t>至2011年12月，任福建星网锐捷</w:t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网络有限公司技术部总经理；2012年1月至2016年3月，任福建中锐网络科技有限公司法定代表人、执行董事兼总经理；2016年3月至今，任福建中锐网络股份有限公司董事长兼总裁。身份证号：350124197704201694.</w:t>
            </w:r>
          </w:p>
          <w:p w14:paraId="63CD3B73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jc w:val="left"/>
              <w:textAlignment w:val="baseline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auto"/>
                <w:kern w:val="0"/>
                <w:szCs w:val="21"/>
                <w:highlight w:val="none"/>
                <w:lang w:val="en-US" w:eastAsia="zh-CN"/>
              </w:rPr>
              <w:t>（三）借款人及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auto"/>
                <w:kern w:val="0"/>
                <w:szCs w:val="21"/>
                <w:highlight w:val="none"/>
              </w:rPr>
              <w:t>实控人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auto"/>
                <w:kern w:val="0"/>
                <w:szCs w:val="21"/>
                <w:highlight w:val="none"/>
                <w:lang w:val="en-US" w:eastAsia="zh-CN"/>
              </w:rPr>
              <w:t>家庭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auto"/>
                <w:kern w:val="0"/>
                <w:szCs w:val="21"/>
                <w:highlight w:val="none"/>
              </w:rPr>
              <w:t>资产情况（房产、投资、金融资产等）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  <w:t>：</w:t>
            </w:r>
          </w:p>
          <w:tbl>
            <w:tblPr>
              <w:tblStyle w:val="13"/>
              <w:tblW w:w="0" w:type="auto"/>
              <w:jc w:val="center"/>
              <w:tblBorders>
                <w:top w:val="none" w:color="auto" w:sz="6" w:space="0"/>
                <w:left w:val="none" w:color="auto" w:sz="6" w:space="0"/>
                <w:bottom w:val="none" w:color="auto" w:sz="6" w:space="0"/>
                <w:right w:val="none" w:color="auto" w:sz="6" w:space="0"/>
                <w:insideH w:val="outset" w:color="auto" w:sz="6" w:space="0"/>
                <w:insideV w:val="outset" w:color="auto" w:sz="6" w:space="0"/>
              </w:tblBorders>
              <w:shd w:val="clear" w:color="auto" w:fill="FFFFFF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925"/>
              <w:gridCol w:w="606"/>
              <w:gridCol w:w="606"/>
              <w:gridCol w:w="676"/>
              <w:gridCol w:w="786"/>
              <w:gridCol w:w="856"/>
              <w:gridCol w:w="3202"/>
              <w:gridCol w:w="1799"/>
              <w:gridCol w:w="676"/>
              <w:gridCol w:w="716"/>
            </w:tblGrid>
            <w:tr w14:paraId="0CC3F115">
              <w:tblPrEx>
                <w:tblBorders>
                  <w:top w:val="none" w:color="auto" w:sz="6" w:space="0"/>
                  <w:left w:val="none" w:color="auto" w:sz="6" w:space="0"/>
                  <w:bottom w:val="none" w:color="auto" w:sz="6" w:space="0"/>
                  <w:right w:val="none" w:color="auto" w:sz="6" w:space="0"/>
                  <w:insideH w:val="outset" w:color="auto" w:sz="6" w:space="0"/>
                  <w:insideV w:val="outset" w:color="auto" w:sz="6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309" w:hRule="atLeast"/>
                <w:jc w:val="center"/>
              </w:trPr>
              <w:tc>
                <w:tcPr>
                  <w:tcW w:w="0" w:type="auto"/>
                  <w:gridSpan w:val="10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22A6617F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highlight w:val="none"/>
                      <w:lang w:val="en-US" w:eastAsia="zh-CN" w:bidi="ar"/>
                    </w:rPr>
                    <w:t>1.借款人主要资产及投资情况</w:t>
                  </w:r>
                </w:p>
              </w:tc>
            </w:tr>
            <w:tr w14:paraId="3ABE0F8C">
              <w:tblPrEx>
                <w:tblBorders>
                  <w:top w:val="none" w:color="auto" w:sz="6" w:space="0"/>
                  <w:left w:val="none" w:color="auto" w:sz="6" w:space="0"/>
                  <w:bottom w:val="none" w:color="auto" w:sz="6" w:space="0"/>
                  <w:right w:val="none" w:color="auto" w:sz="6" w:space="0"/>
                  <w:insideH w:val="outset" w:color="auto" w:sz="6" w:space="0"/>
                  <w:insideV w:val="outset" w:color="auto" w:sz="6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1378" w:hRule="atLeast"/>
                <w:jc w:val="center"/>
              </w:trPr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7681EEE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资产名称</w:t>
                  </w:r>
                </w:p>
                <w:p w14:paraId="26718EC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（及坐落位置）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4C79243C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default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所有权人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4105D057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资产类型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3BB4422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权属</w:t>
                  </w:r>
                </w:p>
                <w:p w14:paraId="00A9990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及权属证号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60266A9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资产概况</w:t>
                  </w:r>
                </w:p>
                <w:p w14:paraId="4CEC630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（面积等）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2CEC5EB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eastAsia"/>
                      <w:sz w:val="18"/>
                      <w:szCs w:val="18"/>
                      <w:lang w:val="en-US" w:eastAsia="zh-CN"/>
                    </w:rPr>
                  </w:pPr>
                  <w:r>
                    <w:rPr>
                      <w:rFonts w:hint="eastAsia"/>
                      <w:sz w:val="18"/>
                      <w:szCs w:val="18"/>
                      <w:lang w:val="en-US" w:eastAsia="zh-CN"/>
                    </w:rPr>
                    <w:t>账面或购置价</w:t>
                  </w:r>
                </w:p>
                <w:p w14:paraId="098E1974">
                  <w:pPr>
                    <w:pStyle w:val="8"/>
                    <w:ind w:left="0" w:leftChars="0" w:firstLine="0" w:firstLineChars="0"/>
                    <w:jc w:val="center"/>
                    <w:rPr>
                      <w:rFonts w:hint="default"/>
                      <w:sz w:val="18"/>
                      <w:szCs w:val="18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（万元）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4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71720D79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市场或评估价</w:t>
                  </w:r>
                </w:p>
                <w:p w14:paraId="3113C9F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（万元）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4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508C2B7F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eastAsia" w:ascii="宋体" w:hAnsi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cs="宋体"/>
                      <w:sz w:val="20"/>
                      <w:szCs w:val="20"/>
                    </w:rPr>
                    <w:t>自用/出租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48B51ED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抵质押情况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1475322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eastAsia"/>
                      <w:sz w:val="18"/>
                      <w:szCs w:val="18"/>
                      <w:lang w:val="en-US" w:eastAsia="zh-CN"/>
                    </w:rPr>
                  </w:pPr>
                  <w:r>
                    <w:rPr>
                      <w:rFonts w:hint="eastAsia"/>
                      <w:sz w:val="18"/>
                      <w:szCs w:val="18"/>
                      <w:lang w:val="en-US" w:eastAsia="zh-CN"/>
                    </w:rPr>
                    <w:t>融资金额</w:t>
                  </w:r>
                </w:p>
                <w:p w14:paraId="51916BA7">
                  <w:pPr>
                    <w:pStyle w:val="8"/>
                    <w:ind w:left="0" w:leftChars="0" w:firstLine="0" w:firstLineChars="0"/>
                    <w:jc w:val="center"/>
                    <w:rPr>
                      <w:rFonts w:hint="default"/>
                      <w:sz w:val="18"/>
                      <w:szCs w:val="18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（万元）</w:t>
                  </w:r>
                </w:p>
              </w:tc>
            </w:tr>
            <w:tr w14:paraId="253D73EB">
              <w:tblPrEx>
                <w:tblBorders>
                  <w:top w:val="none" w:color="auto" w:sz="6" w:space="0"/>
                  <w:left w:val="none" w:color="auto" w:sz="6" w:space="0"/>
                  <w:bottom w:val="none" w:color="auto" w:sz="6" w:space="0"/>
                  <w:right w:val="none" w:color="auto" w:sz="6" w:space="0"/>
                  <w:insideH w:val="outset" w:color="auto" w:sz="6" w:space="0"/>
                  <w:insideV w:val="outset" w:color="auto" w:sz="6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353" w:hRule="atLeast"/>
                <w:jc w:val="center"/>
              </w:trPr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2D1650F4">
                  <w:pPr>
                    <w:pStyle w:val="12"/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400" w:lineRule="atLeast"/>
                    <w:ind w:left="0" w:right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084CD52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400" w:lineRule="atLeast"/>
                    <w:ind w:left="0" w:right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6899A637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400" w:lineRule="atLeast"/>
                    <w:ind w:left="0" w:right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33A54D7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29D08A3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70660E49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4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7DE70C69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 根据外网（安居客），该楼盘二手均价价格约在8000元/平，总体价格约为112万元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4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1B6C1C6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出租，出租方陈独熹公司/个人，年租金____万元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4491016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0C86ACAC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</w:p>
              </w:tc>
            </w:tr>
            <w:tr w14:paraId="169A90AA">
              <w:tblPrEx>
                <w:tblBorders>
                  <w:top w:val="none" w:color="auto" w:sz="6" w:space="0"/>
                  <w:left w:val="none" w:color="auto" w:sz="6" w:space="0"/>
                  <w:bottom w:val="none" w:color="auto" w:sz="6" w:space="0"/>
                  <w:right w:val="none" w:color="auto" w:sz="6" w:space="0"/>
                  <w:insideH w:val="outset" w:color="auto" w:sz="6" w:space="0"/>
                  <w:insideV w:val="outset" w:color="auto" w:sz="6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343" w:hRule="atLeast"/>
                <w:jc w:val="center"/>
              </w:trPr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2417019C">
                  <w:pPr>
                    <w:pStyle w:val="12"/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400" w:lineRule="atLeast"/>
                    <w:ind w:left="0" w:right="0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326BBF5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400" w:lineRule="atLeast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20D74C8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400" w:lineRule="atLeast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0DB3086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764A384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35E58D0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4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7164A009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4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4025BDD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0A7275F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3AA8F94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</w:p>
              </w:tc>
            </w:tr>
            <w:tr w14:paraId="0FE5A806">
              <w:tblPrEx>
                <w:tblBorders>
                  <w:top w:val="none" w:color="auto" w:sz="6" w:space="0"/>
                  <w:left w:val="none" w:color="auto" w:sz="6" w:space="0"/>
                  <w:bottom w:val="none" w:color="auto" w:sz="6" w:space="0"/>
                  <w:right w:val="none" w:color="auto" w:sz="6" w:space="0"/>
                  <w:insideH w:val="outset" w:color="auto" w:sz="6" w:space="0"/>
                  <w:insideV w:val="outset" w:color="auto" w:sz="6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322" w:hRule="atLeast"/>
                <w:jc w:val="center"/>
              </w:trPr>
              <w:tc>
                <w:tcPr>
                  <w:tcW w:w="0" w:type="auto"/>
                  <w:gridSpan w:val="10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6320806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21"/>
                      <w:szCs w:val="21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highlight w:val="none"/>
                      <w:lang w:val="en-US" w:eastAsia="zh-CN" w:bidi="ar"/>
                    </w:rPr>
                    <w:t>其他：</w:t>
                  </w:r>
                </w:p>
              </w:tc>
            </w:tr>
            <w:tr w14:paraId="6ACFB58C">
              <w:tblPrEx>
                <w:tblBorders>
                  <w:top w:val="none" w:color="auto" w:sz="6" w:space="0"/>
                  <w:left w:val="none" w:color="auto" w:sz="6" w:space="0"/>
                  <w:bottom w:val="none" w:color="auto" w:sz="6" w:space="0"/>
                  <w:right w:val="none" w:color="auto" w:sz="6" w:space="0"/>
                  <w:insideH w:val="outset" w:color="auto" w:sz="6" w:space="0"/>
                  <w:insideV w:val="outset" w:color="auto" w:sz="6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353" w:hRule="atLeast"/>
                <w:jc w:val="center"/>
              </w:trPr>
              <w:tc>
                <w:tcPr>
                  <w:tcW w:w="0" w:type="auto"/>
                  <w:gridSpan w:val="10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70BA3CE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21"/>
                      <w:szCs w:val="21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highlight w:val="none"/>
                      <w:lang w:val="en-US" w:eastAsia="zh-CN" w:bidi="ar"/>
                    </w:rPr>
                    <w:t>2</w:t>
                  </w:r>
                  <w:r>
                    <w:rPr>
                      <w:rFonts w:hint="eastAsia" w:ascii="宋体" w:hAnsi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highlight w:val="none"/>
                      <w:lang w:val="en-US" w:eastAsia="zh-CN" w:bidi="ar"/>
                    </w:rPr>
                    <w:t>.</w:t>
                  </w: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highlight w:val="none"/>
                      <w:lang w:val="en-US" w:eastAsia="zh-CN" w:bidi="ar"/>
                    </w:rPr>
                    <w:t>实控人家庭资产</w:t>
                  </w:r>
                  <w:r>
                    <w:rPr>
                      <w:rFonts w:hint="eastAsia" w:ascii="宋体" w:hAnsi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highlight w:val="none"/>
                      <w:lang w:val="en-US" w:eastAsia="zh-CN" w:bidi="ar"/>
                    </w:rPr>
                    <w:t>情况</w:t>
                  </w: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highlight w:val="none"/>
                      <w:lang w:val="en-US" w:eastAsia="zh-CN" w:bidi="ar"/>
                    </w:rPr>
                    <w:t>（</w:t>
                  </w:r>
                  <w:r>
                    <w:rPr>
                      <w:rFonts w:hint="eastAsia" w:ascii="宋体" w:hAnsi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highlight w:val="none"/>
                      <w:lang w:val="en-US" w:eastAsia="zh-CN" w:bidi="ar"/>
                    </w:rPr>
                    <w:t>实控人、</w:t>
                  </w: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highlight w:val="none"/>
                      <w:lang w:val="en-US" w:eastAsia="zh-CN" w:bidi="ar"/>
                    </w:rPr>
                    <w:t>配偶及参与经营的子女）</w:t>
                  </w:r>
                </w:p>
              </w:tc>
            </w:tr>
            <w:tr w14:paraId="162B3BAA">
              <w:tblPrEx>
                <w:tblBorders>
                  <w:top w:val="none" w:color="auto" w:sz="6" w:space="0"/>
                  <w:left w:val="none" w:color="auto" w:sz="6" w:space="0"/>
                  <w:bottom w:val="none" w:color="auto" w:sz="6" w:space="0"/>
                  <w:right w:val="none" w:color="auto" w:sz="6" w:space="0"/>
                  <w:insideH w:val="outset" w:color="auto" w:sz="6" w:space="0"/>
                  <w:insideV w:val="outset" w:color="auto" w:sz="6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1361" w:hRule="atLeast"/>
                <w:jc w:val="center"/>
              </w:trPr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68C789A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资产名称</w:t>
                  </w:r>
                </w:p>
                <w:p w14:paraId="67A6449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（及坐落位置）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575EAAB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default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所有权人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5C6E621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资产类型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4E7EE97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权属</w:t>
                  </w:r>
                </w:p>
                <w:p w14:paraId="65CC152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及权属证号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056310E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center"/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资产概况</w:t>
                  </w:r>
                </w:p>
                <w:p w14:paraId="04F082E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（面积等）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5DC2FDA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账面或购置价</w:t>
                  </w:r>
                </w:p>
                <w:p w14:paraId="356248A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default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（万元）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4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2D6EDA4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市场或评估价</w:t>
                  </w:r>
                </w:p>
                <w:p w14:paraId="61E79B2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default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（万元）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4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3FB69A0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自用/出租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430FEE5C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default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抵质押情况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06FA3D6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融资金额</w:t>
                  </w:r>
                </w:p>
                <w:p w14:paraId="1648515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default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（万元）</w:t>
                  </w:r>
                </w:p>
              </w:tc>
            </w:tr>
            <w:tr w14:paraId="4FAE6BD7">
              <w:tblPrEx>
                <w:tblBorders>
                  <w:top w:val="none" w:color="auto" w:sz="6" w:space="0"/>
                  <w:left w:val="none" w:color="auto" w:sz="6" w:space="0"/>
                  <w:bottom w:val="none" w:color="auto" w:sz="6" w:space="0"/>
                  <w:right w:val="none" w:color="auto" w:sz="6" w:space="0"/>
                  <w:insideH w:val="outset" w:color="auto" w:sz="6" w:space="0"/>
                  <w:insideV w:val="outset" w:color="auto" w:sz="6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322" w:hRule="atLeast"/>
                <w:jc w:val="center"/>
              </w:trPr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203EDADC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1230989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28B74C4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4A367E8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63FE726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5CCA4B1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default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4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7BF2F04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default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4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2E8117B7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3E4C4CA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default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11AC12E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leftChars="0" w:right="0" w:rightChars="0"/>
                    <w:jc w:val="center"/>
                    <w:rPr>
                      <w:rFonts w:hint="default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 </w:t>
                  </w:r>
                </w:p>
              </w:tc>
            </w:tr>
            <w:tr w14:paraId="26C6DFA5">
              <w:tblPrEx>
                <w:tblBorders>
                  <w:top w:val="none" w:color="auto" w:sz="6" w:space="0"/>
                  <w:left w:val="none" w:color="auto" w:sz="6" w:space="0"/>
                  <w:bottom w:val="none" w:color="auto" w:sz="6" w:space="0"/>
                  <w:right w:val="none" w:color="auto" w:sz="6" w:space="0"/>
                  <w:insideH w:val="outset" w:color="auto" w:sz="6" w:space="0"/>
                  <w:insideV w:val="outset" w:color="auto" w:sz="6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322" w:hRule="atLeast"/>
                <w:jc w:val="center"/>
              </w:trPr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5F7892E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035397C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4A2A065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052E430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00063D09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52DF23C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4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4521519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4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6D99A4F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</w:pP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733AAB17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 </w:t>
                  </w:r>
                </w:p>
              </w:tc>
              <w:tc>
                <w:tcPr>
                  <w:tcW w:w="0" w:type="auto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261F17E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18"/>
                      <w:szCs w:val="18"/>
                      <w:highlight w:val="none"/>
                      <w:lang w:val="en-US" w:eastAsia="zh-CN" w:bidi="ar"/>
                    </w:rPr>
                    <w:t> </w:t>
                  </w:r>
                </w:p>
              </w:tc>
            </w:tr>
            <w:tr w14:paraId="58BF039E">
              <w:tblPrEx>
                <w:tblBorders>
                  <w:top w:val="none" w:color="auto" w:sz="6" w:space="0"/>
                  <w:left w:val="none" w:color="auto" w:sz="6" w:space="0"/>
                  <w:bottom w:val="none" w:color="auto" w:sz="6" w:space="0"/>
                  <w:right w:val="none" w:color="auto" w:sz="6" w:space="0"/>
                  <w:insideH w:val="outset" w:color="auto" w:sz="6" w:space="0"/>
                  <w:insideV w:val="outset" w:color="auto" w:sz="6" w:space="0"/>
                </w:tblBorders>
                <w:shd w:val="clear" w:color="auto" w:fill="FFFFFF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322" w:hRule="atLeast"/>
                <w:jc w:val="center"/>
              </w:trPr>
              <w:tc>
                <w:tcPr>
                  <w:tcW w:w="0" w:type="auto"/>
                  <w:gridSpan w:val="10"/>
                  <w:tcBorders>
                    <w:top w:val="single" w:color="auto" w:sz="8" w:space="0"/>
                    <w:left w:val="single" w:color="auto" w:sz="8" w:space="0"/>
                    <w:bottom w:val="single" w:color="auto" w:sz="8" w:space="0"/>
                    <w:right w:val="single" w:color="auto" w:sz="8" w:space="0"/>
                  </w:tcBorders>
                  <w:shd w:val="clear" w:color="auto" w:fill="FFFFFF"/>
                  <w:noWrap w:val="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69A23E2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/>
                    <w:ind w:left="0" w:right="0"/>
                    <w:jc w:val="both"/>
                    <w:rPr>
                      <w:rFonts w:hint="default" w:ascii="Calibri" w:hAnsi="Calibri" w:cs="Calibri"/>
                      <w:sz w:val="21"/>
                      <w:szCs w:val="21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highlight w:val="none"/>
                      <w:lang w:val="en-US" w:eastAsia="zh-CN" w:bidi="ar"/>
                    </w:rPr>
                    <w:t>其他：</w:t>
                  </w:r>
                </w:p>
              </w:tc>
            </w:tr>
          </w:tbl>
          <w:p w14:paraId="59B7822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jc w:val="left"/>
              <w:textAlignment w:val="baseline"/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  <w:t>（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四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  <w:t>）关联企业情况</w:t>
            </w:r>
          </w:p>
          <w:p w14:paraId="75AADBA3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default" w:ascii="宋体" w:hAnsi="宋体" w:cs="宋体"/>
                <w:snapToGrid w:val="0"/>
                <w:color w:val="000000"/>
                <w:kern w:val="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1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.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关联企业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 xml:space="preserve">经营情况                                                                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 w:val="21"/>
                <w:szCs w:val="21"/>
                <w:highlight w:val="none"/>
                <w:lang w:val="en-US" w:eastAsia="zh-CN"/>
              </w:rPr>
              <w:t>单位（万元）</w:t>
            </w:r>
          </w:p>
          <w:tbl>
            <w:tblPr>
              <w:tblStyle w:val="13"/>
              <w:tblW w:w="10834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004"/>
              <w:gridCol w:w="829"/>
              <w:gridCol w:w="829"/>
              <w:gridCol w:w="829"/>
              <w:gridCol w:w="767"/>
              <w:gridCol w:w="962"/>
              <w:gridCol w:w="1118"/>
              <w:gridCol w:w="1076"/>
              <w:gridCol w:w="1710"/>
              <w:gridCol w:w="1710"/>
            </w:tblGrid>
            <w:tr w14:paraId="7BABBF9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004" w:type="dxa"/>
                  <w:noWrap w:val="0"/>
                  <w:vAlign w:val="center"/>
                </w:tcPr>
                <w:p w14:paraId="061E59EF">
                  <w:pPr>
                    <w:adjustRightInd w:val="0"/>
                    <w:snapToGrid w:val="0"/>
                    <w:jc w:val="center"/>
                    <w:rPr>
                      <w:rFonts w:hint="default" w:ascii="宋体" w:hAnsi="宋体" w:eastAsia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企业名称</w:t>
                  </w:r>
                </w:p>
              </w:tc>
              <w:tc>
                <w:tcPr>
                  <w:tcW w:w="829" w:type="dxa"/>
                  <w:noWrap w:val="0"/>
                  <w:vAlign w:val="center"/>
                </w:tcPr>
                <w:p w14:paraId="2A8DFDF6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成立时间</w:t>
                  </w:r>
                </w:p>
              </w:tc>
              <w:tc>
                <w:tcPr>
                  <w:tcW w:w="829" w:type="dxa"/>
                  <w:noWrap w:val="0"/>
                  <w:vAlign w:val="center"/>
                </w:tcPr>
                <w:p w14:paraId="65F14B6D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股权结构</w:t>
                  </w:r>
                </w:p>
              </w:tc>
              <w:tc>
                <w:tcPr>
                  <w:tcW w:w="829" w:type="dxa"/>
                  <w:noWrap w:val="0"/>
                  <w:vAlign w:val="center"/>
                </w:tcPr>
                <w:p w14:paraId="4F5E7192">
                  <w:pPr>
                    <w:adjustRightInd w:val="0"/>
                    <w:snapToGrid w:val="0"/>
                    <w:jc w:val="center"/>
                    <w:rPr>
                      <w:rFonts w:hint="default" w:ascii="宋体" w:hAnsi="宋体" w:eastAsia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主营业务及产品</w:t>
                  </w:r>
                </w:p>
              </w:tc>
              <w:tc>
                <w:tcPr>
                  <w:tcW w:w="767" w:type="dxa"/>
                  <w:noWrap w:val="0"/>
                  <w:vAlign w:val="center"/>
                </w:tcPr>
                <w:p w14:paraId="22D96D94">
                  <w:pPr>
                    <w:adjustRightInd w:val="0"/>
                    <w:snapToGrid w:val="0"/>
                    <w:jc w:val="center"/>
                    <w:rPr>
                      <w:rFonts w:hint="default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注册资本/实收资本</w:t>
                  </w:r>
                </w:p>
              </w:tc>
              <w:tc>
                <w:tcPr>
                  <w:tcW w:w="962" w:type="dxa"/>
                  <w:noWrap w:val="0"/>
                  <w:vAlign w:val="center"/>
                </w:tcPr>
                <w:p w14:paraId="574875EA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上</w:t>
                  </w:r>
                  <w:r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  <w:t>年</w:t>
                  </w:r>
                  <w:r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主营</w:t>
                  </w:r>
                </w:p>
                <w:p w14:paraId="5258BE36">
                  <w:pPr>
                    <w:adjustRightInd w:val="0"/>
                    <w:snapToGrid w:val="0"/>
                    <w:jc w:val="center"/>
                    <w:rPr>
                      <w:rFonts w:hint="default" w:ascii="宋体" w:hAnsi="宋体" w:eastAsia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业务收入</w:t>
                  </w:r>
                </w:p>
              </w:tc>
              <w:tc>
                <w:tcPr>
                  <w:tcW w:w="1118" w:type="dxa"/>
                  <w:noWrap w:val="0"/>
                  <w:vAlign w:val="center"/>
                </w:tcPr>
                <w:p w14:paraId="33E0D499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上年</w:t>
                  </w:r>
                </w:p>
                <w:p w14:paraId="18AADDE2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  <w:t>净利润</w:t>
                  </w:r>
                </w:p>
              </w:tc>
              <w:tc>
                <w:tcPr>
                  <w:tcW w:w="1076" w:type="dxa"/>
                  <w:noWrap w:val="0"/>
                  <w:vAlign w:val="center"/>
                </w:tcPr>
                <w:p w14:paraId="6C440ACE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  <w:t>最新</w:t>
                  </w:r>
                </w:p>
                <w:p w14:paraId="337E6AA4">
                  <w:pPr>
                    <w:adjustRightInd w:val="0"/>
                    <w:snapToGrid w:val="0"/>
                    <w:jc w:val="center"/>
                    <w:rPr>
                      <w:rFonts w:hint="default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val="en-US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  <w:t>融资</w:t>
                  </w:r>
                  <w:r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总敞口</w:t>
                  </w:r>
                </w:p>
              </w:tc>
              <w:tc>
                <w:tcPr>
                  <w:tcW w:w="1710" w:type="dxa"/>
                  <w:noWrap w:val="0"/>
                  <w:vAlign w:val="center"/>
                </w:tcPr>
                <w:p w14:paraId="3DA7091A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  <w:t>与借款企业关联交易、资金往来情况（若有）</w:t>
                  </w:r>
                </w:p>
              </w:tc>
              <w:tc>
                <w:tcPr>
                  <w:tcW w:w="1710" w:type="dxa"/>
                  <w:noWrap w:val="0"/>
                  <w:vAlign w:val="center"/>
                </w:tcPr>
                <w:p w14:paraId="3D1A1005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eastAsia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涉诉情况</w:t>
                  </w:r>
                </w:p>
              </w:tc>
            </w:tr>
            <w:tr w14:paraId="538B5AD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90" w:hRule="atLeast"/>
                <w:jc w:val="center"/>
              </w:trPr>
              <w:tc>
                <w:tcPr>
                  <w:tcW w:w="1004" w:type="dxa"/>
                  <w:noWrap w:val="0"/>
                  <w:vAlign w:val="center"/>
                </w:tcPr>
                <w:p w14:paraId="4A7456AC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  <w:t>关联企业1</w:t>
                  </w:r>
                </w:p>
              </w:tc>
              <w:tc>
                <w:tcPr>
                  <w:tcW w:w="829" w:type="dxa"/>
                  <w:noWrap w:val="0"/>
                  <w:vAlign w:val="center"/>
                </w:tcPr>
                <w:p w14:paraId="1008F3C6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2018-1-11</w:t>
                  </w:r>
                </w:p>
              </w:tc>
              <w:tc>
                <w:tcPr>
                  <w:tcW w:w="829" w:type="dxa"/>
                  <w:noWrap w:val="0"/>
                  <w:vAlign w:val="center"/>
                </w:tcPr>
                <w:p w14:paraId="4A52BDE9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中锐网络100%控股</w:t>
                  </w:r>
                </w:p>
              </w:tc>
              <w:tc>
                <w:tcPr>
                  <w:tcW w:w="829" w:type="dxa"/>
                  <w:noWrap w:val="0"/>
                  <w:vAlign w:val="center"/>
                </w:tcPr>
                <w:p w14:paraId="273F808C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智慧水利</w:t>
                  </w:r>
                </w:p>
              </w:tc>
              <w:tc>
                <w:tcPr>
                  <w:tcW w:w="767" w:type="dxa"/>
                  <w:noWrap w:val="0"/>
                  <w:vAlign w:val="center"/>
                </w:tcPr>
                <w:p w14:paraId="4BDE07B0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1000</w:t>
                  </w:r>
                </w:p>
              </w:tc>
              <w:tc>
                <w:tcPr>
                  <w:tcW w:w="962" w:type="dxa"/>
                  <w:noWrap w:val="0"/>
                  <w:vAlign w:val="center"/>
                </w:tcPr>
                <w:p w14:paraId="27370591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118" w:type="dxa"/>
                  <w:noWrap w:val="0"/>
                  <w:vAlign w:val="center"/>
                </w:tcPr>
                <w:p w14:paraId="181CF02D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-682</w:t>
                  </w:r>
                </w:p>
              </w:tc>
              <w:tc>
                <w:tcPr>
                  <w:tcW w:w="1076" w:type="dxa"/>
                  <w:noWrap w:val="0"/>
                  <w:vAlign w:val="center"/>
                </w:tcPr>
                <w:p w14:paraId="2A359A35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0</w:t>
                  </w:r>
                </w:p>
              </w:tc>
              <w:tc>
                <w:tcPr>
                  <w:tcW w:w="1710" w:type="dxa"/>
                  <w:noWrap w:val="0"/>
                  <w:vAlign w:val="center"/>
                </w:tcPr>
                <w:p w14:paraId="7F37E320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710" w:type="dxa"/>
                  <w:noWrap w:val="0"/>
                  <w:vAlign w:val="center"/>
                </w:tcPr>
                <w:p w14:paraId="231EF09B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</w:tr>
            <w:tr w14:paraId="11B7B9D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004" w:type="dxa"/>
                  <w:noWrap w:val="0"/>
                  <w:vAlign w:val="center"/>
                </w:tcPr>
                <w:p w14:paraId="0097D715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  <w:t>关联企业2</w:t>
                  </w:r>
                </w:p>
              </w:tc>
              <w:tc>
                <w:tcPr>
                  <w:tcW w:w="829" w:type="dxa"/>
                  <w:noWrap w:val="0"/>
                  <w:vAlign w:val="center"/>
                </w:tcPr>
                <w:p w14:paraId="1491492F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2022-6-28</w:t>
                  </w:r>
                </w:p>
              </w:tc>
              <w:tc>
                <w:tcPr>
                  <w:tcW w:w="829" w:type="dxa"/>
                  <w:noWrap w:val="0"/>
                  <w:vAlign w:val="center"/>
                </w:tcPr>
                <w:p w14:paraId="3FB9048D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中锐网络100%控股</w:t>
                  </w:r>
                </w:p>
              </w:tc>
              <w:tc>
                <w:tcPr>
                  <w:tcW w:w="829" w:type="dxa"/>
                  <w:noWrap w:val="0"/>
                  <w:vAlign w:val="center"/>
                </w:tcPr>
                <w:p w14:paraId="6D8BB1EB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智慧教育</w:t>
                  </w:r>
                </w:p>
              </w:tc>
              <w:tc>
                <w:tcPr>
                  <w:tcW w:w="767" w:type="dxa"/>
                  <w:noWrap w:val="0"/>
                  <w:vAlign w:val="center"/>
                </w:tcPr>
                <w:p w14:paraId="4FC6E265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1000</w:t>
                  </w:r>
                </w:p>
              </w:tc>
              <w:tc>
                <w:tcPr>
                  <w:tcW w:w="962" w:type="dxa"/>
                  <w:noWrap w:val="0"/>
                  <w:vAlign w:val="center"/>
                </w:tcPr>
                <w:p w14:paraId="21CAB3FB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118" w:type="dxa"/>
                  <w:noWrap w:val="0"/>
                  <w:vAlign w:val="center"/>
                </w:tcPr>
                <w:p w14:paraId="6B5E1F50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-1275</w:t>
                  </w:r>
                </w:p>
              </w:tc>
              <w:tc>
                <w:tcPr>
                  <w:tcW w:w="1076" w:type="dxa"/>
                  <w:noWrap w:val="0"/>
                  <w:vAlign w:val="center"/>
                </w:tcPr>
                <w:p w14:paraId="029BCC51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0</w:t>
                  </w:r>
                </w:p>
              </w:tc>
              <w:tc>
                <w:tcPr>
                  <w:tcW w:w="1710" w:type="dxa"/>
                  <w:noWrap w:val="0"/>
                  <w:vAlign w:val="center"/>
                </w:tcPr>
                <w:p w14:paraId="2300C235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710" w:type="dxa"/>
                  <w:noWrap w:val="0"/>
                  <w:vAlign w:val="center"/>
                </w:tcPr>
                <w:p w14:paraId="36DB45E6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</w:tr>
            <w:tr w14:paraId="38721A1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004" w:type="dxa"/>
                  <w:noWrap w:val="0"/>
                  <w:vAlign w:val="center"/>
                </w:tcPr>
                <w:p w14:paraId="3B01D451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  <w:t>关联企业3</w:t>
                  </w:r>
                </w:p>
              </w:tc>
              <w:tc>
                <w:tcPr>
                  <w:tcW w:w="829" w:type="dxa"/>
                  <w:noWrap w:val="0"/>
                  <w:vAlign w:val="center"/>
                </w:tcPr>
                <w:p w14:paraId="015781B6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2020-9-23</w:t>
                  </w:r>
                </w:p>
              </w:tc>
              <w:tc>
                <w:tcPr>
                  <w:tcW w:w="829" w:type="dxa"/>
                  <w:noWrap w:val="0"/>
                  <w:vAlign w:val="center"/>
                </w:tcPr>
                <w:p w14:paraId="083DF333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中锐网络100%控股</w:t>
                  </w:r>
                </w:p>
              </w:tc>
              <w:tc>
                <w:tcPr>
                  <w:tcW w:w="829" w:type="dxa"/>
                  <w:noWrap w:val="0"/>
                  <w:vAlign w:val="center"/>
                </w:tcPr>
                <w:p w14:paraId="33D32FE1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产教融合创新服务</w:t>
                  </w:r>
                </w:p>
              </w:tc>
              <w:tc>
                <w:tcPr>
                  <w:tcW w:w="767" w:type="dxa"/>
                  <w:noWrap w:val="0"/>
                  <w:vAlign w:val="center"/>
                </w:tcPr>
                <w:p w14:paraId="45BB1E80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1000</w:t>
                  </w:r>
                </w:p>
              </w:tc>
              <w:tc>
                <w:tcPr>
                  <w:tcW w:w="962" w:type="dxa"/>
                  <w:noWrap w:val="0"/>
                  <w:vAlign w:val="center"/>
                </w:tcPr>
                <w:p w14:paraId="636D877D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118" w:type="dxa"/>
                  <w:noWrap w:val="0"/>
                  <w:vAlign w:val="center"/>
                </w:tcPr>
                <w:p w14:paraId="653A6791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16</w:t>
                  </w:r>
                </w:p>
              </w:tc>
              <w:tc>
                <w:tcPr>
                  <w:tcW w:w="1076" w:type="dxa"/>
                  <w:noWrap w:val="0"/>
                  <w:vAlign w:val="center"/>
                </w:tcPr>
                <w:p w14:paraId="12B81FBD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213.4</w:t>
                  </w:r>
                </w:p>
              </w:tc>
              <w:tc>
                <w:tcPr>
                  <w:tcW w:w="1710" w:type="dxa"/>
                  <w:noWrap w:val="0"/>
                  <w:vAlign w:val="center"/>
                </w:tcPr>
                <w:p w14:paraId="7F329693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710" w:type="dxa"/>
                  <w:noWrap w:val="0"/>
                  <w:vAlign w:val="center"/>
                </w:tcPr>
                <w:p w14:paraId="22ED5D53">
                  <w:pPr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</w:tr>
          </w:tbl>
          <w:p w14:paraId="13FBDFEC">
            <w:pPr>
              <w:ind w:firstLine="422" w:firstLineChars="200"/>
              <w:jc w:val="left"/>
              <w:outlineLvl w:val="0"/>
              <w:rPr>
                <w:rFonts w:hint="eastAsia" w:ascii="宋体" w:hAnsi="宋体" w:eastAsia="宋体" w:cs="宋体"/>
                <w:snapToGrid w:val="0"/>
                <w:kern w:val="0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highlight w:val="none"/>
              </w:rPr>
              <w:t>关联企业关系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highlight w:val="none"/>
                <w:lang w:eastAsia="zh-CN"/>
              </w:rPr>
              <w:t>：</w:t>
            </w:r>
            <w:r>
              <w:rPr>
                <w:rFonts w:hint="eastAsia" w:ascii="宋体" w:hAnsi="宋体" w:eastAsia="宋体" w:cs="宋体"/>
                <w:snapToGrid w:val="0"/>
                <w:kern w:val="0"/>
                <w:szCs w:val="21"/>
                <w:lang w:eastAsia="zh-CN"/>
              </w:rPr>
              <w:t>可附图</w:t>
            </w:r>
          </w:p>
          <w:p w14:paraId="29070FDD">
            <w:pPr>
              <w:ind w:firstLine="422" w:firstLineChars="200"/>
              <w:jc w:val="left"/>
              <w:outlineLvl w:val="0"/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</w:rPr>
              <w:t>关联企业情况小结：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企业关联方众多，但仅关联企业1、2有实际经营，总体经营规模不大，与借款企业存在少量关联交易、资金往来。</w:t>
            </w:r>
          </w:p>
          <w:p w14:paraId="0BB5025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lang w:val="en-US" w:eastAsia="zh-CN"/>
              </w:rPr>
              <w:t>2.集团合并财务数据（若有）：</w:t>
            </w:r>
          </w:p>
          <w:tbl>
            <w:tblPr>
              <w:tblStyle w:val="13"/>
              <w:tblW w:w="10350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861"/>
              <w:gridCol w:w="604"/>
              <w:gridCol w:w="606"/>
              <w:gridCol w:w="569"/>
              <w:gridCol w:w="409"/>
              <w:gridCol w:w="596"/>
              <w:gridCol w:w="607"/>
              <w:gridCol w:w="628"/>
              <w:gridCol w:w="563"/>
              <w:gridCol w:w="651"/>
              <w:gridCol w:w="661"/>
              <w:gridCol w:w="540"/>
              <w:gridCol w:w="639"/>
              <w:gridCol w:w="563"/>
              <w:gridCol w:w="540"/>
              <w:gridCol w:w="585"/>
              <w:gridCol w:w="728"/>
            </w:tblGrid>
            <w:tr w14:paraId="577A9AA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714" w:hRule="atLeast"/>
                <w:jc w:val="center"/>
              </w:trPr>
              <w:tc>
                <w:tcPr>
                  <w:tcW w:w="861" w:type="dxa"/>
                  <w:noWrap w:val="0"/>
                  <w:vAlign w:val="center"/>
                </w:tcPr>
                <w:p w14:paraId="77374A6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年份</w:t>
                  </w:r>
                </w:p>
              </w:tc>
              <w:tc>
                <w:tcPr>
                  <w:tcW w:w="604" w:type="dxa"/>
                  <w:noWrap w:val="0"/>
                  <w:vAlign w:val="center"/>
                </w:tcPr>
                <w:p w14:paraId="625FABD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总资产</w:t>
                  </w:r>
                </w:p>
              </w:tc>
              <w:tc>
                <w:tcPr>
                  <w:tcW w:w="606" w:type="dxa"/>
                  <w:noWrap w:val="0"/>
                  <w:vAlign w:val="center"/>
                </w:tcPr>
                <w:p w14:paraId="5E59333A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净资产</w:t>
                  </w:r>
                </w:p>
              </w:tc>
              <w:tc>
                <w:tcPr>
                  <w:tcW w:w="569" w:type="dxa"/>
                  <w:noWrap w:val="0"/>
                  <w:vAlign w:val="center"/>
                </w:tcPr>
                <w:p w14:paraId="4C97DCB7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负债率</w:t>
                  </w:r>
                </w:p>
              </w:tc>
              <w:tc>
                <w:tcPr>
                  <w:tcW w:w="409" w:type="dxa"/>
                  <w:noWrap w:val="0"/>
                  <w:vAlign w:val="center"/>
                </w:tcPr>
                <w:p w14:paraId="4F2C01F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流</w:t>
                  </w:r>
                </w:p>
                <w:p w14:paraId="4385287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动</w:t>
                  </w:r>
                </w:p>
                <w:p w14:paraId="3A9DB61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eastAsia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比</w:t>
                  </w:r>
                </w:p>
              </w:tc>
              <w:tc>
                <w:tcPr>
                  <w:tcW w:w="596" w:type="dxa"/>
                  <w:noWrap w:val="0"/>
                  <w:vAlign w:val="center"/>
                </w:tcPr>
                <w:p w14:paraId="2CE2C4A4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主营</w:t>
                  </w: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业务</w:t>
                  </w:r>
                </w:p>
                <w:p w14:paraId="6ED6FCD4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收入</w:t>
                  </w:r>
                </w:p>
              </w:tc>
              <w:tc>
                <w:tcPr>
                  <w:tcW w:w="607" w:type="dxa"/>
                  <w:noWrap w:val="0"/>
                  <w:vAlign w:val="center"/>
                </w:tcPr>
                <w:p w14:paraId="03AEF65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毛利率</w:t>
                  </w:r>
                </w:p>
              </w:tc>
              <w:tc>
                <w:tcPr>
                  <w:tcW w:w="628" w:type="dxa"/>
                  <w:noWrap w:val="0"/>
                  <w:vAlign w:val="center"/>
                </w:tcPr>
                <w:p w14:paraId="024263ED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净利润</w:t>
                  </w:r>
                </w:p>
              </w:tc>
              <w:tc>
                <w:tcPr>
                  <w:tcW w:w="563" w:type="dxa"/>
                  <w:noWrap w:val="0"/>
                  <w:vAlign w:val="center"/>
                </w:tcPr>
                <w:p w14:paraId="65AC7AC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货币资金</w:t>
                  </w:r>
                </w:p>
              </w:tc>
              <w:tc>
                <w:tcPr>
                  <w:tcW w:w="651" w:type="dxa"/>
                  <w:noWrap w:val="0"/>
                  <w:vAlign w:val="center"/>
                </w:tcPr>
                <w:p w14:paraId="5CBB3289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应收</w:t>
                  </w:r>
                </w:p>
                <w:p w14:paraId="62F8470D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账款</w:t>
                  </w:r>
                </w:p>
              </w:tc>
              <w:tc>
                <w:tcPr>
                  <w:tcW w:w="661" w:type="dxa"/>
                  <w:noWrap w:val="0"/>
                  <w:vAlign w:val="center"/>
                </w:tcPr>
                <w:p w14:paraId="7382430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default" w:ascii="宋体" w:hAnsi="宋体" w:eastAsia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其他应收款</w:t>
                  </w:r>
                </w:p>
              </w:tc>
              <w:tc>
                <w:tcPr>
                  <w:tcW w:w="540" w:type="dxa"/>
                  <w:noWrap w:val="0"/>
                  <w:vAlign w:val="center"/>
                </w:tcPr>
                <w:p w14:paraId="1DA8466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存货</w:t>
                  </w:r>
                </w:p>
              </w:tc>
              <w:tc>
                <w:tcPr>
                  <w:tcW w:w="639" w:type="dxa"/>
                  <w:noWrap w:val="0"/>
                  <w:vAlign w:val="center"/>
                </w:tcPr>
                <w:p w14:paraId="4FC4208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固定资产</w:t>
                  </w:r>
                </w:p>
              </w:tc>
              <w:tc>
                <w:tcPr>
                  <w:tcW w:w="563" w:type="dxa"/>
                  <w:noWrap w:val="0"/>
                  <w:vAlign w:val="center"/>
                </w:tcPr>
                <w:p w14:paraId="5C33C2E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银行</w:t>
                  </w: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借款</w:t>
                  </w:r>
                </w:p>
              </w:tc>
              <w:tc>
                <w:tcPr>
                  <w:tcW w:w="540" w:type="dxa"/>
                  <w:noWrap w:val="0"/>
                  <w:vAlign w:val="center"/>
                </w:tcPr>
                <w:p w14:paraId="51563B9A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应付账款</w:t>
                  </w:r>
                </w:p>
              </w:tc>
              <w:tc>
                <w:tcPr>
                  <w:tcW w:w="585" w:type="dxa"/>
                  <w:noWrap w:val="0"/>
                  <w:vAlign w:val="center"/>
                </w:tcPr>
                <w:p w14:paraId="3F8F564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default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其他应付款</w:t>
                  </w:r>
                </w:p>
              </w:tc>
              <w:tc>
                <w:tcPr>
                  <w:tcW w:w="728" w:type="dxa"/>
                  <w:noWrap w:val="0"/>
                  <w:vAlign w:val="center"/>
                </w:tcPr>
                <w:p w14:paraId="2894615B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default" w:ascii="宋体" w:hAnsi="宋体" w:eastAsia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经营性现金流</w:t>
                  </w:r>
                </w:p>
              </w:tc>
            </w:tr>
            <w:tr w14:paraId="0C4F67C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44" w:hRule="atLeast"/>
                <w:jc w:val="center"/>
              </w:trPr>
              <w:tc>
                <w:tcPr>
                  <w:tcW w:w="861" w:type="dxa"/>
                  <w:noWrap w:val="0"/>
                  <w:vAlign w:val="center"/>
                </w:tcPr>
                <w:p w14:paraId="4C2566B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left="210" w:hanging="180" w:hangingChars="100"/>
                    <w:jc w:val="center"/>
                    <w:textAlignment w:val="baseline"/>
                    <w:rPr>
                      <w:rFonts w:hint="default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20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22</w:t>
                  </w:r>
                </w:p>
              </w:tc>
              <w:tc>
                <w:tcPr>
                  <w:tcW w:w="604" w:type="dxa"/>
                  <w:noWrap w:val="0"/>
                  <w:vAlign w:val="center"/>
                </w:tcPr>
                <w:p w14:paraId="5B8485C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17895</w:t>
                  </w:r>
                </w:p>
              </w:tc>
              <w:tc>
                <w:tcPr>
                  <w:tcW w:w="606" w:type="dxa"/>
                  <w:noWrap w:val="0"/>
                  <w:vAlign w:val="center"/>
                </w:tcPr>
                <w:p w14:paraId="0DC793F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8357</w:t>
                  </w:r>
                </w:p>
              </w:tc>
              <w:tc>
                <w:tcPr>
                  <w:tcW w:w="569" w:type="dxa"/>
                  <w:noWrap w:val="0"/>
                  <w:vAlign w:val="center"/>
                </w:tcPr>
                <w:p w14:paraId="68F0FD6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53.29%</w:t>
                  </w:r>
                </w:p>
              </w:tc>
              <w:tc>
                <w:tcPr>
                  <w:tcW w:w="409" w:type="dxa"/>
                  <w:noWrap w:val="0"/>
                  <w:vAlign w:val="center"/>
                </w:tcPr>
                <w:p w14:paraId="756846D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1.5</w:t>
                  </w:r>
                </w:p>
              </w:tc>
              <w:tc>
                <w:tcPr>
                  <w:tcW w:w="596" w:type="dxa"/>
                  <w:noWrap w:val="0"/>
                  <w:vAlign w:val="center"/>
                </w:tcPr>
                <w:p w14:paraId="238B48A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21198</w:t>
                  </w:r>
                </w:p>
              </w:tc>
              <w:tc>
                <w:tcPr>
                  <w:tcW w:w="607" w:type="dxa"/>
                  <w:noWrap w:val="0"/>
                  <w:vAlign w:val="center"/>
                </w:tcPr>
                <w:p w14:paraId="15A89F22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30.55%</w:t>
                  </w:r>
                </w:p>
              </w:tc>
              <w:tc>
                <w:tcPr>
                  <w:tcW w:w="628" w:type="dxa"/>
                  <w:noWrap w:val="0"/>
                  <w:vAlign w:val="center"/>
                </w:tcPr>
                <w:p w14:paraId="0034665B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983</w:t>
                  </w:r>
                </w:p>
              </w:tc>
              <w:tc>
                <w:tcPr>
                  <w:tcW w:w="563" w:type="dxa"/>
                  <w:noWrap w:val="0"/>
                  <w:vAlign w:val="center"/>
                </w:tcPr>
                <w:p w14:paraId="458397BB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1104</w:t>
                  </w:r>
                </w:p>
              </w:tc>
              <w:tc>
                <w:tcPr>
                  <w:tcW w:w="651" w:type="dxa"/>
                  <w:noWrap w:val="0"/>
                  <w:vAlign w:val="center"/>
                </w:tcPr>
                <w:p w14:paraId="2D55384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4410</w:t>
                  </w:r>
                </w:p>
              </w:tc>
              <w:tc>
                <w:tcPr>
                  <w:tcW w:w="661" w:type="dxa"/>
                  <w:noWrap w:val="0"/>
                  <w:vAlign w:val="center"/>
                </w:tcPr>
                <w:p w14:paraId="5E2A28D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1432</w:t>
                  </w:r>
                </w:p>
              </w:tc>
              <w:tc>
                <w:tcPr>
                  <w:tcW w:w="540" w:type="dxa"/>
                  <w:noWrap w:val="0"/>
                  <w:vAlign w:val="center"/>
                </w:tcPr>
                <w:p w14:paraId="58BC093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5301</w:t>
                  </w:r>
                </w:p>
              </w:tc>
              <w:tc>
                <w:tcPr>
                  <w:tcW w:w="639" w:type="dxa"/>
                  <w:noWrap w:val="0"/>
                  <w:vAlign w:val="center"/>
                </w:tcPr>
                <w:p w14:paraId="6C0CA0E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161</w:t>
                  </w:r>
                </w:p>
              </w:tc>
              <w:tc>
                <w:tcPr>
                  <w:tcW w:w="563" w:type="dxa"/>
                  <w:noWrap w:val="0"/>
                  <w:vAlign w:val="center"/>
                </w:tcPr>
                <w:p w14:paraId="6050D7C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3000</w:t>
                  </w:r>
                </w:p>
              </w:tc>
              <w:tc>
                <w:tcPr>
                  <w:tcW w:w="540" w:type="dxa"/>
                  <w:noWrap w:val="0"/>
                  <w:vAlign w:val="center"/>
                </w:tcPr>
                <w:p w14:paraId="47FA720D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1490</w:t>
                  </w:r>
                </w:p>
              </w:tc>
              <w:tc>
                <w:tcPr>
                  <w:tcW w:w="585" w:type="dxa"/>
                  <w:noWrap w:val="0"/>
                  <w:vAlign w:val="center"/>
                </w:tcPr>
                <w:p w14:paraId="69958BD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63</w:t>
                  </w:r>
                </w:p>
              </w:tc>
              <w:tc>
                <w:tcPr>
                  <w:tcW w:w="728" w:type="dxa"/>
                  <w:noWrap w:val="0"/>
                  <w:vAlign w:val="center"/>
                </w:tcPr>
                <w:p w14:paraId="1C1A39D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-4373</w:t>
                  </w:r>
                </w:p>
              </w:tc>
            </w:tr>
            <w:tr w14:paraId="31F337B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44" w:hRule="atLeast"/>
                <w:jc w:val="center"/>
              </w:trPr>
              <w:tc>
                <w:tcPr>
                  <w:tcW w:w="861" w:type="dxa"/>
                  <w:noWrap w:val="0"/>
                  <w:vAlign w:val="center"/>
                </w:tcPr>
                <w:p w14:paraId="4136E61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left="210" w:hanging="180" w:hangingChars="100"/>
                    <w:jc w:val="center"/>
                    <w:textAlignment w:val="baseline"/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202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3</w:t>
                  </w:r>
                </w:p>
              </w:tc>
              <w:tc>
                <w:tcPr>
                  <w:tcW w:w="604" w:type="dxa"/>
                  <w:noWrap w:val="0"/>
                  <w:vAlign w:val="center"/>
                </w:tcPr>
                <w:p w14:paraId="7708557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17940</w:t>
                  </w:r>
                </w:p>
              </w:tc>
              <w:tc>
                <w:tcPr>
                  <w:tcW w:w="606" w:type="dxa"/>
                  <w:noWrap w:val="0"/>
                  <w:vAlign w:val="center"/>
                </w:tcPr>
                <w:p w14:paraId="3C37947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8927</w:t>
                  </w:r>
                </w:p>
              </w:tc>
              <w:tc>
                <w:tcPr>
                  <w:tcW w:w="569" w:type="dxa"/>
                  <w:noWrap w:val="0"/>
                  <w:vAlign w:val="center"/>
                </w:tcPr>
                <w:p w14:paraId="59DA321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50.25%</w:t>
                  </w:r>
                </w:p>
              </w:tc>
              <w:tc>
                <w:tcPr>
                  <w:tcW w:w="409" w:type="dxa"/>
                  <w:noWrap w:val="0"/>
                  <w:vAlign w:val="center"/>
                </w:tcPr>
                <w:p w14:paraId="75646B6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1.57</w:t>
                  </w:r>
                </w:p>
              </w:tc>
              <w:tc>
                <w:tcPr>
                  <w:tcW w:w="596" w:type="dxa"/>
                  <w:noWrap w:val="0"/>
                  <w:vAlign w:val="center"/>
                </w:tcPr>
                <w:p w14:paraId="0788FF1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12130</w:t>
                  </w:r>
                </w:p>
              </w:tc>
              <w:tc>
                <w:tcPr>
                  <w:tcW w:w="607" w:type="dxa"/>
                  <w:noWrap w:val="0"/>
                  <w:vAlign w:val="center"/>
                </w:tcPr>
                <w:p w14:paraId="3B2C72D2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27.3%</w:t>
                  </w:r>
                </w:p>
              </w:tc>
              <w:tc>
                <w:tcPr>
                  <w:tcW w:w="628" w:type="dxa"/>
                  <w:noWrap w:val="0"/>
                  <w:vAlign w:val="center"/>
                </w:tcPr>
                <w:p w14:paraId="59348EA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393</w:t>
                  </w:r>
                </w:p>
              </w:tc>
              <w:tc>
                <w:tcPr>
                  <w:tcW w:w="563" w:type="dxa"/>
                  <w:noWrap w:val="0"/>
                  <w:vAlign w:val="center"/>
                </w:tcPr>
                <w:p w14:paraId="037A573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1522</w:t>
                  </w:r>
                </w:p>
              </w:tc>
              <w:tc>
                <w:tcPr>
                  <w:tcW w:w="651" w:type="dxa"/>
                  <w:noWrap w:val="0"/>
                  <w:vAlign w:val="center"/>
                </w:tcPr>
                <w:p w14:paraId="69E5BC4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6354</w:t>
                  </w:r>
                </w:p>
              </w:tc>
              <w:tc>
                <w:tcPr>
                  <w:tcW w:w="661" w:type="dxa"/>
                  <w:noWrap w:val="0"/>
                  <w:vAlign w:val="center"/>
                </w:tcPr>
                <w:p w14:paraId="646E5262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3621</w:t>
                  </w:r>
                </w:p>
              </w:tc>
              <w:tc>
                <w:tcPr>
                  <w:tcW w:w="540" w:type="dxa"/>
                  <w:noWrap w:val="0"/>
                  <w:vAlign w:val="center"/>
                </w:tcPr>
                <w:p w14:paraId="77484102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2545</w:t>
                  </w:r>
                </w:p>
              </w:tc>
              <w:tc>
                <w:tcPr>
                  <w:tcW w:w="639" w:type="dxa"/>
                  <w:noWrap w:val="0"/>
                  <w:vAlign w:val="center"/>
                </w:tcPr>
                <w:p w14:paraId="0EC80B8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256</w:t>
                  </w:r>
                </w:p>
              </w:tc>
              <w:tc>
                <w:tcPr>
                  <w:tcW w:w="563" w:type="dxa"/>
                  <w:noWrap w:val="0"/>
                  <w:vAlign w:val="center"/>
                </w:tcPr>
                <w:p w14:paraId="4C4B3ED4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4000</w:t>
                  </w:r>
                </w:p>
              </w:tc>
              <w:tc>
                <w:tcPr>
                  <w:tcW w:w="540" w:type="dxa"/>
                  <w:noWrap w:val="0"/>
                  <w:vAlign w:val="center"/>
                </w:tcPr>
                <w:p w14:paraId="1D14E01D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1847</w:t>
                  </w:r>
                </w:p>
              </w:tc>
              <w:tc>
                <w:tcPr>
                  <w:tcW w:w="585" w:type="dxa"/>
                  <w:noWrap w:val="0"/>
                  <w:vAlign w:val="center"/>
                </w:tcPr>
                <w:p w14:paraId="0417F75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185</w:t>
                  </w:r>
                </w:p>
              </w:tc>
              <w:tc>
                <w:tcPr>
                  <w:tcW w:w="728" w:type="dxa"/>
                  <w:noWrap w:val="0"/>
                  <w:vAlign w:val="center"/>
                </w:tcPr>
                <w:p w14:paraId="606928A4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269</w:t>
                  </w:r>
                </w:p>
              </w:tc>
            </w:tr>
            <w:tr w14:paraId="7D30D38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44" w:hRule="atLeast"/>
                <w:jc w:val="center"/>
              </w:trPr>
              <w:tc>
                <w:tcPr>
                  <w:tcW w:w="861" w:type="dxa"/>
                  <w:noWrap w:val="0"/>
                  <w:vAlign w:val="center"/>
                </w:tcPr>
                <w:p w14:paraId="0B8FEC8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left="210" w:hanging="180" w:hangingChars="100"/>
                    <w:jc w:val="center"/>
                    <w:textAlignment w:val="baseline"/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202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4</w:t>
                  </w:r>
                </w:p>
              </w:tc>
              <w:tc>
                <w:tcPr>
                  <w:tcW w:w="604" w:type="dxa"/>
                  <w:noWrap w:val="0"/>
                  <w:vAlign w:val="center"/>
                </w:tcPr>
                <w:p w14:paraId="6FDE54F9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18575</w:t>
                  </w:r>
                </w:p>
              </w:tc>
              <w:tc>
                <w:tcPr>
                  <w:tcW w:w="606" w:type="dxa"/>
                  <w:noWrap w:val="0"/>
                  <w:vAlign w:val="center"/>
                </w:tcPr>
                <w:p w14:paraId="54795DE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9256</w:t>
                  </w:r>
                </w:p>
              </w:tc>
              <w:tc>
                <w:tcPr>
                  <w:tcW w:w="569" w:type="dxa"/>
                  <w:noWrap w:val="0"/>
                  <w:vAlign w:val="center"/>
                </w:tcPr>
                <w:p w14:paraId="03563967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50.17%</w:t>
                  </w:r>
                </w:p>
              </w:tc>
              <w:tc>
                <w:tcPr>
                  <w:tcW w:w="409" w:type="dxa"/>
                  <w:noWrap w:val="0"/>
                  <w:vAlign w:val="center"/>
                </w:tcPr>
                <w:p w14:paraId="281581D7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1.58</w:t>
                  </w:r>
                </w:p>
              </w:tc>
              <w:tc>
                <w:tcPr>
                  <w:tcW w:w="596" w:type="dxa"/>
                  <w:noWrap w:val="0"/>
                  <w:vAlign w:val="center"/>
                </w:tcPr>
                <w:p w14:paraId="294EB8A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8712</w:t>
                  </w:r>
                </w:p>
              </w:tc>
              <w:tc>
                <w:tcPr>
                  <w:tcW w:w="607" w:type="dxa"/>
                  <w:noWrap w:val="0"/>
                  <w:vAlign w:val="center"/>
                </w:tcPr>
                <w:p w14:paraId="7B92646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38.8%</w:t>
                  </w:r>
                </w:p>
              </w:tc>
              <w:tc>
                <w:tcPr>
                  <w:tcW w:w="628" w:type="dxa"/>
                  <w:noWrap w:val="0"/>
                  <w:vAlign w:val="center"/>
                </w:tcPr>
                <w:p w14:paraId="14DF8D1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329</w:t>
                  </w:r>
                </w:p>
              </w:tc>
              <w:tc>
                <w:tcPr>
                  <w:tcW w:w="563" w:type="dxa"/>
                  <w:noWrap w:val="0"/>
                  <w:vAlign w:val="center"/>
                </w:tcPr>
                <w:p w14:paraId="4336EEF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506</w:t>
                  </w:r>
                </w:p>
              </w:tc>
              <w:tc>
                <w:tcPr>
                  <w:tcW w:w="651" w:type="dxa"/>
                  <w:noWrap w:val="0"/>
                  <w:vAlign w:val="center"/>
                </w:tcPr>
                <w:p w14:paraId="546EDC9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9253</w:t>
                  </w:r>
                </w:p>
              </w:tc>
              <w:tc>
                <w:tcPr>
                  <w:tcW w:w="661" w:type="dxa"/>
                  <w:noWrap w:val="0"/>
                  <w:vAlign w:val="center"/>
                </w:tcPr>
                <w:p w14:paraId="458213F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3522</w:t>
                  </w:r>
                </w:p>
              </w:tc>
              <w:tc>
                <w:tcPr>
                  <w:tcW w:w="540" w:type="dxa"/>
                  <w:noWrap w:val="0"/>
                  <w:vAlign w:val="center"/>
                </w:tcPr>
                <w:p w14:paraId="153FBBD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1166</w:t>
                  </w:r>
                </w:p>
              </w:tc>
              <w:tc>
                <w:tcPr>
                  <w:tcW w:w="639" w:type="dxa"/>
                  <w:noWrap w:val="0"/>
                  <w:vAlign w:val="center"/>
                </w:tcPr>
                <w:p w14:paraId="16AD6FD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164</w:t>
                  </w:r>
                </w:p>
              </w:tc>
              <w:tc>
                <w:tcPr>
                  <w:tcW w:w="563" w:type="dxa"/>
                  <w:noWrap w:val="0"/>
                  <w:vAlign w:val="center"/>
                </w:tcPr>
                <w:p w14:paraId="5923024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4990</w:t>
                  </w:r>
                </w:p>
              </w:tc>
              <w:tc>
                <w:tcPr>
                  <w:tcW w:w="540" w:type="dxa"/>
                  <w:noWrap w:val="0"/>
                  <w:vAlign w:val="center"/>
                </w:tcPr>
                <w:p w14:paraId="40C41D22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2333</w:t>
                  </w:r>
                </w:p>
              </w:tc>
              <w:tc>
                <w:tcPr>
                  <w:tcW w:w="585" w:type="dxa"/>
                  <w:noWrap w:val="0"/>
                  <w:vAlign w:val="center"/>
                </w:tcPr>
                <w:p w14:paraId="70CE0EE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648</w:t>
                  </w:r>
                </w:p>
              </w:tc>
              <w:tc>
                <w:tcPr>
                  <w:tcW w:w="728" w:type="dxa"/>
                  <w:noWrap w:val="0"/>
                  <w:vAlign w:val="center"/>
                </w:tcPr>
                <w:p w14:paraId="25CEA4A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-896</w:t>
                  </w:r>
                </w:p>
              </w:tc>
            </w:tr>
            <w:tr w14:paraId="29EF884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44" w:hRule="atLeast"/>
                <w:jc w:val="center"/>
              </w:trPr>
              <w:tc>
                <w:tcPr>
                  <w:tcW w:w="861" w:type="dxa"/>
                  <w:noWrap w:val="0"/>
                  <w:vAlign w:val="center"/>
                </w:tcPr>
                <w:p w14:paraId="0498ED3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left="210" w:hanging="180" w:hangingChars="100"/>
                    <w:jc w:val="center"/>
                    <w:textAlignment w:val="baseline"/>
                    <w:rPr>
                      <w:rFonts w:hint="default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202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4.4</w:t>
                  </w:r>
                </w:p>
              </w:tc>
              <w:tc>
                <w:tcPr>
                  <w:tcW w:w="604" w:type="dxa"/>
                  <w:noWrap w:val="0"/>
                  <w:vAlign w:val="center"/>
                </w:tcPr>
                <w:p w14:paraId="5950C83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606" w:type="dxa"/>
                  <w:noWrap w:val="0"/>
                  <w:vAlign w:val="center"/>
                </w:tcPr>
                <w:p w14:paraId="7DE9EE0B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569" w:type="dxa"/>
                  <w:noWrap w:val="0"/>
                  <w:vAlign w:val="center"/>
                </w:tcPr>
                <w:p w14:paraId="5D1D6947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409" w:type="dxa"/>
                  <w:noWrap w:val="0"/>
                  <w:vAlign w:val="center"/>
                </w:tcPr>
                <w:p w14:paraId="7FFC586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596" w:type="dxa"/>
                  <w:noWrap w:val="0"/>
                  <w:vAlign w:val="center"/>
                </w:tcPr>
                <w:p w14:paraId="497981E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607" w:type="dxa"/>
                  <w:noWrap w:val="0"/>
                  <w:vAlign w:val="center"/>
                </w:tcPr>
                <w:p w14:paraId="45E0AB1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628" w:type="dxa"/>
                  <w:noWrap w:val="0"/>
                  <w:vAlign w:val="center"/>
                </w:tcPr>
                <w:p w14:paraId="1314635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563" w:type="dxa"/>
                  <w:noWrap w:val="0"/>
                  <w:vAlign w:val="center"/>
                </w:tcPr>
                <w:p w14:paraId="6DC32B0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651" w:type="dxa"/>
                  <w:noWrap w:val="0"/>
                  <w:vAlign w:val="center"/>
                </w:tcPr>
                <w:p w14:paraId="5306878B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661" w:type="dxa"/>
                  <w:noWrap w:val="0"/>
                  <w:vAlign w:val="center"/>
                </w:tcPr>
                <w:p w14:paraId="1B4ACC2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540" w:type="dxa"/>
                  <w:noWrap w:val="0"/>
                  <w:vAlign w:val="center"/>
                </w:tcPr>
                <w:p w14:paraId="7E47DE4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639" w:type="dxa"/>
                  <w:noWrap w:val="0"/>
                  <w:vAlign w:val="center"/>
                </w:tcPr>
                <w:p w14:paraId="10993694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563" w:type="dxa"/>
                  <w:noWrap w:val="0"/>
                  <w:vAlign w:val="center"/>
                </w:tcPr>
                <w:p w14:paraId="51F60AC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540" w:type="dxa"/>
                  <w:noWrap w:val="0"/>
                  <w:vAlign w:val="center"/>
                </w:tcPr>
                <w:p w14:paraId="666983F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585" w:type="dxa"/>
                  <w:noWrap w:val="0"/>
                  <w:vAlign w:val="center"/>
                </w:tcPr>
                <w:p w14:paraId="0229339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728" w:type="dxa"/>
                  <w:noWrap w:val="0"/>
                  <w:vAlign w:val="center"/>
                </w:tcPr>
                <w:p w14:paraId="4C161AD7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</w:p>
              </w:tc>
            </w:tr>
            <w:tr w14:paraId="41DBB39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54" w:hRule="atLeast"/>
                <w:jc w:val="center"/>
              </w:trPr>
              <w:tc>
                <w:tcPr>
                  <w:tcW w:w="861" w:type="dxa"/>
                  <w:noWrap w:val="0"/>
                  <w:vAlign w:val="center"/>
                </w:tcPr>
                <w:p>
                  <w:r>
                    <w:t>2025年末(新增)</w:t>
                  </w:r>
                </w:p>
              </w:tc>
              <w:tc>
                <w:tcPr>
                  <w:tcW w:w="604" w:type="dxa"/>
                  <w:noWrap w:val="0"/>
                  <w:vAlign w:val="center"/>
                </w:tcPr>
                <w:p w14:paraId="5F14769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16956</w:t>
                  </w:r>
                </w:p>
              </w:tc>
              <w:tc>
                <w:tcPr>
                  <w:tcW w:w="606" w:type="dxa"/>
                  <w:noWrap w:val="0"/>
                  <w:vAlign w:val="center"/>
                </w:tcPr>
                <w:p w14:paraId="09E9FF27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9749</w:t>
                  </w:r>
                </w:p>
              </w:tc>
              <w:tc>
                <w:tcPr>
                  <w:tcW w:w="569" w:type="dxa"/>
                  <w:noWrap w:val="0"/>
                  <w:vAlign w:val="center"/>
                </w:tcPr>
                <w:p w14:paraId="320CB7ED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42.5%</w:t>
                  </w:r>
                </w:p>
              </w:tc>
              <w:tc>
                <w:tcPr>
                  <w:tcW w:w="409" w:type="dxa"/>
                  <w:noWrap w:val="0"/>
                  <w:vAlign w:val="center"/>
                </w:tcPr>
                <w:p w14:paraId="0699E2F4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1.82</w:t>
                  </w:r>
                </w:p>
              </w:tc>
              <w:tc>
                <w:tcPr>
                  <w:tcW w:w="596" w:type="dxa"/>
                  <w:noWrap w:val="0"/>
                  <w:vAlign w:val="center"/>
                </w:tcPr>
                <w:p w14:paraId="25C8C819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10010</w:t>
                  </w:r>
                </w:p>
              </w:tc>
              <w:tc>
                <w:tcPr>
                  <w:tcW w:w="607" w:type="dxa"/>
                  <w:noWrap w:val="0"/>
                  <w:vAlign w:val="center"/>
                </w:tcPr>
                <w:p w14:paraId="1EC532F7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38.02%</w:t>
                  </w:r>
                </w:p>
              </w:tc>
              <w:tc>
                <w:tcPr>
                  <w:tcW w:w="628" w:type="dxa"/>
                  <w:noWrap w:val="0"/>
                  <w:vAlign w:val="center"/>
                </w:tcPr>
                <w:p w14:paraId="3A4C5A3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494</w:t>
                  </w:r>
                </w:p>
              </w:tc>
              <w:tc>
                <w:tcPr>
                  <w:tcW w:w="563" w:type="dxa"/>
                  <w:noWrap w:val="0"/>
                  <w:vAlign w:val="center"/>
                </w:tcPr>
                <w:p w14:paraId="7A1B609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286</w:t>
                  </w:r>
                </w:p>
              </w:tc>
              <w:tc>
                <w:tcPr>
                  <w:tcW w:w="651" w:type="dxa"/>
                  <w:noWrap w:val="0"/>
                  <w:vAlign w:val="center"/>
                </w:tcPr>
                <w:p w14:paraId="6D5CF8FD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7430</w:t>
                  </w:r>
                </w:p>
              </w:tc>
              <w:tc>
                <w:tcPr>
                  <w:tcW w:w="661" w:type="dxa"/>
                  <w:noWrap w:val="0"/>
                  <w:vAlign w:val="center"/>
                </w:tcPr>
                <w:p w14:paraId="7AF555F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2774</w:t>
                  </w:r>
                </w:p>
              </w:tc>
              <w:tc>
                <w:tcPr>
                  <w:tcW w:w="540" w:type="dxa"/>
                  <w:noWrap w:val="0"/>
                  <w:vAlign w:val="center"/>
                </w:tcPr>
                <w:p w14:paraId="706BCEC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2192</w:t>
                  </w:r>
                </w:p>
              </w:tc>
              <w:tc>
                <w:tcPr>
                  <w:tcW w:w="639" w:type="dxa"/>
                  <w:noWrap w:val="0"/>
                  <w:vAlign w:val="center"/>
                </w:tcPr>
                <w:p w14:paraId="34E4063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93</w:t>
                  </w:r>
                </w:p>
              </w:tc>
              <w:tc>
                <w:tcPr>
                  <w:tcW w:w="563" w:type="dxa"/>
                  <w:noWrap w:val="0"/>
                  <w:vAlign w:val="center"/>
                </w:tcPr>
                <w:p w14:paraId="47F40CD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4730</w:t>
                  </w:r>
                </w:p>
              </w:tc>
              <w:tc>
                <w:tcPr>
                  <w:tcW w:w="540" w:type="dxa"/>
                  <w:noWrap w:val="0"/>
                  <w:vAlign w:val="center"/>
                </w:tcPr>
                <w:p w14:paraId="1965F464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1026</w:t>
                  </w:r>
                </w:p>
              </w:tc>
              <w:tc>
                <w:tcPr>
                  <w:tcW w:w="585" w:type="dxa"/>
                  <w:noWrap w:val="0"/>
                  <w:vAlign w:val="center"/>
                </w:tcPr>
                <w:p w14:paraId="02BD285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168</w:t>
                  </w:r>
                </w:p>
              </w:tc>
              <w:tc>
                <w:tcPr>
                  <w:tcW w:w="728" w:type="dxa"/>
                  <w:noWrap w:val="0"/>
                  <w:vAlign w:val="center"/>
                </w:tcPr>
                <w:p w14:paraId="57D0B9F9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t>791</w:t>
                  </w:r>
                </w:p>
              </w:tc>
            </w:tr>
          </w:tbl>
          <w:p w14:paraId="55916AE0">
            <w:commentRangeStart w:id="6"/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 w:firstLineChars="200"/>
              <w:jc w:val="left"/>
              <w:textAlignment w:val="baseline"/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snapToGrid w:val="0"/>
                <w:kern w:val="0"/>
                <w:szCs w:val="21"/>
                <w:u w:val="single"/>
                <w:lang w:val="en-US" w:eastAsia="zh-CN"/>
              </w:rPr>
              <w:t>集团内因生产工艺等原因，互有关联销售，合计在____亿左右，剔除关联交易后，集团整体销售约____亿。</w:t>
            </w:r>
            <w:commentRangeEnd w:id="6"/>
            <w:r>
              <w:rPr>
                <w:rStyle w:val="CommentReference"/>
              </w:rPr>
              <w:commentReference w:id="6"/>
            </w:r>
          </w:p>
          <w:p w14:paraId="3CABD7D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</w:rPr>
              <w:t>3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lang w:val="en-US" w:eastAsia="zh-CN"/>
              </w:rPr>
              <w:t>.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</w:rPr>
              <w:t>我行集团授信或关联授信情况（若有）：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请描述集团或关联授信的最新授信方案及当前授信提用情况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none"/>
                <w:lang w:val="en-US" w:eastAsia="zh-CN"/>
              </w:rPr>
              <w:t>。</w:t>
            </w:r>
          </w:p>
          <w:p w14:paraId="55356AD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jc w:val="left"/>
              <w:textAlignment w:val="baseline"/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  <w:t>（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五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  <w:t>）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借款人</w:t>
            </w:r>
            <w:r>
              <w:rPr>
                <w:rFonts w:hint="eastAsia" w:ascii="宋体" w:hAnsi="宋体" w:cs="宋体"/>
                <w:b/>
                <w:snapToGrid w:val="0"/>
                <w:kern w:val="0"/>
                <w:szCs w:val="21"/>
                <w:highlight w:val="none"/>
              </w:rPr>
              <w:t>主要经营</w:t>
            </w:r>
            <w:r>
              <w:rPr>
                <w:rFonts w:hint="eastAsia" w:ascii="宋体" w:hAnsi="宋体" w:cs="宋体"/>
                <w:b/>
                <w:snapToGrid w:val="0"/>
                <w:kern w:val="0"/>
                <w:szCs w:val="21"/>
                <w:highlight w:val="none"/>
                <w:lang w:val="en-US" w:eastAsia="zh-CN"/>
              </w:rPr>
              <w:t>及</w:t>
            </w:r>
            <w:r>
              <w:rPr>
                <w:rFonts w:hint="eastAsia" w:ascii="宋体" w:hAnsi="宋体" w:cs="宋体"/>
                <w:b/>
                <w:snapToGrid w:val="0"/>
                <w:kern w:val="0"/>
                <w:szCs w:val="21"/>
                <w:highlight w:val="none"/>
              </w:rPr>
              <w:t>财务情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  <w:t>况</w:t>
            </w:r>
          </w:p>
          <w:p w14:paraId="4B2F20E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1.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产品（业务）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及其市场应用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主营芯片设计，主要销售的芯片为28nm级，产品主要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用于智慧水利、智慧教育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等。</w:t>
            </w:r>
          </w:p>
          <w:p w14:paraId="6F6BDB2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2" w:firstLineChars="200"/>
              <w:jc w:val="left"/>
              <w:textAlignment w:val="baseline"/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lang w:val="en-US" w:eastAsia="zh-CN"/>
              </w:rPr>
              <w:t>2.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</w:rPr>
              <w:t>产品优势、企业核心竞争力: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企业产品准入门槛较高，技术……，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u w:val="single"/>
              </w:rPr>
              <w:t>/</w:t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企业为传统行业企业，依托与上下游建立的多年稳定的合作关系经营。</w:t>
            </w:r>
          </w:p>
          <w:p w14:paraId="2C7F6AA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2" w:firstLineChars="200"/>
              <w:jc w:val="left"/>
              <w:textAlignment w:val="baseline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3.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产品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  <w:t>生产、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销量、销售收入及结构占比情况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 xml:space="preserve">：  </w:t>
            </w:r>
          </w:p>
          <w:p w14:paraId="1C0B563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 w:firstLineChars="200"/>
              <w:jc w:val="left"/>
              <w:textAlignment w:val="baseline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  <w:t>（若有）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生产工艺流程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snapToGrid w:val="0"/>
                <w:kern w:val="0"/>
                <w:szCs w:val="21"/>
                <w:highlight w:val="none"/>
                <w:lang w:eastAsia="zh-CN"/>
              </w:rPr>
              <w:t>可附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</w:rPr>
              <w:t>流程图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：</w:t>
            </w:r>
          </w:p>
          <w:p w14:paraId="7998D98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u w:val="single"/>
                <w:lang w:val="en-US" w:eastAsia="zh-CN" w:bidi="ar-SA"/>
              </w:rPr>
            </w:pP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  <w:t>生产分析：公司主营业务为智慧水利与智慧教育解决方案的研发与销售，属于轻资产运营模式，不涉及传统制造业的生产环节。材料未提供关于机器设备、生产线、产能及产销率的相关信息。公司2025年经营活动现金流量净额为791万元，投资活动现金流量净额为-586万元，筹资活动现金流量净额为-426万元，整体现金净流出221万元，期末货币资金余额为286万元，较期初下降43.6%，流动性有所趋紧。公司经营模式决定了其无需进行大规模生产性固定资产投资，但需关注其项目回款及营运资金管理能力。</w:t>
            </w: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Cs w:val="21"/>
                <w:lang w:val="en-US" w:eastAsia="zh-CN"/>
              </w:rPr>
            </w: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Cs w:val="21"/>
                <w:u w:val="single"/>
                <w:lang w:val="en-US" w:eastAsia="zh-CN"/>
              </w:rPr>
            </w:r>
          </w:p>
          <w:tbl>
            <w:tblPr>
              <w:tblStyle w:val="14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left w:w="108" w:type="dxa"/>
                <w:right w:w="108" w:type="dxa"/>
              </w:tblCellMar>
            </w:tblPr>
            <w:tblGrid>
              <w:gridCol w:w="1296"/>
              <w:gridCol w:w="2306"/>
              <w:gridCol w:w="1116"/>
              <w:gridCol w:w="1926"/>
              <w:gridCol w:w="756"/>
              <w:gridCol w:w="756"/>
            </w:tblGrid>
            <w:tr w14:paraId="2272FC9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left w:w="108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5035E132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  <w:t>主要产品名称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22329B4A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上年销量</w:t>
                  </w:r>
                </w:p>
                <w:p w14:paraId="6E40FD3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 w:firstLineChars="0"/>
                    <w:jc w:val="center"/>
                    <w:textAlignment w:val="baseline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（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单位：台/套/件...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）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185A2F47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/>
                      <w:sz w:val="18"/>
                      <w:szCs w:val="18"/>
                      <w:highlight w:val="none"/>
                      <w:lang w:val="en-US" w:eastAsia="zh-CN"/>
                    </w:rPr>
                    <w:t>上年销售额</w:t>
                  </w:r>
                </w:p>
                <w:p w14:paraId="7A435155">
                  <w:pPr>
                    <w:pStyle w:val="9"/>
                    <w:jc w:val="center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（万元）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42C4673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上年销售额占比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（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%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）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7993FAF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毛利润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13494D6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毛利率</w:t>
                  </w:r>
                </w:p>
              </w:tc>
            </w:tr>
            <w:tr w14:paraId="4CBB54C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left w:w="108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top"/>
                </w:tcPr>
                <w:p w14:paraId="0288490D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065CA615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0E15DC63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31DEDD63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4E4AA5EA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31E61B12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</w:tr>
            <w:tr w14:paraId="7101451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top"/>
                </w:tcPr>
                <w:p w14:paraId="5F88A6EA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08FF873F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6092F764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41FF8527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22EE86AD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13B96FCC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</w:tr>
          </w:tbl>
          <w:p w14:paraId="557D6191">
            <w:pPr>
              <w:rPr>
                <w:rFonts w:hint="eastAsia"/>
              </w:rPr>
            </w:pPr>
          </w:p>
          <w:tbl>
            <w:tblPr>
              <w:tblStyle w:val="14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296"/>
              <w:gridCol w:w="2306"/>
              <w:gridCol w:w="1566"/>
              <w:gridCol w:w="1926"/>
              <w:gridCol w:w="756"/>
              <w:gridCol w:w="756"/>
            </w:tblGrid>
            <w:tr w14:paraId="77BDBA5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380F695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  <w:t>主要产品名称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53F1BD1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本年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1-9月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销量</w:t>
                  </w:r>
                </w:p>
                <w:p w14:paraId="3A80B1C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 w:firstLineChars="0"/>
                    <w:jc w:val="center"/>
                    <w:textAlignment w:val="baseline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（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单位：台/套/件...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）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1A1F970B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本年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1-9月</w:t>
                  </w:r>
                  <w:r>
                    <w:rPr>
                      <w:rFonts w:hint="eastAsia"/>
                      <w:sz w:val="18"/>
                      <w:szCs w:val="18"/>
                      <w:highlight w:val="none"/>
                      <w:lang w:val="en-US" w:eastAsia="zh-CN"/>
                    </w:rPr>
                    <w:t>销售额</w:t>
                  </w:r>
                </w:p>
                <w:p w14:paraId="7BEAC1A1">
                  <w:pPr>
                    <w:pStyle w:val="9"/>
                    <w:jc w:val="center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（万元）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20CB243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上年销售额占比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（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%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）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5314CD9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毛利润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03242389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毛利率</w:t>
                  </w:r>
                </w:p>
              </w:tc>
            </w:tr>
            <w:tr w14:paraId="0B1B661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top"/>
                </w:tcPr>
                <w:p w14:paraId="3D279034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5FC10C4D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4B5EC27F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355442A7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6387936F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16BD1865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</w:tr>
            <w:tr w14:paraId="3CAF74D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top"/>
                </w:tcPr>
                <w:p w14:paraId="4EA9EF9F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523E7760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6D28EA54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1E5DC2D7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78CD620F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7FF11112">
                  <w:pPr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</w:tr>
          </w:tbl>
          <w:p w14:paraId="3FE5820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4.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上下游情况：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企业上游为中芯国际等，部分晶圆通过骏方微电子、成都锐杰微等民营企业下单采购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eastAsia="zh-CN"/>
              </w:rPr>
              <w:t>。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下游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客户有中电二十七所、中电五十四所、中电西安乾景防务、中国兵器工业导航与控制技术研究所等，客户资质较强，均为国有大型企业、院所。</w:t>
            </w:r>
          </w:p>
          <w:p w14:paraId="7EA0A4A4">
            <w:commentRangeStart w:id="7"/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843" w:firstLineChars="400"/>
              <w:jc w:val="left"/>
              <w:textAlignment w:val="baseline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①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主要上游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前五大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：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 xml:space="preserve">  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 xml:space="preserve"> 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 xml:space="preserve">    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 xml:space="preserve">                                            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单位：万元</w:t>
            </w:r>
            <w:commentRangeEnd w:id="7"/>
            <w:r>
              <w:rPr>
                <w:rStyle w:val="CommentReference"/>
              </w:rPr>
              <w:commentReference w:id="7"/>
            </w:r>
          </w:p>
          <w:tbl>
            <w:tblPr>
              <w:tblStyle w:val="13"/>
              <w:tblW w:w="10835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846"/>
              <w:gridCol w:w="990"/>
              <w:gridCol w:w="990"/>
              <w:gridCol w:w="1581"/>
              <w:gridCol w:w="1581"/>
              <w:gridCol w:w="1581"/>
              <w:gridCol w:w="820"/>
              <w:gridCol w:w="602"/>
              <w:gridCol w:w="844"/>
            </w:tblGrid>
            <w:tr w14:paraId="6D71D3A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85" w:hRule="atLeast"/>
                <w:jc w:val="center"/>
              </w:trPr>
              <w:tc>
                <w:tcPr>
                  <w:tcW w:w="1846" w:type="dxa"/>
                  <w:noWrap w:val="0"/>
                  <w:vAlign w:val="center"/>
                </w:tcPr>
                <w:p w14:paraId="707CB8B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  <w:t>主要上游供应商</w:t>
                  </w:r>
                </w:p>
              </w:tc>
              <w:tc>
                <w:tcPr>
                  <w:tcW w:w="990" w:type="dxa"/>
                  <w:noWrap w:val="0"/>
                  <w:vAlign w:val="center"/>
                </w:tcPr>
                <w:p w14:paraId="7B7AFFF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采购商品</w:t>
                  </w:r>
                </w:p>
              </w:tc>
              <w:tc>
                <w:tcPr>
                  <w:tcW w:w="990" w:type="dxa"/>
                  <w:noWrap w:val="0"/>
                  <w:vAlign w:val="center"/>
                </w:tcPr>
                <w:p w14:paraId="61FE809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 w:eastAsia="zh-CN" w:bidi="ar-SA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上年采购额</w:t>
                  </w:r>
                </w:p>
              </w:tc>
              <w:tc>
                <w:tcPr>
                  <w:tcW w:w="1581" w:type="dxa"/>
                  <w:noWrap w:val="0"/>
                  <w:vAlign w:val="center"/>
                </w:tcPr>
                <w:p w14:paraId="28FC57B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 w:eastAsia="zh-CN" w:bidi="ar-SA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上年采购额占比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（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%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）</w:t>
                  </w:r>
                </w:p>
              </w:tc>
              <w:tc>
                <w:tcPr>
                  <w:tcW w:w="1581" w:type="dxa"/>
                  <w:noWrap w:val="0"/>
                  <w:vAlign w:val="center"/>
                </w:tcPr>
                <w:p w14:paraId="3CE418A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 w:eastAsia="zh-CN" w:bidi="ar-SA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今年1-9月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采购额</w:t>
                  </w:r>
                </w:p>
              </w:tc>
              <w:tc>
                <w:tcPr>
                  <w:tcW w:w="1581" w:type="dxa"/>
                  <w:noWrap w:val="0"/>
                  <w:vAlign w:val="center"/>
                </w:tcPr>
                <w:p w14:paraId="116523C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 w:eastAsia="zh-CN" w:bidi="ar-SA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今年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1-9月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采购额占比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（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%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）</w:t>
                  </w:r>
                </w:p>
              </w:tc>
              <w:tc>
                <w:tcPr>
                  <w:tcW w:w="820" w:type="dxa"/>
                  <w:noWrap w:val="0"/>
                  <w:vAlign w:val="center"/>
                </w:tcPr>
                <w:p w14:paraId="7559CC7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结算方式</w:t>
                  </w:r>
                </w:p>
              </w:tc>
              <w:tc>
                <w:tcPr>
                  <w:tcW w:w="602" w:type="dxa"/>
                  <w:noWrap w:val="0"/>
                  <w:vAlign w:val="center"/>
                </w:tcPr>
                <w:p w14:paraId="5B6A1A4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both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账期</w:t>
                  </w:r>
                </w:p>
              </w:tc>
              <w:tc>
                <w:tcPr>
                  <w:tcW w:w="844" w:type="dxa"/>
                  <w:noWrap w:val="0"/>
                  <w:vAlign w:val="center"/>
                </w:tcPr>
                <w:p w14:paraId="5352F17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合作年限</w:t>
                  </w:r>
                </w:p>
              </w:tc>
            </w:tr>
            <w:tr w14:paraId="38386EE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846" w:type="dxa"/>
                  <w:noWrap w:val="0"/>
                  <w:vAlign w:val="center"/>
                </w:tcPr>
                <w:p w14:paraId="6434EF17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锐捷网络股份有限公司</w:t>
                  </w:r>
                </w:p>
              </w:tc>
              <w:tc>
                <w:tcPr>
                  <w:tcW w:w="990" w:type="dxa"/>
                  <w:noWrap w:val="0"/>
                  <w:vAlign w:val="top"/>
                </w:tcPr>
                <w:p w14:paraId="64AADBB2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货物</w:t>
                  </w:r>
                </w:p>
              </w:tc>
              <w:tc>
                <w:tcPr>
                  <w:tcW w:w="990" w:type="dxa"/>
                  <w:noWrap w:val="0"/>
                  <w:vAlign w:val="top"/>
                </w:tcPr>
                <w:p w14:paraId="54A79CB9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1581" w:type="dxa"/>
                  <w:noWrap w:val="0"/>
                  <w:vAlign w:val="center"/>
                </w:tcPr>
                <w:p w14:paraId="15A3FE9A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1581" w:type="dxa"/>
                  <w:noWrap w:val="0"/>
                  <w:vAlign w:val="center"/>
                </w:tcPr>
                <w:p w14:paraId="50BC571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 w:eastAsia="zh-CN" w:bidi="ar-SA"/>
                    </w:rPr>
                  </w:pPr>
                </w:p>
              </w:tc>
              <w:tc>
                <w:tcPr>
                  <w:tcW w:w="1581" w:type="dxa"/>
                  <w:noWrap w:val="0"/>
                  <w:vAlign w:val="center"/>
                </w:tcPr>
                <w:p w14:paraId="5DBC207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 w:eastAsia="zh-CN" w:bidi="ar-SA"/>
                    </w:rPr>
                  </w:pPr>
                </w:p>
              </w:tc>
              <w:tc>
                <w:tcPr>
                  <w:tcW w:w="820" w:type="dxa"/>
                  <w:noWrap w:val="0"/>
                  <w:vAlign w:val="top"/>
                </w:tcPr>
                <w:p w14:paraId="1A874212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分期</w:t>
                  </w:r>
                </w:p>
              </w:tc>
              <w:tc>
                <w:tcPr>
                  <w:tcW w:w="602" w:type="dxa"/>
                  <w:noWrap w:val="0"/>
                  <w:vAlign w:val="top"/>
                </w:tcPr>
                <w:p w14:paraId="2EEA5122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844" w:type="dxa"/>
                  <w:noWrap w:val="0"/>
                  <w:vAlign w:val="center"/>
                </w:tcPr>
                <w:p w14:paraId="7868AB4B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</w:tr>
            <w:tr w14:paraId="4BE54F9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846" w:type="dxa"/>
                  <w:noWrap w:val="0"/>
                  <w:vAlign w:val="center"/>
                </w:tcPr>
                <w:p w14:paraId="7EDFF2A2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北京星链南天科技有限公司</w:t>
                  </w:r>
                </w:p>
              </w:tc>
              <w:tc>
                <w:tcPr>
                  <w:tcW w:w="990" w:type="dxa"/>
                  <w:noWrap w:val="0"/>
                  <w:vAlign w:val="top"/>
                </w:tcPr>
                <w:p w14:paraId="3F6E0F37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货物</w:t>
                  </w:r>
                </w:p>
              </w:tc>
              <w:tc>
                <w:tcPr>
                  <w:tcW w:w="990" w:type="dxa"/>
                  <w:noWrap w:val="0"/>
                  <w:vAlign w:val="top"/>
                </w:tcPr>
                <w:p w14:paraId="6131676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1581" w:type="dxa"/>
                  <w:noWrap w:val="0"/>
                  <w:vAlign w:val="center"/>
                </w:tcPr>
                <w:p w14:paraId="021DF59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1581" w:type="dxa"/>
                  <w:noWrap w:val="0"/>
                  <w:vAlign w:val="center"/>
                </w:tcPr>
                <w:p w14:paraId="254D668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1581" w:type="dxa"/>
                  <w:noWrap w:val="0"/>
                  <w:vAlign w:val="center"/>
                </w:tcPr>
                <w:p w14:paraId="5011C28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820" w:type="dxa"/>
                  <w:noWrap w:val="0"/>
                  <w:vAlign w:val="top"/>
                </w:tcPr>
                <w:p w14:paraId="040333C2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分期</w:t>
                  </w:r>
                </w:p>
              </w:tc>
              <w:tc>
                <w:tcPr>
                  <w:tcW w:w="602" w:type="dxa"/>
                  <w:noWrap w:val="0"/>
                  <w:vAlign w:val="top"/>
                </w:tcPr>
                <w:p w14:paraId="69531C34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844" w:type="dxa"/>
                  <w:noWrap w:val="0"/>
                  <w:vAlign w:val="center"/>
                </w:tcPr>
                <w:p w14:paraId="4699B0DD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</w:tr>
            <w:tr w14:paraId="02FA3BB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846" w:type="dxa"/>
                  <w:noWrap w:val="0"/>
                  <w:vAlign w:val="center"/>
                </w:tcPr>
                <w:p w14:paraId="66AAF61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广州浩瀚星图信息技术有限公司</w:t>
                  </w:r>
                </w:p>
              </w:tc>
              <w:tc>
                <w:tcPr>
                  <w:tcW w:w="990" w:type="dxa"/>
                  <w:noWrap w:val="0"/>
                  <w:vAlign w:val="top"/>
                </w:tcPr>
                <w:p w14:paraId="25683B39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货物</w:t>
                  </w:r>
                </w:p>
              </w:tc>
              <w:tc>
                <w:tcPr>
                  <w:tcW w:w="990" w:type="dxa"/>
                  <w:noWrap w:val="0"/>
                  <w:vAlign w:val="top"/>
                </w:tcPr>
                <w:p w14:paraId="2A4E727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1581" w:type="dxa"/>
                  <w:noWrap w:val="0"/>
                  <w:vAlign w:val="center"/>
                </w:tcPr>
                <w:p w14:paraId="7216821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1581" w:type="dxa"/>
                  <w:noWrap w:val="0"/>
                  <w:vAlign w:val="center"/>
                </w:tcPr>
                <w:p w14:paraId="1038C8B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1581" w:type="dxa"/>
                  <w:noWrap w:val="0"/>
                  <w:vAlign w:val="center"/>
                </w:tcPr>
                <w:p w14:paraId="3E66545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820" w:type="dxa"/>
                  <w:noWrap w:val="0"/>
                  <w:vAlign w:val="top"/>
                </w:tcPr>
                <w:p w14:paraId="02C8A56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分期</w:t>
                  </w:r>
                </w:p>
              </w:tc>
              <w:tc>
                <w:tcPr>
                  <w:tcW w:w="602" w:type="dxa"/>
                  <w:noWrap w:val="0"/>
                  <w:vAlign w:val="top"/>
                </w:tcPr>
                <w:p w14:paraId="762484E7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844" w:type="dxa"/>
                  <w:noWrap w:val="0"/>
                  <w:vAlign w:val="center"/>
                </w:tcPr>
                <w:p w14:paraId="69082DC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</w:tr>
            <w:tr w14:paraId="4363BF4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846" w:type="dxa"/>
                  <w:noWrap w:val="0"/>
                  <w:vAlign w:val="center"/>
                </w:tcPr>
                <w:p w14:paraId="5E798B4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新天科技股份有限公司</w:t>
                  </w:r>
                </w:p>
              </w:tc>
              <w:tc>
                <w:tcPr>
                  <w:tcW w:w="990" w:type="dxa"/>
                  <w:noWrap w:val="0"/>
                  <w:vAlign w:val="top"/>
                </w:tcPr>
                <w:p w14:paraId="2E2E7DB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货物</w:t>
                  </w:r>
                </w:p>
              </w:tc>
              <w:tc>
                <w:tcPr>
                  <w:tcW w:w="990" w:type="dxa"/>
                  <w:noWrap w:val="0"/>
                  <w:vAlign w:val="top"/>
                </w:tcPr>
                <w:p w14:paraId="560E4E2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1581" w:type="dxa"/>
                  <w:noWrap w:val="0"/>
                  <w:vAlign w:val="center"/>
                </w:tcPr>
                <w:p w14:paraId="75D0686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1581" w:type="dxa"/>
                  <w:noWrap w:val="0"/>
                  <w:vAlign w:val="center"/>
                </w:tcPr>
                <w:p w14:paraId="12FCCF2B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1581" w:type="dxa"/>
                  <w:noWrap w:val="0"/>
                  <w:vAlign w:val="center"/>
                </w:tcPr>
                <w:p w14:paraId="35FEB409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820" w:type="dxa"/>
                  <w:noWrap w:val="0"/>
                  <w:vAlign w:val="top"/>
                </w:tcPr>
                <w:p w14:paraId="27993BCB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分期</w:t>
                  </w:r>
                </w:p>
              </w:tc>
              <w:tc>
                <w:tcPr>
                  <w:tcW w:w="602" w:type="dxa"/>
                  <w:noWrap w:val="0"/>
                  <w:vAlign w:val="top"/>
                </w:tcPr>
                <w:p w14:paraId="393FDD7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844" w:type="dxa"/>
                  <w:noWrap w:val="0"/>
                  <w:vAlign w:val="center"/>
                </w:tcPr>
                <w:p w14:paraId="0316E0F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</w:tr>
            <w:tr w14:paraId="0ACFFD3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846" w:type="dxa"/>
                  <w:noWrap w:val="0"/>
                  <w:vAlign w:val="center"/>
                </w:tcPr>
                <w:p w14:paraId="415A019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精导信息技术有限公司司</w:t>
                  </w:r>
                </w:p>
              </w:tc>
              <w:tc>
                <w:tcPr>
                  <w:tcW w:w="990" w:type="dxa"/>
                  <w:noWrap w:val="0"/>
                  <w:vAlign w:val="top"/>
                </w:tcPr>
                <w:p w14:paraId="0A6AC479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货物</w:t>
                  </w:r>
                </w:p>
              </w:tc>
              <w:tc>
                <w:tcPr>
                  <w:tcW w:w="990" w:type="dxa"/>
                  <w:noWrap w:val="0"/>
                  <w:vAlign w:val="top"/>
                </w:tcPr>
                <w:p w14:paraId="2E448509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1581" w:type="dxa"/>
                  <w:noWrap w:val="0"/>
                  <w:vAlign w:val="center"/>
                </w:tcPr>
                <w:p w14:paraId="24FD45B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1581" w:type="dxa"/>
                  <w:noWrap w:val="0"/>
                  <w:vAlign w:val="center"/>
                </w:tcPr>
                <w:p w14:paraId="5B78BF5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1581" w:type="dxa"/>
                  <w:noWrap w:val="0"/>
                  <w:vAlign w:val="center"/>
                </w:tcPr>
                <w:p w14:paraId="7F4286CA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820" w:type="dxa"/>
                  <w:noWrap w:val="0"/>
                  <w:vAlign w:val="top"/>
                </w:tcPr>
                <w:p w14:paraId="374879B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分期</w:t>
                  </w:r>
                </w:p>
              </w:tc>
              <w:tc>
                <w:tcPr>
                  <w:tcW w:w="602" w:type="dxa"/>
                  <w:noWrap w:val="0"/>
                  <w:vAlign w:val="top"/>
                </w:tcPr>
                <w:p w14:paraId="280E1D9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844" w:type="dxa"/>
                  <w:noWrap w:val="0"/>
                  <w:vAlign w:val="center"/>
                </w:tcPr>
                <w:p w14:paraId="7519CC37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</w:tr>
            <w:tr w14:paraId="272B26C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0835" w:type="dxa"/>
                  <w:gridSpan w:val="9"/>
                  <w:noWrap w:val="0"/>
                  <w:vAlign w:val="center"/>
                </w:tcPr>
                <w:p w14:paraId="784CC36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r>
                </w:p>
              </w:tc>
            </w:tr>
          </w:tbl>
          <w:p w14:paraId="7A21CEAA">
            <w:commentRangeStart w:id="8"/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843" w:firstLineChars="400"/>
              <w:jc w:val="left"/>
              <w:textAlignment w:val="baseline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②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主要下游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前五大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：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 xml:space="preserve">                                                   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单位：万元</w:t>
            </w:r>
            <w:commentRangeEnd w:id="8"/>
            <w:r>
              <w:rPr>
                <w:rStyle w:val="CommentReference"/>
              </w:rPr>
              <w:commentReference w:id="8"/>
            </w:r>
          </w:p>
          <w:tbl>
            <w:tblPr>
              <w:tblStyle w:val="13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465"/>
              <w:gridCol w:w="854"/>
              <w:gridCol w:w="1007"/>
              <w:gridCol w:w="1735"/>
              <w:gridCol w:w="1402"/>
              <w:gridCol w:w="2117"/>
              <w:gridCol w:w="854"/>
              <w:gridCol w:w="549"/>
              <w:gridCol w:w="855"/>
            </w:tblGrid>
            <w:tr w14:paraId="0D9B429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242DAD2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  <w:t>主要下游销售客户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637463C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销售产品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7E2AD17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上年销售额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653FC1E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上年销售额占比（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%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）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6342E06A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今年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1-9月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销售额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06C08E1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今年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1-9月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销售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额占比（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%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）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053E43C2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结算方式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58DEFA5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账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eastAsia="zh-CN"/>
                    </w:rPr>
                    <w:t>期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55DA882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合作年限</w:t>
                  </w:r>
                </w:p>
              </w:tc>
            </w:tr>
            <w:tr w14:paraId="4FE17D4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7843F5FD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涵江水利局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608A8B9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智慧水利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331F2DFD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01CC87A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08544C29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2ADB3D9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43E04CB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分期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741A9ABD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57849C8A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</w:tr>
            <w:tr w14:paraId="01F766E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31CAA02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福建省翔远电子科技有限公司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4278236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软硬件销售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46D1C03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5C3AC86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753E5B9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42A56D1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5327A14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分期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2044C48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5D3F4D8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</w:tr>
            <w:tr w14:paraId="7BCCBA3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5AF7CD3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三明水利水电工程有限公司顺昌分公司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4757D6C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智慧水利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01859D4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147B9A19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54E492C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0F0FAA0B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7B79432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分期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4A6B6BC4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15FCBA2D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</w:tr>
            <w:tr w14:paraId="55B314D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6037DE5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福州市福清公路事业发展中心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22CFD36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软硬件销售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406271D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4DAF40B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4B60723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0FA1F047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13E8F61B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分期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4F6016F7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68DCFD8B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</w:tr>
            <w:tr w14:paraId="6418262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2D75749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济南展雄电子有限公司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3968CD2D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智慧教育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61C6EFF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30406A24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70FF03DD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3015AB2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0469F70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t>分期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6F18833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1576838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</w:p>
              </w:tc>
            </w:tr>
            <w:tr w14:paraId="1A7F9B6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gridSpan w:val="9"/>
                  <w:noWrap w:val="0"/>
                  <w:vAlign w:val="center"/>
                </w:tcPr>
                <w:p w14:paraId="3DC23072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ind w:firstLine="20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zh-CN"/>
                    </w:rPr>
                  </w:pPr>
                  <w:r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r>
                </w:p>
              </w:tc>
            </w:tr>
          </w:tbl>
          <w:p w14:paraId="1A32ADFC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843" w:firstLineChars="400"/>
              <w:jc w:val="left"/>
              <w:textAlignment w:val="baseline"/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③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经营账期：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上游采购一般预付或现付，下游账期较长，主要下游通过转账、票据与借款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人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进行结算。企业总体营运资金周转效率偏慢，一年周转约1次。</w:t>
            </w:r>
          </w:p>
          <w:p w14:paraId="6B640D2F">
            <w:commentRangeStart w:id="9"/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eastAsia" w:ascii="宋体" w:hAnsi="宋体" w:cs="宋体"/>
                <w:snapToGrid w:val="0"/>
                <w:color w:val="00B05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5.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最新在手订单列表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</w:rPr>
              <w:t xml:space="preserve">：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</w:rPr>
              <w:t xml:space="preserve">   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lang w:val="en-US" w:eastAsia="zh-CN"/>
              </w:rPr>
              <w:t xml:space="preserve">                                             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单位：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</w:rPr>
              <w:t>万元</w:t>
            </w:r>
            <w:commentRangeEnd w:id="9"/>
            <w:r>
              <w:rPr>
                <w:rStyle w:val="CommentReference"/>
              </w:rPr>
              <w:commentReference w:id="9"/>
            </w:r>
          </w:p>
          <w:tbl>
            <w:tblPr>
              <w:tblStyle w:val="13"/>
              <w:tblW w:w="10844" w:type="dxa"/>
              <w:jc w:val="center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849"/>
              <w:gridCol w:w="1313"/>
              <w:gridCol w:w="1923"/>
              <w:gridCol w:w="1586"/>
              <w:gridCol w:w="1586"/>
              <w:gridCol w:w="1587"/>
            </w:tblGrid>
            <w:tr w14:paraId="67C25117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55" w:hRule="atLeast"/>
                <w:jc w:val="center"/>
              </w:trPr>
              <w:tc>
                <w:tcPr>
                  <w:tcW w:w="1313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7C3FF9D1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  <w:t>合同/公司名</w:t>
                  </w:r>
                </w:p>
              </w:tc>
              <w:tc>
                <w:tcPr>
                  <w:tcW w:w="605" w:type="pct"/>
                  <w:tcBorders>
                    <w:top w:val="single" w:color="auto" w:sz="4" w:space="0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78FFFB68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  <w:t>合同金额</w:t>
                  </w:r>
                </w:p>
              </w:tc>
              <w:tc>
                <w:tcPr>
                  <w:tcW w:w="886" w:type="pct"/>
                  <w:tcBorders>
                    <w:top w:val="single" w:color="auto" w:sz="4" w:space="0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2D55B202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21"/>
                      <w:szCs w:val="21"/>
                      <w:highlight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  <w:t>签署日期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eastAsia="zh-CN"/>
                    </w:rPr>
                    <w:t>（期限）</w:t>
                  </w:r>
                </w:p>
              </w:tc>
              <w:tc>
                <w:tcPr>
                  <w:tcW w:w="731" w:type="pct"/>
                  <w:tcBorders>
                    <w:top w:val="single" w:color="auto" w:sz="4" w:space="0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6399ECB5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default" w:ascii="宋体" w:hAnsi="宋体" w:eastAsia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en-US" w:eastAsia="zh-CN"/>
                    </w:rPr>
                    <w:t>确认收入时间</w:t>
                  </w:r>
                </w:p>
              </w:tc>
              <w:tc>
                <w:tcPr>
                  <w:tcW w:w="731" w:type="pct"/>
                  <w:tcBorders>
                    <w:top w:val="single" w:color="auto" w:sz="4" w:space="0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7A0B75B3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auto"/>
                      <w:kern w:val="0"/>
                      <w:szCs w:val="21"/>
                      <w:highlight w:val="none"/>
                      <w:lang w:eastAsia="zh-CN"/>
                    </w:rPr>
                    <w:t>已履约金额</w:t>
                  </w:r>
                </w:p>
              </w:tc>
              <w:tc>
                <w:tcPr>
                  <w:tcW w:w="731" w:type="pct"/>
                  <w:tcBorders>
                    <w:top w:val="single" w:color="auto" w:sz="4" w:space="0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4AF4BA7C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auto"/>
                      <w:kern w:val="0"/>
                      <w:szCs w:val="21"/>
                      <w:highlight w:val="none"/>
                      <w:lang w:eastAsia="zh-CN"/>
                    </w:rPr>
                    <w:t>已回款金额</w:t>
                  </w:r>
                </w:p>
              </w:tc>
            </w:tr>
            <w:tr w14:paraId="5A0C187F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55" w:hRule="atLeast"/>
                <w:jc w:val="center"/>
              </w:trPr>
              <w:tc>
                <w:tcPr>
                  <w:tcW w:w="1313" w:type="pct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64CA16D5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zh-CN"/>
                    </w:rPr>
                    <w:t>中船重工第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  <w:t>____研究所</w:t>
                  </w:r>
                </w:p>
              </w:tc>
              <w:tc>
                <w:tcPr>
                  <w:tcW w:w="605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73E12A32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  <w:t>2000</w:t>
                  </w:r>
                </w:p>
              </w:tc>
              <w:tc>
                <w:tcPr>
                  <w:tcW w:w="886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1C1BB5F0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eastAsia="宋体" w:cs="宋体"/>
                      <w:snapToGrid w:val="0"/>
                      <w:color w:val="000000"/>
                      <w:kern w:val="0"/>
                      <w:sz w:val="21"/>
                      <w:szCs w:val="21"/>
                      <w:highlight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  <w:t>2021.11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eastAsia="zh-CN"/>
                    </w:rPr>
                    <w:t>（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en-US" w:eastAsia="zh-CN"/>
                    </w:rPr>
                    <w:t>3年</w:t>
                  </w: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eastAsia="zh-CN"/>
                    </w:rPr>
                    <w:t>）</w:t>
                  </w:r>
                </w:p>
              </w:tc>
              <w:tc>
                <w:tcPr>
                  <w:tcW w:w="731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76D8C3B6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</w:pPr>
                </w:p>
              </w:tc>
              <w:tc>
                <w:tcPr>
                  <w:tcW w:w="731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69C0847F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</w:pPr>
                </w:p>
              </w:tc>
              <w:tc>
                <w:tcPr>
                  <w:tcW w:w="731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419CC682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</w:pPr>
                </w:p>
              </w:tc>
            </w:tr>
            <w:tr w14:paraId="0DF5A1EF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55" w:hRule="atLeast"/>
                <w:jc w:val="center"/>
              </w:trPr>
              <w:tc>
                <w:tcPr>
                  <w:tcW w:w="1313" w:type="pct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237ED76F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zh-CN"/>
                    </w:rPr>
                  </w:pPr>
                </w:p>
              </w:tc>
              <w:tc>
                <w:tcPr>
                  <w:tcW w:w="605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3CFE999A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zh-CN"/>
                    </w:rPr>
                  </w:pPr>
                </w:p>
              </w:tc>
              <w:tc>
                <w:tcPr>
                  <w:tcW w:w="886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2AC48470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zh-CN"/>
                    </w:rPr>
                  </w:pPr>
                </w:p>
              </w:tc>
              <w:tc>
                <w:tcPr>
                  <w:tcW w:w="731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6B9B9C8C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zh-CN"/>
                    </w:rPr>
                  </w:pPr>
                </w:p>
              </w:tc>
              <w:tc>
                <w:tcPr>
                  <w:tcW w:w="731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2211F258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zh-CN"/>
                    </w:rPr>
                  </w:pPr>
                </w:p>
              </w:tc>
              <w:tc>
                <w:tcPr>
                  <w:tcW w:w="731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2D06F0D6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zh-CN"/>
                    </w:rPr>
                  </w:pPr>
                </w:p>
              </w:tc>
            </w:tr>
            <w:tr w14:paraId="52AF4E53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55" w:hRule="atLeast"/>
                <w:jc w:val="center"/>
              </w:trPr>
              <w:tc>
                <w:tcPr>
                  <w:tcW w:w="1313" w:type="pct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5D063838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</w:pPr>
                </w:p>
              </w:tc>
              <w:tc>
                <w:tcPr>
                  <w:tcW w:w="605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67814C51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</w:pPr>
                </w:p>
              </w:tc>
              <w:tc>
                <w:tcPr>
                  <w:tcW w:w="886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7C8F62E6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zh-CN"/>
                    </w:rPr>
                  </w:pPr>
                </w:p>
              </w:tc>
              <w:tc>
                <w:tcPr>
                  <w:tcW w:w="731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40BA8AF6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zh-CN"/>
                    </w:rPr>
                  </w:pPr>
                </w:p>
              </w:tc>
              <w:tc>
                <w:tcPr>
                  <w:tcW w:w="731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31123CCC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zh-CN"/>
                    </w:rPr>
                  </w:pPr>
                </w:p>
              </w:tc>
              <w:tc>
                <w:tcPr>
                  <w:tcW w:w="731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0B84F730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zh-CN"/>
                    </w:rPr>
                  </w:pPr>
                </w:p>
              </w:tc>
            </w:tr>
            <w:tr w14:paraId="41E7C29E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55" w:hRule="atLeast"/>
                <w:jc w:val="center"/>
              </w:trPr>
              <w:tc>
                <w:tcPr>
                  <w:tcW w:w="1313" w:type="pct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1C3F70BF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zh-CN"/>
                    </w:rPr>
                  </w:pPr>
                </w:p>
              </w:tc>
              <w:tc>
                <w:tcPr>
                  <w:tcW w:w="605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2320416F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zh-CN"/>
                    </w:rPr>
                  </w:pPr>
                </w:p>
              </w:tc>
              <w:tc>
                <w:tcPr>
                  <w:tcW w:w="886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33305E57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zh-CN"/>
                    </w:rPr>
                  </w:pPr>
                </w:p>
              </w:tc>
              <w:tc>
                <w:tcPr>
                  <w:tcW w:w="731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01D0C40E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zh-CN"/>
                    </w:rPr>
                  </w:pPr>
                </w:p>
              </w:tc>
              <w:tc>
                <w:tcPr>
                  <w:tcW w:w="731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7B4BC414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zh-CN"/>
                    </w:rPr>
                  </w:pPr>
                </w:p>
              </w:tc>
              <w:tc>
                <w:tcPr>
                  <w:tcW w:w="731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09ECB4FC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Cs w:val="21"/>
                      <w:highlight w:val="none"/>
                      <w:lang w:val="zh-CN"/>
                    </w:rPr>
                  </w:pPr>
                </w:p>
              </w:tc>
            </w:tr>
            <w:tr w14:paraId="25C12B5C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55" w:hRule="atLeast"/>
                <w:jc w:val="center"/>
              </w:trPr>
              <w:tc>
                <w:tcPr>
                  <w:tcW w:w="1313" w:type="pct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/>
                  <w:vAlign w:val="center"/>
                </w:tcPr>
                <w:p w14:paraId="7C83A044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  <w:t>合计</w:t>
                  </w:r>
                </w:p>
              </w:tc>
              <w:tc>
                <w:tcPr>
                  <w:tcW w:w="605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/>
                  <w:vAlign w:val="center"/>
                </w:tcPr>
                <w:p w14:paraId="2968ED9E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</w:pPr>
                </w:p>
              </w:tc>
              <w:tc>
                <w:tcPr>
                  <w:tcW w:w="886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2F860DB7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</w:pPr>
                </w:p>
              </w:tc>
              <w:tc>
                <w:tcPr>
                  <w:tcW w:w="731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77B2D234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</w:pPr>
                </w:p>
              </w:tc>
              <w:tc>
                <w:tcPr>
                  <w:tcW w:w="731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7E9A82DC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</w:pPr>
                </w:p>
              </w:tc>
              <w:tc>
                <w:tcPr>
                  <w:tcW w:w="731" w:type="pct"/>
                  <w:tcBorders>
                    <w:top w:val="nil"/>
                    <w:left w:val="nil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02ABD0C9">
                  <w:pPr>
                    <w:kinsoku w:val="0"/>
                    <w:overflowPunct w:val="0"/>
                    <w:autoSpaceDE w:val="0"/>
                    <w:autoSpaceDN w:val="0"/>
                    <w:adjustRightInd w:val="0"/>
                    <w:snapToGrid w:val="0"/>
                    <w:jc w:val="center"/>
                    <w:rPr>
                      <w:rFonts w:hint="eastAsia" w:ascii="宋体" w:hAnsi="宋体" w:cs="宋体"/>
                      <w:b/>
                      <w:bCs/>
                      <w:snapToGrid w:val="0"/>
                      <w:color w:val="000000"/>
                      <w:kern w:val="0"/>
                      <w:szCs w:val="21"/>
                      <w:highlight w:val="none"/>
                    </w:rPr>
                  </w:pPr>
                </w:p>
              </w:tc>
            </w:tr>
          </w:tbl>
          <w:p w14:paraId="773D1823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2" w:firstLineChars="200"/>
              <w:jc w:val="left"/>
              <w:textAlignment w:val="baseline"/>
              <w:rPr>
                <w:rFonts w:hint="default" w:ascii="宋体" w:hAnsi="宋体" w:eastAsia="宋体" w:cs="宋体"/>
                <w:b/>
                <w:bCs/>
                <w:snapToGrid w:val="0"/>
                <w:kern w:val="0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lang w:val="en-US" w:eastAsia="zh-CN"/>
              </w:rPr>
              <w:t>6.借款人主要财务指标情况：</w:t>
            </w:r>
          </w:p>
          <w:p w14:paraId="66F7E68A">
            <w:pPr>
              <w:ind w:firstLine="1265" w:firstLineChars="600"/>
              <w:rPr>
                <w:rFonts w:ascii="宋体" w:hAnsi="宋体" w:cs="宋体"/>
                <w:b/>
                <w:bCs/>
                <w:szCs w:val="21"/>
                <w:highlight w:val="none"/>
              </w:rPr>
            </w:pPr>
            <w:r>
              <w:rPr>
                <w:rFonts w:hint="eastAsia" w:ascii="宋体" w:hAnsi="宋体"/>
                <w:b/>
                <w:bCs/>
                <w:color w:val="000000"/>
                <w:highlight w:val="none"/>
                <w:lang w:val="en-US" w:eastAsia="zh-CN"/>
              </w:rPr>
              <w:t>①</w:t>
            </w:r>
            <w:r>
              <w:rPr>
                <w:rFonts w:ascii="宋体" w:hAnsi="宋体"/>
                <w:b/>
                <w:bCs/>
                <w:color w:val="000000"/>
                <w:highlight w:val="none"/>
              </w:rPr>
              <w:t>财务真实性验证(税务数据验证)</w:t>
            </w:r>
          </w:p>
          <w:tbl>
            <w:tblPr>
              <w:tblStyle w:val="13"/>
              <w:tblW w:w="8416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2710"/>
              <w:gridCol w:w="2013"/>
              <w:gridCol w:w="1851"/>
              <w:gridCol w:w="1842"/>
            </w:tblGrid>
            <w:tr w14:paraId="6A02492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660" w:hRule="atLeast"/>
                <w:jc w:val="center"/>
              </w:trPr>
              <w:tc>
                <w:tcPr>
                  <w:tcW w:w="2710" w:type="dxa"/>
                  <w:noWrap w:val="0"/>
                  <w:vAlign w:val="center"/>
                </w:tcPr>
                <w:p w14:paraId="08152143">
                  <w:pPr>
                    <w:widowControl/>
                    <w:jc w:val="center"/>
                    <w:textAlignment w:val="center"/>
                    <w:rPr>
                      <w:rFonts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2013" w:type="dxa"/>
                  <w:noWrap w:val="0"/>
                  <w:vAlign w:val="center"/>
                </w:tcPr>
                <w:p w14:paraId="4DDF0B90">
                  <w:pPr>
                    <w:widowControl/>
                    <w:jc w:val="center"/>
                    <w:textAlignment w:val="center"/>
                    <w:rPr>
                      <w:rFonts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</w:pPr>
                  <w:r>
                    <w:rPr>
                      <w:rStyle w:val="20"/>
                      <w:rFonts w:hint="eastAsia" w:ascii="宋体" w:hAnsi="宋体" w:cs="宋体"/>
                      <w:sz w:val="18"/>
                      <w:szCs w:val="18"/>
                      <w:highlight w:val="none"/>
                      <w:lang w:val="en-US" w:eastAsia="zh-CN"/>
                    </w:rPr>
                    <w:t>2023</w:t>
                  </w:r>
                  <w:r>
                    <w:rPr>
                      <w:rStyle w:val="20"/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  <w:t>年</w:t>
                  </w:r>
                </w:p>
              </w:tc>
              <w:tc>
                <w:tcPr>
                  <w:tcW w:w="1851" w:type="dxa"/>
                  <w:noWrap w:val="0"/>
                  <w:vAlign w:val="center"/>
                </w:tcPr>
                <w:p w14:paraId="7B84AABF">
                  <w:pPr>
                    <w:widowControl/>
                    <w:jc w:val="center"/>
                    <w:textAlignment w:val="center"/>
                    <w:rPr>
                      <w:rFonts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</w:pPr>
                  <w:r>
                    <w:rPr>
                      <w:rStyle w:val="20"/>
                      <w:rFonts w:hint="eastAsia" w:ascii="宋体" w:hAnsi="宋体" w:cs="宋体"/>
                      <w:sz w:val="18"/>
                      <w:szCs w:val="18"/>
                      <w:highlight w:val="none"/>
                      <w:lang w:val="en-US" w:eastAsia="zh-CN"/>
                    </w:rPr>
                    <w:t>2024</w:t>
                  </w:r>
                  <w:r>
                    <w:rPr>
                      <w:rStyle w:val="20"/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  <w:t>年</w:t>
                  </w:r>
                </w:p>
              </w:tc>
              <w:tc>
                <w:tcPr>
                  <w:tcW w:w="1842" w:type="dxa"/>
                  <w:noWrap w:val="0"/>
                  <w:vAlign w:val="center"/>
                </w:tcPr>
                <w:p w14:paraId="30D97191">
                  <w:pPr>
                    <w:widowControl/>
                    <w:jc w:val="center"/>
                    <w:textAlignment w:val="center"/>
                    <w:rPr>
                      <w:rFonts w:ascii="宋体" w:hAnsi="宋体" w:cs="宋体"/>
                      <w:color w:val="000000"/>
                      <w:kern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补充说明：（</w:t>
                  </w:r>
                  <w:r>
                    <w:rPr>
                      <w:rFonts w:hint="eastAsia" w:ascii="宋体" w:hAnsi="宋体" w:cs="宋体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比对财报与纳税申报表</w:t>
                  </w:r>
                  <w:r>
                    <w:rPr>
                      <w:rFonts w:hint="eastAsia" w:ascii="宋体" w:hAnsi="宋体" w:cs="宋体"/>
                      <w:sz w:val="18"/>
                      <w:szCs w:val="18"/>
                      <w:highlight w:val="none"/>
                    </w:rPr>
                    <w:t>数据，</w:t>
                  </w:r>
                  <w:r>
                    <w:rPr>
                      <w:rFonts w:hint="eastAsia" w:ascii="宋体" w:hAnsi="宋体" w:cs="宋体"/>
                      <w:sz w:val="18"/>
                      <w:szCs w:val="18"/>
                      <w:highlight w:val="none"/>
                      <w:lang w:val="en-US" w:eastAsia="zh-CN"/>
                    </w:rPr>
                    <w:t>如</w:t>
                  </w:r>
                  <w:r>
                    <w:rPr>
                      <w:rFonts w:hint="eastAsia" w:ascii="宋体" w:hAnsi="宋体" w:cs="宋体"/>
                      <w:sz w:val="18"/>
                      <w:szCs w:val="18"/>
                      <w:highlight w:val="none"/>
                    </w:rPr>
                    <w:t>不一致</w:t>
                  </w:r>
                  <w:r>
                    <w:rPr>
                      <w:rFonts w:hint="eastAsia" w:ascii="宋体" w:hAnsi="宋体" w:cs="宋体"/>
                      <w:sz w:val="18"/>
                      <w:szCs w:val="18"/>
                      <w:highlight w:val="none"/>
                      <w:lang w:eastAsia="zh-CN"/>
                    </w:rPr>
                    <w:t>，</w:t>
                  </w:r>
                  <w:r>
                    <w:rPr>
                      <w:rFonts w:hint="eastAsia" w:ascii="宋体" w:hAnsi="宋体" w:cs="宋体"/>
                      <w:sz w:val="18"/>
                      <w:szCs w:val="18"/>
                      <w:highlight w:val="none"/>
                      <w:lang w:val="en-US" w:eastAsia="zh-CN"/>
                    </w:rPr>
                    <w:t>请</w:t>
                  </w:r>
                  <w:r>
                    <w:rPr>
                      <w:rFonts w:hint="eastAsia" w:ascii="宋体" w:hAnsi="宋体" w:cs="宋体"/>
                      <w:sz w:val="18"/>
                      <w:szCs w:val="18"/>
                      <w:highlight w:val="none"/>
                    </w:rPr>
                    <w:t>说明</w:t>
                  </w:r>
                  <w:r>
                    <w:rPr>
                      <w:rFonts w:hint="eastAsia" w:ascii="宋体" w:hAnsi="宋体" w:cs="宋体"/>
                      <w:sz w:val="18"/>
                      <w:szCs w:val="18"/>
                      <w:highlight w:val="none"/>
                      <w:lang w:val="en-US" w:eastAsia="zh-CN"/>
                    </w:rPr>
                    <w:t>原因</w:t>
                  </w:r>
                  <w:r>
                    <w:rPr>
                      <w:rFonts w:hint="eastAsia" w:ascii="宋体" w:hAnsi="宋体" w:cs="宋体"/>
                      <w:sz w:val="18"/>
                      <w:szCs w:val="18"/>
                      <w:highlight w:val="none"/>
                    </w:rPr>
                    <w:t>）</w:t>
                  </w:r>
                </w:p>
              </w:tc>
            </w:tr>
            <w:tr w14:paraId="059ACE9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90" w:hRule="atLeast"/>
                <w:jc w:val="center"/>
              </w:trPr>
              <w:tc>
                <w:tcPr>
                  <w:tcW w:w="2710" w:type="dxa"/>
                  <w:noWrap w:val="0"/>
                  <w:vAlign w:val="center"/>
                </w:tcPr>
                <w:p w14:paraId="48293595">
                  <w:pPr>
                    <w:widowControl/>
                    <w:jc w:val="center"/>
                    <w:textAlignment w:val="center"/>
                    <w:rPr>
                      <w:rFonts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财报销售收入</w:t>
                  </w:r>
                </w:p>
              </w:tc>
              <w:tc>
                <w:tcPr>
                  <w:tcW w:w="2013" w:type="dxa"/>
                  <w:noWrap w:val="0"/>
                  <w:vAlign w:val="center"/>
                </w:tcPr>
                <w:p w14:paraId="04E6F598">
                  <w:pPr>
                    <w:jc w:val="center"/>
                    <w:rPr>
                      <w:rFonts w:hint="default" w:ascii="宋体" w:hAnsi="宋体" w:eastAsia="宋体" w:cs="宋体"/>
                      <w:color w:val="00000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sz w:val="18"/>
                      <w:szCs w:val="18"/>
                      <w:highlight w:val="none"/>
                      <w:lang w:val="en-US" w:eastAsia="zh-CN"/>
                    </w:rPr>
                    <w:t>13006</w:t>
                  </w:r>
                </w:p>
              </w:tc>
              <w:tc>
                <w:tcPr>
                  <w:tcW w:w="1851" w:type="dxa"/>
                  <w:noWrap w:val="0"/>
                  <w:vAlign w:val="center"/>
                </w:tcPr>
                <w:p w14:paraId="50897833">
                  <w:pPr>
                    <w:jc w:val="center"/>
                    <w:rPr>
                      <w:rFonts w:hint="default" w:ascii="宋体" w:hAnsi="宋体" w:eastAsia="宋体" w:cs="宋体"/>
                      <w:color w:val="00000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sz w:val="18"/>
                      <w:szCs w:val="18"/>
                      <w:highlight w:val="none"/>
                      <w:lang w:val="en-US" w:eastAsia="zh-CN"/>
                    </w:rPr>
                    <w:t>12325</w:t>
                  </w:r>
                </w:p>
              </w:tc>
              <w:tc>
                <w:tcPr>
                  <w:tcW w:w="1842" w:type="dxa"/>
                  <w:noWrap w:val="0"/>
                  <w:vAlign w:val="center"/>
                </w:tcPr>
                <w:p w14:paraId="75EFDF00">
                  <w:pPr>
                    <w:jc w:val="center"/>
                    <w:rPr>
                      <w:rFonts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</w:pPr>
                  <w:r>
                    <w:t>财报与纳税申报表数据一致</w:t>
                  </w:r>
                </w:p>
              </w:tc>
            </w:tr>
            <w:tr w14:paraId="7BBC040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300" w:hRule="atLeast"/>
                <w:jc w:val="center"/>
              </w:trPr>
              <w:tc>
                <w:tcPr>
                  <w:tcW w:w="2710" w:type="dxa"/>
                  <w:noWrap w:val="0"/>
                  <w:vAlign w:val="center"/>
                </w:tcPr>
                <w:p w14:paraId="277A6153">
                  <w:pPr>
                    <w:widowControl/>
                    <w:jc w:val="center"/>
                    <w:textAlignment w:val="center"/>
                    <w:rPr>
                      <w:rFonts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纳税申报表合计收入</w:t>
                  </w:r>
                </w:p>
              </w:tc>
              <w:tc>
                <w:tcPr>
                  <w:tcW w:w="2013" w:type="dxa"/>
                  <w:noWrap w:val="0"/>
                  <w:vAlign w:val="center"/>
                </w:tcPr>
                <w:p w14:paraId="454DDE5F">
                  <w:pPr>
                    <w:jc w:val="center"/>
                    <w:rPr>
                      <w:rFonts w:hint="default" w:ascii="宋体" w:hAnsi="宋体" w:eastAsia="宋体" w:cs="宋体"/>
                      <w:color w:val="00000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sz w:val="18"/>
                      <w:szCs w:val="18"/>
                      <w:highlight w:val="none"/>
                      <w:lang w:val="en-US" w:eastAsia="zh-CN"/>
                    </w:rPr>
                    <w:t>13006</w:t>
                  </w:r>
                </w:p>
              </w:tc>
              <w:tc>
                <w:tcPr>
                  <w:tcW w:w="1851" w:type="dxa"/>
                  <w:noWrap w:val="0"/>
                  <w:vAlign w:val="center"/>
                </w:tcPr>
                <w:p w14:paraId="46F1C1CD">
                  <w:pPr>
                    <w:jc w:val="center"/>
                    <w:rPr>
                      <w:rFonts w:hint="default" w:ascii="宋体" w:hAnsi="宋体" w:eastAsia="宋体" w:cs="宋体"/>
                      <w:color w:val="00000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sz w:val="18"/>
                      <w:szCs w:val="18"/>
                      <w:highlight w:val="none"/>
                      <w:lang w:val="en-US" w:eastAsia="zh-CN"/>
                    </w:rPr>
                    <w:t>12325</w:t>
                  </w:r>
                </w:p>
              </w:tc>
              <w:tc>
                <w:tcPr>
                  <w:tcW w:w="1842" w:type="dxa"/>
                  <w:noWrap w:val="0"/>
                  <w:vAlign w:val="center"/>
                </w:tcPr>
                <w:p w14:paraId="0F42C459">
                  <w:pPr>
                    <w:jc w:val="center"/>
                    <w:rPr>
                      <w:rFonts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</w:pPr>
                  <w:r>
                    <w:t>财报与纳税申报表数据一致</w:t>
                  </w:r>
                </w:p>
              </w:tc>
            </w:tr>
            <w:tr w14:paraId="38BD53C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rHeight w:val="300" w:hRule="atLeast"/>
                <w:jc w:val="center"/>
              </w:trPr>
              <w:tc>
                <w:tcPr>
                  <w:tcW w:w="2710" w:type="dxa"/>
                  <w:noWrap w:val="0"/>
                  <w:vAlign w:val="center"/>
                </w:tcPr>
                <w:p w14:paraId="1D3E4A34">
                  <w:pPr>
                    <w:widowControl/>
                    <w:jc w:val="center"/>
                    <w:textAlignment w:val="center"/>
                    <w:rPr>
                      <w:rFonts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kern w:val="0"/>
                      <w:sz w:val="18"/>
                      <w:szCs w:val="18"/>
                      <w:highlight w:val="none"/>
                    </w:rPr>
                    <w:t>纳税收入占财报百分比</w:t>
                  </w:r>
                </w:p>
              </w:tc>
              <w:tc>
                <w:tcPr>
                  <w:tcW w:w="2013" w:type="dxa"/>
                  <w:noWrap w:val="0"/>
                  <w:vAlign w:val="center"/>
                </w:tcPr>
                <w:p w14:paraId="15ED0AEB">
                  <w:pPr>
                    <w:jc w:val="center"/>
                    <w:rPr>
                      <w:rFonts w:hint="default" w:ascii="宋体" w:hAnsi="宋体" w:eastAsia="宋体" w:cs="宋体"/>
                      <w:color w:val="00000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sz w:val="18"/>
                      <w:szCs w:val="18"/>
                      <w:highlight w:val="none"/>
                      <w:lang w:val="en-US" w:eastAsia="zh-CN"/>
                    </w:rPr>
                    <w:t>100%</w:t>
                  </w:r>
                </w:p>
              </w:tc>
              <w:tc>
                <w:tcPr>
                  <w:tcW w:w="1851" w:type="dxa"/>
                  <w:noWrap w:val="0"/>
                  <w:vAlign w:val="center"/>
                </w:tcPr>
                <w:p w14:paraId="0F9A2572">
                  <w:pPr>
                    <w:jc w:val="center"/>
                    <w:rPr>
                      <w:rFonts w:hint="default" w:ascii="宋体" w:hAnsi="宋体" w:eastAsia="宋体" w:cs="宋体"/>
                      <w:color w:val="00000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sz w:val="18"/>
                      <w:szCs w:val="18"/>
                      <w:highlight w:val="none"/>
                      <w:lang w:val="en-US" w:eastAsia="zh-CN"/>
                    </w:rPr>
                    <w:t>100%</w:t>
                  </w:r>
                </w:p>
              </w:tc>
              <w:tc>
                <w:tcPr>
                  <w:tcW w:w="1842" w:type="dxa"/>
                  <w:noWrap w:val="0"/>
                  <w:vAlign w:val="center"/>
                </w:tcPr>
                <w:p w14:paraId="38EEE174">
                  <w:pPr>
                    <w:jc w:val="center"/>
                    <w:rPr>
                      <w:rFonts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</w:pPr>
                  <w:r>
                    <w:t>财报与纳税申报表数据一致</w:t>
                  </w:r>
                </w:p>
              </w:tc>
            </w:tr>
          </w:tbl>
          <w:p w14:paraId="4F09DCC3">
            <w:pPr>
              <w:ind w:firstLine="1265" w:firstLineChars="600"/>
              <w:rPr>
                <w:rFonts w:ascii="宋体" w:hAnsi="宋体"/>
                <w:b/>
                <w:bCs/>
                <w:color w:val="000000"/>
                <w:highlight w:val="none"/>
              </w:rPr>
            </w:pPr>
            <w:r>
              <w:rPr>
                <w:rFonts w:hint="eastAsia" w:ascii="宋体" w:hAnsi="宋体"/>
                <w:b/>
                <w:bCs/>
                <w:color w:val="000000"/>
                <w:highlight w:val="none"/>
                <w:lang w:val="en-US" w:eastAsia="zh-CN"/>
              </w:rPr>
              <w:t>②</w:t>
            </w:r>
            <w:r>
              <w:rPr>
                <w:rFonts w:ascii="宋体" w:hAnsi="宋体"/>
                <w:b/>
                <w:bCs/>
                <w:color w:val="000000"/>
                <w:highlight w:val="none"/>
              </w:rPr>
              <w:t>财务真实性验证(银行流水验证)</w:t>
            </w:r>
          </w:p>
          <w:tbl>
            <w:tblPr>
              <w:tblStyle w:val="13"/>
              <w:tblW w:w="8440" w:type="dxa"/>
              <w:jc w:val="center"/>
              <w:tblBorders>
                <w:top w:val="single" w:color="000000" w:sz="0" w:space="0"/>
                <w:left w:val="single" w:color="000000" w:sz="0" w:space="0"/>
                <w:bottom w:val="single" w:color="000000" w:sz="0" w:space="0"/>
                <w:right w:val="single" w:color="000000" w:sz="0" w:space="0"/>
                <w:insideH w:val="single" w:color="000000" w:sz="0" w:space="0"/>
                <w:insideV w:val="single" w:color="000000" w:sz="0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131"/>
              <w:gridCol w:w="1234"/>
              <w:gridCol w:w="1292"/>
              <w:gridCol w:w="1570"/>
              <w:gridCol w:w="1806"/>
              <w:gridCol w:w="1407"/>
            </w:tblGrid>
            <w:tr w14:paraId="11782114">
              <w:tblPrEx>
                <w:tblBorders>
                  <w:top w:val="single" w:color="000000" w:sz="0" w:space="0"/>
                  <w:left w:val="single" w:color="000000" w:sz="0" w:space="0"/>
                  <w:bottom w:val="single" w:color="000000" w:sz="0" w:space="0"/>
                  <w:right w:val="single" w:color="000000" w:sz="0" w:space="0"/>
                  <w:insideH w:val="single" w:color="000000" w:sz="0" w:space="0"/>
                  <w:insideV w:val="single" w:color="000000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59" w:hRule="atLeast"/>
                <w:jc w:val="center"/>
              </w:trPr>
              <w:tc>
                <w:tcPr>
                  <w:tcW w:w="1131" w:type="dxa"/>
                  <w:noWrap w:val="0"/>
                  <w:vAlign w:val="center"/>
                </w:tcPr>
                <w:p w14:paraId="31FA0797">
                  <w:pPr>
                    <w:widowControl/>
                    <w:jc w:val="center"/>
                    <w:textAlignment w:val="center"/>
                    <w:rPr>
                      <w:rFonts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  <w:t>开户行</w:t>
                  </w:r>
                </w:p>
              </w:tc>
              <w:tc>
                <w:tcPr>
                  <w:tcW w:w="1234" w:type="dxa"/>
                  <w:noWrap w:val="0"/>
                  <w:vAlign w:val="center"/>
                </w:tcPr>
                <w:p w14:paraId="18780026">
                  <w:pPr>
                    <w:widowControl/>
                    <w:jc w:val="center"/>
                    <w:textAlignment w:val="center"/>
                    <w:rPr>
                      <w:rFonts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  <w:t>户名</w:t>
                  </w:r>
                </w:p>
              </w:tc>
              <w:tc>
                <w:tcPr>
                  <w:tcW w:w="1292" w:type="dxa"/>
                  <w:noWrap w:val="0"/>
                  <w:vAlign w:val="center"/>
                </w:tcPr>
                <w:p w14:paraId="2FBFFF72">
                  <w:pPr>
                    <w:widowControl/>
                    <w:jc w:val="center"/>
                    <w:textAlignment w:val="center"/>
                    <w:rPr>
                      <w:rFonts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  <w:t>账号</w:t>
                  </w:r>
                </w:p>
              </w:tc>
              <w:tc>
                <w:tcPr>
                  <w:tcW w:w="1570" w:type="dxa"/>
                  <w:noWrap w:val="0"/>
                  <w:vAlign w:val="center"/>
                </w:tcPr>
                <w:p w14:paraId="49AB9F5F">
                  <w:pPr>
                    <w:widowControl/>
                    <w:jc w:val="center"/>
                    <w:textAlignment w:val="center"/>
                    <w:rPr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  <w:t>与借款人关系</w:t>
                  </w:r>
                </w:p>
              </w:tc>
              <w:tc>
                <w:tcPr>
                  <w:tcW w:w="1806" w:type="dxa"/>
                  <w:noWrap w:val="0"/>
                  <w:vAlign w:val="center"/>
                </w:tcPr>
                <w:p w14:paraId="6C31AF90">
                  <w:pPr>
                    <w:widowControl/>
                    <w:jc w:val="center"/>
                    <w:textAlignment w:val="center"/>
                    <w:rPr>
                      <w:rFonts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  <w:t>时间段（</w:t>
                  </w:r>
                  <w:r>
                    <w:rPr>
                      <w:rFonts w:hint="eastAsia" w:ascii="宋体" w:hAnsi="宋体" w:cs="宋体"/>
                      <w:color w:val="000000"/>
                      <w:sz w:val="18"/>
                      <w:szCs w:val="18"/>
                      <w:highlight w:val="none"/>
                      <w:lang w:eastAsia="zh-CN"/>
                    </w:rPr>
                    <w:t>上一完整年度及本年度</w:t>
                  </w:r>
                  <w:r>
                    <w:rPr>
                      <w:rFonts w:hint="eastAsia"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  <w:t>）</w:t>
                  </w:r>
                </w:p>
              </w:tc>
              <w:tc>
                <w:tcPr>
                  <w:tcW w:w="1407" w:type="dxa"/>
                  <w:noWrap w:val="0"/>
                  <w:vAlign w:val="center"/>
                </w:tcPr>
                <w:p w14:paraId="6130E6B6">
                  <w:pPr>
                    <w:widowControl/>
                    <w:jc w:val="center"/>
                    <w:textAlignment w:val="center"/>
                    <w:rPr>
                      <w:rFonts w:hint="eastAsia" w:ascii="宋体" w:hAnsi="宋体" w:eastAsia="宋体" w:cs="宋体"/>
                      <w:color w:val="000000"/>
                      <w:sz w:val="18"/>
                      <w:szCs w:val="18"/>
                      <w:highlight w:val="none"/>
                      <w:lang w:eastAsia="zh-CN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  <w:t>流入量</w:t>
                  </w:r>
                  <w:r>
                    <w:rPr>
                      <w:rFonts w:hint="eastAsia" w:ascii="宋体" w:hAnsi="宋体" w:cs="宋体"/>
                      <w:color w:val="000000"/>
                      <w:sz w:val="18"/>
                      <w:szCs w:val="18"/>
                      <w:highlight w:val="none"/>
                      <w:lang w:eastAsia="zh-CN"/>
                    </w:rPr>
                    <w:t>（</w:t>
                  </w:r>
                  <w:r>
                    <w:rPr>
                      <w:rFonts w:hint="eastAsia" w:ascii="宋体" w:hAnsi="宋体" w:cs="宋体"/>
                      <w:color w:val="000000"/>
                      <w:sz w:val="18"/>
                      <w:szCs w:val="18"/>
                      <w:highlight w:val="none"/>
                      <w:lang w:val="en-US" w:eastAsia="zh-CN"/>
                    </w:rPr>
                    <w:t>万元</w:t>
                  </w:r>
                  <w:r>
                    <w:rPr>
                      <w:rFonts w:hint="eastAsia" w:ascii="宋体" w:hAnsi="宋体" w:cs="宋体"/>
                      <w:color w:val="000000"/>
                      <w:sz w:val="18"/>
                      <w:szCs w:val="18"/>
                      <w:highlight w:val="none"/>
                      <w:lang w:eastAsia="zh-CN"/>
                    </w:rPr>
                    <w:t>）</w:t>
                  </w:r>
                </w:p>
              </w:tc>
            </w:tr>
            <w:tr w14:paraId="122E3F19">
              <w:tblPrEx>
                <w:tblBorders>
                  <w:top w:val="single" w:color="000000" w:sz="0" w:space="0"/>
                  <w:left w:val="single" w:color="000000" w:sz="0" w:space="0"/>
                  <w:bottom w:val="single" w:color="000000" w:sz="0" w:space="0"/>
                  <w:right w:val="single" w:color="000000" w:sz="0" w:space="0"/>
                  <w:insideH w:val="single" w:color="000000" w:sz="0" w:space="0"/>
                  <w:insideV w:val="single" w:color="000000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59" w:hRule="atLeast"/>
                <w:jc w:val="center"/>
              </w:trPr>
              <w:tc>
                <w:tcPr>
                  <w:tcW w:w="1131" w:type="dxa"/>
                  <w:noWrap w:val="0"/>
                  <w:vAlign w:val="center"/>
                </w:tcPr>
                <w:p w14:paraId="1A095D91">
                  <w:pPr>
                    <w:widowControl/>
                    <w:jc w:val="center"/>
                    <w:textAlignment w:val="center"/>
                    <w:rPr>
                      <w:rFonts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234" w:type="dxa"/>
                  <w:noWrap w:val="0"/>
                  <w:vAlign w:val="center"/>
                </w:tcPr>
                <w:p w14:paraId="16B1B4B6">
                  <w:pPr>
                    <w:widowControl/>
                    <w:jc w:val="center"/>
                    <w:textAlignment w:val="center"/>
                    <w:rPr>
                      <w:rFonts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292" w:type="dxa"/>
                  <w:noWrap w:val="0"/>
                  <w:vAlign w:val="center"/>
                </w:tcPr>
                <w:p w14:paraId="05EED2B0">
                  <w:pPr>
                    <w:widowControl/>
                    <w:jc w:val="center"/>
                    <w:textAlignment w:val="center"/>
                    <w:rPr>
                      <w:rFonts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570" w:type="dxa"/>
                  <w:noWrap w:val="0"/>
                  <w:vAlign w:val="center"/>
                </w:tcPr>
                <w:p w14:paraId="6D92B1EA">
                  <w:pPr>
                    <w:widowControl/>
                    <w:jc w:val="center"/>
                    <w:textAlignment w:val="center"/>
                    <w:rPr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806" w:type="dxa"/>
                  <w:noWrap w:val="0"/>
                  <w:vAlign w:val="center"/>
                </w:tcPr>
                <w:p w14:paraId="1A09EB77">
                  <w:pPr>
                    <w:widowControl/>
                    <w:jc w:val="center"/>
                    <w:textAlignment w:val="center"/>
                    <w:rPr>
                      <w:rFonts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  <w:t>*年*月至*年*月</w:t>
                  </w:r>
                </w:p>
              </w:tc>
              <w:tc>
                <w:tcPr>
                  <w:tcW w:w="1407" w:type="dxa"/>
                  <w:noWrap w:val="0"/>
                  <w:vAlign w:val="center"/>
                </w:tcPr>
                <w:p w14:paraId="735CE757">
                  <w:pPr>
                    <w:widowControl/>
                    <w:jc w:val="center"/>
                    <w:textAlignment w:val="center"/>
                    <w:rPr>
                      <w:rFonts w:ascii="宋体" w:hAnsi="宋体" w:cs="宋体"/>
                      <w:color w:val="000000"/>
                      <w:sz w:val="18"/>
                      <w:szCs w:val="18"/>
                      <w:highlight w:val="none"/>
                    </w:rPr>
                  </w:pPr>
                </w:p>
              </w:tc>
            </w:tr>
          </w:tbl>
          <w:p w14:paraId="18C924E5">
            <w:pPr>
              <w:rPr>
                <w:rFonts w:ascii="宋体" w:hAnsi="宋体" w:cs="宋体"/>
                <w:szCs w:val="21"/>
                <w:highlight w:val="none"/>
              </w:rPr>
            </w:pPr>
          </w:p>
          <w:tbl>
            <w:tblPr>
              <w:tblStyle w:val="13"/>
              <w:tblW w:w="8581" w:type="dxa"/>
              <w:jc w:val="center"/>
              <w:tblBorders>
                <w:top w:val="single" w:color="000000" w:sz="0" w:space="0"/>
                <w:left w:val="single" w:color="000000" w:sz="0" w:space="0"/>
                <w:bottom w:val="single" w:color="000000" w:sz="0" w:space="0"/>
                <w:right w:val="single" w:color="000000" w:sz="0" w:space="0"/>
                <w:insideH w:val="single" w:color="000000" w:sz="0" w:space="0"/>
                <w:insideV w:val="single" w:color="000000" w:sz="0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905"/>
              <w:gridCol w:w="5676"/>
            </w:tblGrid>
            <w:tr w14:paraId="6D32FE28">
              <w:tblPrEx>
                <w:tblBorders>
                  <w:top w:val="single" w:color="000000" w:sz="0" w:space="0"/>
                  <w:left w:val="single" w:color="000000" w:sz="0" w:space="0"/>
                  <w:bottom w:val="single" w:color="000000" w:sz="0" w:space="0"/>
                  <w:right w:val="single" w:color="000000" w:sz="0" w:space="0"/>
                  <w:insideH w:val="single" w:color="000000" w:sz="0" w:space="0"/>
                  <w:insideV w:val="single" w:color="000000" w:sz="0" w:space="0"/>
                </w:tblBorders>
              </w:tblPrEx>
              <w:trPr>
                <w:jc w:val="center"/>
              </w:trPr>
              <w:tc>
                <w:tcPr>
                  <w:tcW w:w="2905" w:type="dxa"/>
                  <w:noWrap w:val="0"/>
                  <w:vAlign w:val="center"/>
                </w:tcPr>
                <w:p w14:paraId="62A8CFE1">
                  <w:pPr>
                    <w:jc w:val="center"/>
                    <w:rPr>
                      <w:rFonts w:ascii="宋体" w:hAnsi="宋体" w:cs="宋体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sz w:val="18"/>
                      <w:szCs w:val="18"/>
                      <w:highlight w:val="none"/>
                    </w:rPr>
                    <w:t>申请额度与半年流入量占比</w:t>
                  </w:r>
                </w:p>
              </w:tc>
              <w:tc>
                <w:tcPr>
                  <w:tcW w:w="5676" w:type="dxa"/>
                  <w:noWrap w:val="0"/>
                  <w:vAlign w:val="center"/>
                </w:tcPr>
                <w:p w14:paraId="6F7F608A">
                  <w:pPr>
                    <w:jc w:val="center"/>
                    <w:rPr>
                      <w:rFonts w:ascii="宋体" w:hAnsi="宋体" w:cs="宋体"/>
                      <w:sz w:val="18"/>
                      <w:szCs w:val="18"/>
                      <w:highlight w:val="none"/>
                    </w:rPr>
                  </w:pPr>
                </w:p>
              </w:tc>
            </w:tr>
            <w:tr w14:paraId="4CB13135">
              <w:tblPrEx>
                <w:tblBorders>
                  <w:top w:val="single" w:color="000000" w:sz="0" w:space="0"/>
                  <w:left w:val="single" w:color="000000" w:sz="0" w:space="0"/>
                  <w:bottom w:val="single" w:color="000000" w:sz="0" w:space="0"/>
                  <w:right w:val="single" w:color="000000" w:sz="0" w:space="0"/>
                  <w:insideH w:val="single" w:color="000000" w:sz="0" w:space="0"/>
                  <w:insideV w:val="single" w:color="000000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2905" w:type="dxa"/>
                  <w:noWrap w:val="0"/>
                  <w:vAlign w:val="center"/>
                </w:tcPr>
                <w:p w14:paraId="27B7886B">
                  <w:pPr>
                    <w:jc w:val="center"/>
                    <w:rPr>
                      <w:rFonts w:ascii="宋体" w:hAnsi="宋体" w:cs="宋体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sz w:val="18"/>
                      <w:szCs w:val="18"/>
                      <w:highlight w:val="none"/>
                    </w:rPr>
                    <w:t>补充说明：</w:t>
                  </w:r>
                </w:p>
              </w:tc>
              <w:tc>
                <w:tcPr>
                  <w:tcW w:w="5676" w:type="dxa"/>
                  <w:noWrap w:val="0"/>
                  <w:vAlign w:val="top"/>
                </w:tcPr>
                <w:p w14:paraId="0E4A9046">
                  <w:pPr>
                    <w:jc w:val="left"/>
                    <w:rPr>
                      <w:rFonts w:ascii="宋体" w:hAnsi="宋体" w:cs="宋体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color w:val="auto"/>
                      <w:sz w:val="18"/>
                      <w:szCs w:val="18"/>
                      <w:highlight w:val="none"/>
                      <w:lang w:eastAsia="zh-CN"/>
                    </w:rPr>
                    <w:t>公司已提供纳税申报表，不再提供流水佐证。</w:t>
                  </w:r>
                </w:p>
              </w:tc>
            </w:tr>
          </w:tbl>
          <w:p w14:paraId="06BC0FC0">
            <w:pPr>
              <w:ind w:firstLine="1265" w:firstLineChars="600"/>
              <w:rPr>
                <w:rFonts w:hint="eastAsia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lang w:val="en-US" w:eastAsia="zh-CN"/>
              </w:rPr>
              <w:t>③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近三年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及最近一期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财务数据</w:t>
            </w:r>
          </w:p>
          <w:p w14:paraId="424A39D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 w:firstLineChars="200"/>
              <w:jc w:val="left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Cs w:val="21"/>
                <w:lang w:eastAsia="zh-CN"/>
              </w:rPr>
            </w:pP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>借款人近三年财务数据已由德赢（福建）会计师事务所连续审计并出具无保留意见审计报告，审计机构未发生变更。2023年至2025年，公司营业收入分别为12,130万元、8,712万元和10,10万元，呈现波动；净利润分别为393万元、329万元和494万元，盈利能力有所恢复。资产规模方面，总资产由2023年末的17,940万元波动至2025年末的16,956万元；负债总额由2023年末的9,14万元降至2025年末的7,207万元，资产负债率相应改善。偿债能力指标上，2025年末流动比率为1.82，短期偿债能力尚可。需关注的是，公司2025年末短期借款余额为4,730万元，构成主要债务压力，且经营活动现金流在2024年为净流出896万元，至2025年虽转为净流入791万元，但整体现金流生成能力不稳定。总体来看，公司财务结构有所优化，但经营业绩的稳定性及债务偿付的现金流保障能力仍需持续观察。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eastAsia="zh-CN"/>
              </w:rPr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eastAsia="zh-CN"/>
              </w:rPr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lang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lang w:eastAsia="zh-CN"/>
              </w:rPr>
            </w:r>
            <w:r>
              <w:rPr>
                <w:rFonts w:hint="eastAsia" w:ascii="宋体" w:hAnsi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eastAsia="宋体" w:cs="宋体"/>
                <w:sz w:val="21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eastAsia="宋体" w:cs="宋体"/>
                <w:sz w:val="21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lang w:eastAsia="zh-CN"/>
              </w:rPr>
            </w:r>
          </w:p>
          <w:tbl>
            <w:tblPr>
              <w:tblStyle w:val="13"/>
              <w:tblW w:w="4998" w:type="pct"/>
              <w:jc w:val="center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14"/>
              <w:gridCol w:w="714"/>
              <w:gridCol w:w="714"/>
              <w:gridCol w:w="714"/>
              <w:gridCol w:w="714"/>
              <w:gridCol w:w="714"/>
              <w:gridCol w:w="714"/>
            </w:tblGrid>
            <w:tr w14:paraId="79B81065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single" w:color="000000" w:sz="8" w:space="0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EE094E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科目</w:t>
                  </w:r>
                </w:p>
              </w:tc>
              <w:tc>
                <w:tcPr>
                  <w:tcW w:w="714" w:type="pct"/>
                  <w:tcBorders>
                    <w:top w:val="single" w:color="000000" w:sz="8" w:space="0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E2B6EB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2022年</w:t>
                  </w:r>
                </w:p>
              </w:tc>
              <w:tc>
                <w:tcPr>
                  <w:tcW w:w="714" w:type="pct"/>
                  <w:tcBorders>
                    <w:top w:val="single" w:color="000000" w:sz="8" w:space="0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12AE58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2023年</w:t>
                  </w:r>
                </w:p>
              </w:tc>
              <w:tc>
                <w:tcPr>
                  <w:tcW w:w="714" w:type="pct"/>
                  <w:tcBorders>
                    <w:top w:val="single" w:color="000000" w:sz="8" w:space="0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2D6447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2024年</w:t>
                  </w:r>
                </w:p>
              </w:tc>
              <w:tc>
                <w:tcPr>
                  <w:tcW w:w="714" w:type="pct"/>
                  <w:tcBorders>
                    <w:top w:val="single" w:color="000000" w:sz="8" w:space="0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0AE62D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2024.9</w:t>
                  </w:r>
                </w:p>
              </w:tc>
              <w:tc>
                <w:tcPr>
                  <w:tcW w:w="714" w:type="pct"/>
                  <w:tcBorders>
                    <w:top w:val="single" w:color="000000" w:sz="8" w:space="0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335A2AC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2025.9</w:t>
                  </w:r>
                </w:p>
              </w:tc>
              <w:tc>
                <w:tcPr>
                  <w:tcW w:w="714" w:type="pct"/>
                  <w:tcBorders>
                    <w:top w:val="single" w:color="000000" w:sz="8" w:space="0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335A2AC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2025</w:t>
                  </w:r>
                </w:p>
              </w:tc>
            </w:tr>
            <w:tr w14:paraId="30507B28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77C411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资产合计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98FDE4F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17895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EB6889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17940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E44105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18575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D6C44F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10CE0A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10CE0A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16956</w:t>
                  </w:r>
                </w:p>
              </w:tc>
            </w:tr>
            <w:tr w14:paraId="460A814E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91C2B1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流动资产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1684F2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14283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6CC8C2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14192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DDD956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14708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6B7279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D328F7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D328F7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13110</w:t>
                  </w:r>
                </w:p>
              </w:tc>
            </w:tr>
            <w:tr w14:paraId="4922B25B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F0D613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货币资金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D7D4A4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1104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8CD1E1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1522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3A4255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506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D8ED8C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034C59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  <w:lang w:val="en-US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034C59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  <w:lang w:val="en-US"/>
                    </w:rPr>
                  </w:pPr>
                  <w:r>
                    <w:t>286</w:t>
                  </w:r>
                </w:p>
              </w:tc>
            </w:tr>
            <w:tr w14:paraId="4F82D7AB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72402C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应收票据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3910F4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DB6EDC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256D67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0E974E7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B5C5BA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  <w:lang w:val="en-US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B5C5BA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  <w:lang w:val="en-US"/>
                    </w:rPr>
                  </w:pPr>
                </w:p>
              </w:tc>
            </w:tr>
            <w:tr w14:paraId="04C6C645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ED9A1CC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应收账款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CF77FE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4410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9579F3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6354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19F595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9253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4890AC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CAEF5A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CAEF5A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7430</w:t>
                  </w:r>
                </w:p>
              </w:tc>
            </w:tr>
            <w:tr w14:paraId="1E3AAF61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68C166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预付账款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8D9142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132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E2D83C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151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3E3446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260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CA9421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9A892A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9A892A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428</w:t>
                  </w:r>
                </w:p>
              </w:tc>
            </w:tr>
            <w:tr w14:paraId="5238216D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F2AF87C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其它应收款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F8FC4B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1432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E857E6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3621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FF00B0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3522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A8917F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4CAD89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4CAD89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2774</w:t>
                  </w:r>
                </w:p>
              </w:tc>
            </w:tr>
            <w:tr w14:paraId="29BCDB1E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CB0F1F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存货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EED94D7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5301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415C2D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2545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64B65A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1166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D5572A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680A38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680A38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2192</w:t>
                  </w:r>
                </w:p>
              </w:tc>
            </w:tr>
            <w:tr w14:paraId="78BCEFD8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34061E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非流动资产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9CFFB8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3612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98B943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3748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410721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3868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8B156F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E041B7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E041B7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3847</w:t>
                  </w:r>
                </w:p>
              </w:tc>
            </w:tr>
            <w:tr w14:paraId="204033AA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884FDB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固定资产净值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FB28E1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161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4CFBDF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256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49F87C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164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44612C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3D8C95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3D8C95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93</w:t>
                  </w:r>
                </w:p>
              </w:tc>
            </w:tr>
            <w:tr w14:paraId="1985DD4B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6E0FD5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无形资产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0C91CF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729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4640AA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994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8B70D9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537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279E9C7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855DB5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855DB5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156</w:t>
                  </w:r>
                </w:p>
              </w:tc>
            </w:tr>
            <w:tr w14:paraId="429CA145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FD1D72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负债合计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071C3D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9537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4D3D28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9014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D62999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9320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E998AC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C11020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C11020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7207</w:t>
                  </w:r>
                </w:p>
              </w:tc>
            </w:tr>
            <w:tr w14:paraId="1B026A09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DEEDE3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流动负债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183B2DC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9537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B4C62F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9014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3A3CBC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9320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AD9CF9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21B152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21B152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7207</w:t>
                  </w:r>
                </w:p>
              </w:tc>
            </w:tr>
            <w:tr w14:paraId="374CA6C4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FF0D86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短期借款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1A4B37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3000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DF9182F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4000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67E82B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4990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7D206D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D1510A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D1510A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4730</w:t>
                  </w:r>
                </w:p>
              </w:tc>
            </w:tr>
            <w:tr w14:paraId="54A7249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00D815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应付票据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D212DB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ED2A57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64A764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BBE9DB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DF169C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DF169C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</w:tr>
            <w:tr w14:paraId="0F1D2760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85AC6E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应付账款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1FA54CC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1490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C60621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1847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7E8A07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2333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BA1BAB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0E9067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0E9067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1026</w:t>
                  </w:r>
                </w:p>
              </w:tc>
            </w:tr>
            <w:tr w14:paraId="213ED639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A7EB4A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应付税金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338252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130E83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F5098C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F59D10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E7D90B9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E7D90B9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</w:tr>
            <w:tr w14:paraId="6114BFA1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FA05BE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其它应交款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947625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3BA162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8FD5D7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9CEC76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DBE65F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DBE65F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</w:tr>
            <w:tr w14:paraId="26E17EEA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942060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长期借款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9AEC1A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BACC52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0EDF86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2393A2F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9E5883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9E5883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</w:tr>
            <w:tr w14:paraId="37AD26B2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C49BC5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股东权益合计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6AD7E29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8357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739A59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8927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92225E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9256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54E9BA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81535B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81535B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9749</w:t>
                  </w:r>
                </w:p>
              </w:tc>
            </w:tr>
            <w:tr w14:paraId="0389254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47E688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实收资本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279DE1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58D7F2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CC2EAC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4100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06B903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CE8365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CE8365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4100</w:t>
                  </w:r>
                </w:p>
              </w:tc>
            </w:tr>
            <w:tr w14:paraId="0FEF6C9E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14AFA5F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资本公积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5DAB60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3298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773F3B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3298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07146A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3298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F633E2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AC4CF5F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AC4CF5F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3298</w:t>
                  </w:r>
                </w:p>
              </w:tc>
            </w:tr>
            <w:tr w14:paraId="0B87F3B7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461047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盈余公积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07553F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160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2E31589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199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1F3531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232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363242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C40B917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C40B917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232</w:t>
                  </w:r>
                </w:p>
              </w:tc>
            </w:tr>
            <w:tr w14:paraId="1FBCDEB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9F2132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未分配利润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C46B43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799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98C183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1329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BDFA0F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1625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8AA2EA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695E99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695E99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2119</w:t>
                  </w:r>
                </w:p>
              </w:tc>
            </w:tr>
            <w:tr w14:paraId="34FD1DD1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815A47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snapToGrid w:val="0"/>
                      <w:kern w:val="0"/>
                      <w:sz w:val="21"/>
                      <w:szCs w:val="21"/>
                      <w:highlight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主营业务收入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227317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21198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993CA4F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12130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6863C7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8712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8546E1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D74B45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D74B45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10010</w:t>
                  </w:r>
                </w:p>
              </w:tc>
            </w:tr>
            <w:tr w14:paraId="227B18E3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241A2B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snapToGrid w:val="0"/>
                      <w:kern w:val="0"/>
                      <w:sz w:val="21"/>
                      <w:szCs w:val="21"/>
                      <w:highlight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减：主营业务成本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5741AC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14721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A1E03F7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8819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E3C4D4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5332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21DC59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792361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792361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6204</w:t>
                  </w:r>
                </w:p>
              </w:tc>
            </w:tr>
            <w:tr w14:paraId="01392C0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7F8FF3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snapToGrid w:val="0"/>
                      <w:kern w:val="0"/>
                      <w:sz w:val="21"/>
                      <w:szCs w:val="21"/>
                      <w:highlight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主营业务税金及附加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29AC8CF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85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30A04E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74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078AD6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E1F3E39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8AB411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8AB411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</w:tr>
            <w:tr w14:paraId="3E3CE8A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DDF946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snapToGrid w:val="0"/>
                      <w:kern w:val="0"/>
                      <w:sz w:val="21"/>
                      <w:szCs w:val="21"/>
                      <w:highlight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主营业务利润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47B40B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AD0CE2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2316BEF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0BB30A7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41E9DB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41E9DB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</w:tr>
            <w:tr w14:paraId="181B2FED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AC261B7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snapToGrid w:val="0"/>
                      <w:kern w:val="0"/>
                      <w:sz w:val="21"/>
                      <w:szCs w:val="21"/>
                      <w:highlight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营业费用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9DD727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75C022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C5086E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636ADD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89BEA4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89BEA4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</w:tr>
            <w:tr w14:paraId="7AE57476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9DF15B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snapToGrid w:val="0"/>
                      <w:kern w:val="0"/>
                      <w:sz w:val="21"/>
                      <w:szCs w:val="21"/>
                      <w:highlight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管理费用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61226F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867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0EB7F7F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535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16DD83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619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38607B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FA786A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FA786A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1116</w:t>
                  </w:r>
                </w:p>
              </w:tc>
            </w:tr>
            <w:tr w14:paraId="6F9AF5A3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A8920C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snapToGrid w:val="0"/>
                      <w:kern w:val="0"/>
                      <w:sz w:val="21"/>
                      <w:szCs w:val="21"/>
                      <w:highlight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财务费用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F612139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80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A1E4D3F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131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C1250D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202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0D52E6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363E839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363E839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167</w:t>
                  </w:r>
                </w:p>
              </w:tc>
            </w:tr>
            <w:tr w14:paraId="69670DC6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90223E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snapToGrid w:val="0"/>
                      <w:kern w:val="0"/>
                      <w:sz w:val="21"/>
                      <w:szCs w:val="21"/>
                      <w:highlight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营业利润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55A935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1086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AD7AE1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502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2288F9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400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55AC4C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0DDC30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0DDC30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476</w:t>
                  </w:r>
                </w:p>
              </w:tc>
            </w:tr>
            <w:tr w14:paraId="11476716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7348F3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snapToGrid w:val="0"/>
                      <w:kern w:val="0"/>
                      <w:sz w:val="21"/>
                      <w:szCs w:val="21"/>
                      <w:highlight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减：所得税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4A1713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100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D08BC7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108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B4B3C5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56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BFE72D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2DE737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2DE737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0</w:t>
                  </w:r>
                </w:p>
              </w:tc>
            </w:tr>
            <w:tr w14:paraId="206070F4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19E665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leftChars="0" w:right="0" w:rightChars="0"/>
                    <w:jc w:val="center"/>
                    <w:textAlignment w:val="center"/>
                    <w:rPr>
                      <w:rFonts w:hint="eastAsia" w:ascii="宋体" w:hAnsi="宋体" w:eastAsia="宋体" w:cs="宋体"/>
                      <w:snapToGrid w:val="0"/>
                      <w:kern w:val="0"/>
                      <w:sz w:val="21"/>
                      <w:szCs w:val="21"/>
                      <w:highlight w:val="none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净利润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70E3F2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983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208285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393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3D7FA8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329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9D25A0C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17CB8F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17CB8F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494</w:t>
                  </w:r>
                </w:p>
              </w:tc>
            </w:tr>
            <w:tr w14:paraId="76AE6FD8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10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 w:val="0"/>
                  <w:vAlign w:val="top"/>
                </w:tcPr>
                <w:p w14:paraId="3602E35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top"/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资产负债率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1A89AC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53.29%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9F11C8C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50.25%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B57267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50.17%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A4165F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9B9C86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9B9C86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42.5%</w:t>
                  </w:r>
                </w:p>
              </w:tc>
            </w:tr>
            <w:tr w14:paraId="59106774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 w:val="0"/>
                  <w:vAlign w:val="top"/>
                </w:tcPr>
                <w:p w14:paraId="332ABDA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top"/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流动比率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1AC508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1.5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170847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1.57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E93CEAC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1.58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474725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6F78E7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6F78E7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1.82</w:t>
                  </w:r>
                </w:p>
              </w:tc>
            </w:tr>
            <w:tr w14:paraId="7C1550DB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 w:val="0"/>
                  <w:vAlign w:val="top"/>
                </w:tcPr>
                <w:p w14:paraId="2876D659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top"/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速动比率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C2C65C9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0.94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55BD37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1.29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B1B7027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1.45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293EC89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35DEBB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35DEBB1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1.51</w:t>
                  </w:r>
                </w:p>
              </w:tc>
            </w:tr>
            <w:tr w14:paraId="67BDDEF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10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 w:val="0"/>
                  <w:vAlign w:val="top"/>
                </w:tcPr>
                <w:p w14:paraId="2882FDCF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top"/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应收账款周转天数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5E891A7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76.0天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7B618D7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191.0天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18122D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388.0天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85E3A4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51CFD5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51CFD5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271.0天</w:t>
                  </w:r>
                </w:p>
              </w:tc>
            </w:tr>
            <w:tr w14:paraId="20168D4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10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 w:val="0"/>
                  <w:vAlign w:val="top"/>
                </w:tcPr>
                <w:p w14:paraId="78DDD179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top"/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存货周转天数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707BDA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131.0天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EA64B8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105.0天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34FF0C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80.0天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F8ADEC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1B4189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1B4189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129.0天</w:t>
                  </w:r>
                </w:p>
              </w:tc>
            </w:tr>
            <w:tr w14:paraId="1B87AC73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10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 w:val="0"/>
                  <w:vAlign w:val="top"/>
                </w:tcPr>
                <w:p w14:paraId="79C5D4D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top"/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预付账款周转天数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3DAA21C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3.0天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76E6EFA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6.0天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C23DE1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18.0天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3E13F70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DE1A3B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1DE1A3BD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25.0天</w:t>
                  </w:r>
                </w:p>
              </w:tc>
            </w:tr>
            <w:tr w14:paraId="1C7AF049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510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000000" w:sz="8" w:space="0"/>
                    <w:right w:val="single" w:color="000000" w:sz="8" w:space="0"/>
                  </w:tcBorders>
                  <w:noWrap w:val="0"/>
                  <w:vAlign w:val="top"/>
                </w:tcPr>
                <w:p w14:paraId="2DAD25DB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top"/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应付帐款周转天数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E7F338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37.0天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444961AF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76.0天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6571740C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160.0天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28FFF56A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42B2CA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000000" w:sz="8" w:space="0"/>
                    <w:right w:val="single" w:color="000000" w:sz="8" w:space="0"/>
                  </w:tcBorders>
                  <w:noWrap/>
                  <w:vAlign w:val="center"/>
                </w:tcPr>
                <w:p w14:paraId="042B2CA0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60.0天</w:t>
                  </w:r>
                </w:p>
              </w:tc>
            </w:tr>
            <w:tr w14:paraId="70DC090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nil"/>
                    <w:left w:val="single" w:color="000000" w:sz="8" w:space="0"/>
                    <w:bottom w:val="single" w:color="auto" w:sz="4" w:space="0"/>
                    <w:right w:val="single" w:color="000000" w:sz="8" w:space="0"/>
                  </w:tcBorders>
                  <w:noWrap w:val="0"/>
                  <w:vAlign w:val="top"/>
                </w:tcPr>
                <w:p w14:paraId="39931C05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top"/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毛利润率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auto" w:sz="4" w:space="0"/>
                    <w:right w:val="single" w:color="000000" w:sz="8" w:space="0"/>
                  </w:tcBorders>
                  <w:noWrap/>
                  <w:vAlign w:val="center"/>
                </w:tcPr>
                <w:p w14:paraId="64878057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30.55%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auto" w:sz="4" w:space="0"/>
                    <w:right w:val="single" w:color="000000" w:sz="8" w:space="0"/>
                  </w:tcBorders>
                  <w:noWrap/>
                  <w:vAlign w:val="center"/>
                </w:tcPr>
                <w:p w14:paraId="0189D9C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27.3%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auto" w:sz="4" w:space="0"/>
                    <w:right w:val="single" w:color="000000" w:sz="8" w:space="0"/>
                  </w:tcBorders>
                  <w:noWrap/>
                  <w:vAlign w:val="center"/>
                </w:tcPr>
                <w:p w14:paraId="43DB318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38.8%</w:t>
                  </w: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auto" w:sz="4" w:space="0"/>
                    <w:right w:val="single" w:color="000000" w:sz="8" w:space="0"/>
                  </w:tcBorders>
                  <w:noWrap/>
                  <w:vAlign w:val="center"/>
                </w:tcPr>
                <w:p w14:paraId="0B1CC5F3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auto" w:sz="4" w:space="0"/>
                    <w:right w:val="single" w:color="000000" w:sz="8" w:space="0"/>
                  </w:tcBorders>
                  <w:noWrap/>
                  <w:vAlign w:val="center"/>
                </w:tcPr>
                <w:p w14:paraId="14C42D2F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nil"/>
                    <w:left w:val="nil"/>
                    <w:bottom w:val="single" w:color="auto" w:sz="4" w:space="0"/>
                    <w:right w:val="single" w:color="000000" w:sz="8" w:space="0"/>
                  </w:tcBorders>
                  <w:noWrap/>
                  <w:vAlign w:val="center"/>
                </w:tcPr>
                <w:p w14:paraId="14C42D2F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38.02%</w:t>
                  </w:r>
                </w:p>
              </w:tc>
            </w:tr>
            <w:tr w14:paraId="44BF0586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85" w:hRule="atLeast"/>
                <w:jc w:val="center"/>
              </w:trPr>
              <w:tc>
                <w:tcPr>
                  <w:tcW w:w="714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7E52EAC4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top"/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bCs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净利润率</w:t>
                  </w:r>
                </w:p>
              </w:tc>
              <w:tc>
                <w:tcPr>
                  <w:tcW w:w="714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/>
                  <w:vAlign w:val="center"/>
                </w:tcPr>
                <w:p w14:paraId="30245B37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t>4.64%</w:t>
                  </w:r>
                </w:p>
              </w:tc>
              <w:tc>
                <w:tcPr>
                  <w:tcW w:w="714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/>
                  <w:vAlign w:val="center"/>
                </w:tcPr>
                <w:p w14:paraId="126979D6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3.24%</w:t>
                  </w:r>
                </w:p>
              </w:tc>
              <w:tc>
                <w:tcPr>
                  <w:tcW w:w="714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/>
                  <w:vAlign w:val="center"/>
                </w:tcPr>
                <w:p w14:paraId="5BBC0BCE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3.78%</w:t>
                  </w:r>
                </w:p>
              </w:tc>
              <w:tc>
                <w:tcPr>
                  <w:tcW w:w="714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/>
                  <w:vAlign w:val="center"/>
                </w:tcPr>
                <w:p w14:paraId="4DA7C252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714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/>
                  <w:vAlign w:val="center"/>
                </w:tcPr>
                <w:p w14:paraId="1C79891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</w:p>
              </w:tc>
              <w:tc>
                <w:tcPr>
                  <w:tcW w:w="714" w:type="pct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/>
                  <w:vAlign w:val="center"/>
                </w:tcPr>
                <w:p w14:paraId="1C798918">
                  <w:pPr>
                    <w:keepNext w:val="0"/>
                    <w:keepLines w:val="0"/>
                    <w:widowControl/>
                    <w:suppressLineNumbers w:val="0"/>
                    <w:spacing w:before="0" w:beforeAutospacing="0" w:after="0" w:afterAutospacing="0" w:line="360" w:lineRule="auto"/>
                    <w:ind w:left="0" w:right="0"/>
                    <w:jc w:val="center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2"/>
                      <w:sz w:val="18"/>
                      <w:szCs w:val="18"/>
                      <w:u w:val="none"/>
                    </w:rPr>
                  </w:pPr>
                  <w:r>
                    <w:t>4.94%</w:t>
                  </w:r>
                </w:p>
              </w:tc>
            </w:tr>
          </w:tbl>
          <w:p w14:paraId="5CA02251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0" w:firstLineChars="200"/>
              <w:jc w:val="left"/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lang w:val="zh-CN"/>
              </w:rPr>
            </w:pP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注：以下财务数据明细为</w:t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2025年X月</w:t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数据</w:t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lang w:val="en-US" w:eastAsia="zh-CN"/>
              </w:rPr>
              <w:t>（若该科目占比超10%或变动超20%的需做具体分析，其他可视情况简要说明）</w:t>
            </w:r>
          </w:p>
          <w:p w14:paraId="2D611363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0" w:firstLineChars="200"/>
              <w:jc w:val="left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pP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lang w:val="zh-CN"/>
              </w:rPr>
              <w:t>（1）应收账款 7430万元，主要构成及趋势变动情况： 2025年末应收账款为7430万元，较2024年末的9253万元下降19.7%，回款情况有所改善。但该科目自2022年以来持续快速增长，2023年、2024年同比增幅分别为44.1%和45.6%，当前余额仍处于较高水平。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</w:p>
          <w:p w14:paraId="0A5EB4C5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0" w:firstLineChars="200"/>
              <w:jc w:val="left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pP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lang w:val="zh-CN"/>
              </w:rPr>
              <w:t>（2）其他应收款 2774万元，主要构成及趋势变动情况： 其他应收款2025年末为2774万元，较2024年末的3522万元下降21.2%，呈回落趋势。但该科目余额仍处高位，占流动资产比重较大，需关注其具体构成与回收风险。</w:t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</w:p>
          <w:p w14:paraId="669763E4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0" w:firstLineChars="200"/>
              <w:jc w:val="left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pP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  <w:t>（3）存货 2192万元，主要构成及趋势变动情况： 企业存货余额在2023年大幅下降后，于2025年出现显著回升。2025年末存货为2192万元，较2024年末的1166万元大幅增长88.0%，但较2022年5301万元的高位仍处于较低水平。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</w:p>
          <w:p w14:paraId="0DB2C097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0" w:firstLineChars="200"/>
              <w:jc w:val="left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pP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lang w:val="zh-CN"/>
              </w:rPr>
              <w:t>（4）长期投资 3123万元，主要构成及趋势变动情况： 企业长期投资由2024年的2518万元增长至2025年的3123万元，增幅达24.0%，呈现显著扩张趋势。然而，所提供的财务报表材料中未披露长期投资的具体构成及变动原因。</w:t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</w:p>
          <w:p w14:paraId="688E94A4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0" w:firstLineChars="200"/>
              <w:jc w:val="left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pP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  <w:t>（5）应付账款 1026万元，主要构成及趋势变动情况： 应付账款期末余额为1026万元，较2024年末的2333万元大幅下降56.0%，结束了自2022年（1490万元）以来的连续增长趋势。该科目余额的显著减少，主要系企业支付了前期采购款项所致。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</w:p>
          <w:p w14:paraId="5881D757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0" w:firstLineChars="200"/>
              <w:jc w:val="left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pP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  <w:t>（6）其他应付款 168万元，主要构成及趋势变动情况： 2025年末其他应付款为168万元，较2024年末的648万元大幅下降480万元，降幅达74.1%。该科目余额已回落至接近2023年水平，具体构成及变动原因需企业进一步说明。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</w:p>
          <w:p w14:paraId="544264FA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0" w:firstLineChars="200"/>
              <w:jc w:val="left"/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</w:pP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  <w:t>（7）主营业务收入变动原因： 企业主营业务收入自2022年的21,198万元持续下滑至2024年的8,712万元，但2025年回升至10,10万元，同比增长14.9%。本次提供的财务报表未包含利润表，无法从财务附注中获取收入变动的具体原因。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u w:val="single"/>
              </w:rPr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</w:p>
          <w:p w14:paraId="487F6E47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0" w:firstLineChars="200"/>
              <w:jc w:val="left"/>
              <w:rPr>
                <w:rFonts w:hint="eastAsia" w:ascii="宋体" w:hAnsi="宋体" w:eastAsia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  <w:t>（8）盈利能力变动原因： 企业盈利能力持续承压，2023至2025年营业收入自12,130万元降至10,10万元，净利润亦从393万元波动至494万元。2025年净利率为4.9%，虽较2024年的3.8%有所回升，但整体盈利规模较2022年（净利润983万元）已显著收缩。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u w:val="single"/>
              </w:rPr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r>
          </w:p>
          <w:p w14:paraId="247144CC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0" w:firstLineChars="200"/>
              <w:jc w:val="left"/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pP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lang w:val="zh-CN"/>
              </w:rPr>
              <w:t>（</w:t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9</w:t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lang w:val="zh-CN"/>
              </w:rPr>
              <w:t>）固定资产投资变动情况</w:t>
            </w:r>
            <w:r>
              <w:rPr>
                <w:rFonts w:hint="eastAsia" w:ascii="宋体" w:hAnsi="宋体" w:cs="宋体"/>
                <w:b/>
                <w:bCs w:val="0"/>
                <w:snapToGrid w:val="0"/>
                <w:kern w:val="0"/>
                <w:szCs w:val="21"/>
                <w:highlight w:val="none"/>
                <w:lang w:val="zh-CN"/>
              </w:rPr>
              <w:t>（</w:t>
            </w:r>
            <w:r>
              <w:rPr>
                <w:rFonts w:hint="eastAsia" w:ascii="宋体" w:hAnsi="宋体" w:cs="宋体"/>
                <w:b/>
                <w:bCs w:val="0"/>
                <w:snapToGrid w:val="0"/>
                <w:kern w:val="0"/>
                <w:szCs w:val="21"/>
                <w:highlight w:val="none"/>
                <w:lang w:val="en-US" w:eastAsia="zh-CN"/>
              </w:rPr>
              <w:t>后续若有大额固定资产投入计划，分析投入及资金安排</w:t>
            </w:r>
            <w:r>
              <w:rPr>
                <w:rFonts w:hint="eastAsia" w:ascii="宋体" w:hAnsi="宋体" w:cs="宋体"/>
                <w:b/>
                <w:bCs w:val="0"/>
                <w:snapToGrid w:val="0"/>
                <w:kern w:val="0"/>
                <w:szCs w:val="21"/>
                <w:highlight w:val="none"/>
                <w:lang w:val="zh-CN"/>
              </w:rPr>
              <w:t>）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zh-CN"/>
              </w:rPr>
              <w:t>： 根据提供的2025年资产负债表，未直接列示“固定资产”科目及其变动数据，无法分析其投资变动情况。</w:t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</w:rPr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r>
          </w:p>
          <w:p w14:paraId="7B09B5AD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0" w:firstLineChars="200"/>
              <w:jc w:val="left"/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lang w:val="zh-CN"/>
              </w:rPr>
              <w:t>（10）其他变动较大的财务指标（包括但不限于预付账款、预收账款等，如有请说明）： 根据提供的2025年资产负债表，其他应收款期末余额为2774万元，较年初的3522万元下降21.24%；存货期末余额为2192万元，较年初的1166万元大幅增长87.96%。其他变动较大的财务指标（如其他流动资产等）无具体数据支持，无法进行同比或趋势分析。</w:t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lang w:val="zh-CN"/>
              </w:rPr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lang w:val="zh-CN"/>
              </w:rPr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lang w:val="zh-CN"/>
              </w:rPr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</w:r>
          </w:p>
          <w:p w14:paraId="0A792E2F">
            <w:pPr>
              <w:pStyle w:val="11"/>
              <w:rPr>
                <w:rFonts w:hint="eastAsia"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 xml:space="preserve">                                                                                               </w:t>
            </w:r>
          </w:p>
          <w:p w14:paraId="0368571C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2" w:firstLineChars="200"/>
              <w:jc w:val="left"/>
              <w:rPr>
                <w:rFonts w:hint="eastAsia" w:ascii="宋体" w:hAnsi="宋体" w:eastAsia="宋体" w:cs="宋体"/>
                <w:b w:val="0"/>
                <w:bCs/>
                <w:snapToGrid w:val="0"/>
                <w:szCs w:val="21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snapToGrid w:val="0"/>
                <w:kern w:val="0"/>
                <w:szCs w:val="21"/>
                <w:highlight w:val="none"/>
                <w:lang w:val="en-US" w:eastAsia="zh-CN"/>
              </w:rPr>
              <w:t>现金流分析</w:t>
            </w:r>
            <w:r>
              <w:rPr>
                <w:rFonts w:hint="eastAsia" w:ascii="宋体" w:hAnsi="宋体" w:cs="宋体"/>
                <w:b w:val="0"/>
                <w:bCs/>
                <w:snapToGrid w:val="0"/>
                <w:kern w:val="0"/>
                <w:szCs w:val="21"/>
                <w:highlight w:val="none"/>
                <w:lang w:val="en-US" w:eastAsia="zh-CN"/>
              </w:rPr>
              <w:t>（</w:t>
            </w:r>
            <w:r>
              <w:rPr>
                <w:rFonts w:hint="eastAsia" w:ascii="宋体" w:hAnsi="宋体" w:eastAsia="宋体" w:cs="宋体"/>
                <w:b w:val="0"/>
                <w:bCs/>
                <w:snapToGrid w:val="0"/>
                <w:kern w:val="0"/>
                <w:szCs w:val="21"/>
                <w:highlight w:val="none"/>
                <w:lang w:val="en-US" w:eastAsia="zh-CN"/>
              </w:rPr>
              <w:t>例：</w:t>
            </w:r>
            <w:r>
              <w:rPr>
                <w:rFonts w:hint="eastAsia" w:ascii="宋体" w:hAnsi="宋体" w:eastAsia="宋体" w:cs="宋体"/>
                <w:b w:val="0"/>
                <w:bCs/>
                <w:snapToGrid w:val="0"/>
                <w:szCs w:val="21"/>
                <w:highlight w:val="none"/>
                <w:u w:val="single"/>
                <w:lang w:val="en-US" w:eastAsia="zh-CN"/>
              </w:rPr>
              <w:t>去年至今年的应收账期一般在240天，预计明年将恢复至4个月左右，公司也在管控账期，所以现有1.05亿元应收款预计2025年能收回，按照25年3.6亿元营收预测，能回收2.4-2.5亿元，合计现金流入3.4-3.5亿元。当年成本支出约2.66亿，管理费用、研发费用、销售费用支出约0.96亿，合计支出约3.62亿；现金流稍有流出，基本实现平衡。反向预估，明年预计债权融资控制在1亿元左右（较目前增加约3000万），无大额固定资产投入，账面资金预计保持在2000-3000万元（较目前增加1000-2000万），现金流同样稍有流出，基本实现平衡。</w:t>
            </w:r>
          </w:p>
          <w:p w14:paraId="1ED2298A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2" w:firstLineChars="200"/>
              <w:jc w:val="left"/>
              <w:rPr>
                <w:rFonts w:hint="default"/>
                <w:b/>
                <w:bCs/>
                <w:highlight w:val="none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 w:val="0"/>
                <w:snapToGrid w:val="0"/>
                <w:color w:val="auto"/>
                <w:szCs w:val="21"/>
                <w:highlight w:val="none"/>
                <w:u w:val="none"/>
                <w:lang w:val="en-US" w:eastAsia="zh-CN"/>
              </w:rPr>
              <w:t>最近三年现金流量表分析：</w:t>
            </w:r>
            <w:r>
              <w:rPr>
                <w:rFonts w:hint="eastAsia"/>
                <w:b w:val="0"/>
                <w:bCs/>
                <w:snapToGrid w:val="0"/>
                <w:color w:val="auto"/>
                <w:szCs w:val="21"/>
                <w:highlight w:val="none"/>
                <w:u w:val="none"/>
                <w:lang w:val="en-US" w:eastAsia="zh-CN"/>
              </w:rPr>
              <w:t xml:space="preserve"> </w:t>
            </w:r>
            <w:r>
              <w:rPr>
                <w:rFonts w:hint="eastAsia"/>
                <w:b w:val="0"/>
                <w:bCs/>
                <w:snapToGrid w:val="0"/>
                <w:szCs w:val="21"/>
                <w:highlight w:val="none"/>
                <w:u w:val="none"/>
                <w:lang w:val="en-US" w:eastAsia="zh-CN"/>
              </w:rPr>
              <w:t xml:space="preserve"> 2025年经营活动现金流量净额791万元，投资活动现金流量净额-586万元，筹资活动现金流量净额-426万元。2024年经营活动现金流量净额-896万元，投资活动现金流量净额-922万元，筹资活动现金流量净额802万元。2023年经营活动现金流量净额269万元，投资活动现金流量净额-716万元，筹资活动现金流量净额864万元。 </w:t>
            </w:r>
          </w:p>
          <w:tbl>
            <w:tblPr>
              <w:tblStyle w:val="14"/>
              <w:tblW w:w="9774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095"/>
              <w:gridCol w:w="2169"/>
              <w:gridCol w:w="2170"/>
              <w:gridCol w:w="2170"/>
              <w:gridCol w:w="2170"/>
            </w:tblGrid>
            <w:tr w14:paraId="5AAE266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095" w:type="dxa"/>
                  <w:noWrap w:val="0"/>
                  <w:vAlign w:val="center"/>
                </w:tcPr>
                <w:p w14:paraId="747825D3">
                  <w:pPr>
                    <w:autoSpaceDE w:val="0"/>
                    <w:autoSpaceDN w:val="0"/>
                    <w:adjustRightInd w:val="0"/>
                    <w:snapToGrid w:val="0"/>
                    <w:spacing w:before="62" w:beforeLines="20"/>
                    <w:jc w:val="center"/>
                    <w:rPr>
                      <w:rFonts w:hint="default" w:ascii="宋体" w:hAnsi="宋体" w:eastAsia="宋体" w:cs="宋体"/>
                      <w:b w:val="0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  <w:t>年份</w:t>
                  </w:r>
                </w:p>
              </w:tc>
              <w:tc>
                <w:tcPr>
                  <w:tcW w:w="2169" w:type="dxa"/>
                  <w:noWrap w:val="0"/>
                  <w:vAlign w:val="center"/>
                </w:tcPr>
                <w:p w14:paraId="7762C409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default" w:ascii="宋体" w:hAnsi="宋体" w:eastAsia="宋体" w:cs="宋体"/>
                      <w:b w:val="0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经营性现金流净额</w:t>
                  </w:r>
                </w:p>
              </w:tc>
              <w:tc>
                <w:tcPr>
                  <w:tcW w:w="2170" w:type="dxa"/>
                  <w:noWrap w:val="0"/>
                  <w:vAlign w:val="center"/>
                </w:tcPr>
                <w:p w14:paraId="07492A3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default" w:ascii="宋体" w:hAnsi="宋体" w:eastAsia="宋体" w:cs="宋体"/>
                      <w:b w:val="0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投资性现金流净额</w:t>
                  </w:r>
                </w:p>
              </w:tc>
              <w:tc>
                <w:tcPr>
                  <w:tcW w:w="2170" w:type="dxa"/>
                  <w:noWrap w:val="0"/>
                  <w:vAlign w:val="center"/>
                </w:tcPr>
                <w:p w14:paraId="446E87A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default" w:ascii="宋体" w:hAnsi="宋体" w:eastAsia="宋体" w:cs="宋体"/>
                      <w:b w:val="0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筹资性现金流净额</w:t>
                  </w:r>
                </w:p>
              </w:tc>
              <w:tc>
                <w:tcPr>
                  <w:tcW w:w="2170" w:type="dxa"/>
                  <w:noWrap w:val="0"/>
                  <w:vAlign w:val="center"/>
                </w:tcPr>
                <w:p w14:paraId="51F6255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eastAsia" w:ascii="宋体" w:hAnsi="宋体" w:eastAsia="宋体" w:cs="宋体"/>
                      <w:b w:val="0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现金及现金等价物</w:t>
                  </w:r>
                </w:p>
                <w:p w14:paraId="4208C6AB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jc w:val="center"/>
                    <w:textAlignment w:val="baseline"/>
                    <w:rPr>
                      <w:rFonts w:hint="default" w:ascii="宋体" w:hAnsi="宋体" w:eastAsia="宋体" w:cs="宋体"/>
                      <w:b w:val="0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lang w:val="en-US" w:eastAsia="zh-CN"/>
                    </w:rPr>
                    <w:t>净增加额</w:t>
                  </w:r>
                </w:p>
              </w:tc>
            </w:tr>
            <w:tr w14:paraId="5ADA161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095" w:type="dxa"/>
                  <w:noWrap w:val="0"/>
                  <w:vAlign w:val="top"/>
                </w:tcPr>
                <w:p w14:paraId="1179FCE4">
                  <w:pPr>
                    <w:autoSpaceDE w:val="0"/>
                    <w:autoSpaceDN w:val="0"/>
                    <w:adjustRightInd w:val="0"/>
                    <w:snapToGrid w:val="0"/>
                    <w:spacing w:before="62" w:beforeLines="20"/>
                    <w:jc w:val="center"/>
                    <w:rPr>
                      <w:rFonts w:hint="default" w:ascii="宋体" w:hAnsi="宋体" w:eastAsia="宋体" w:cs="宋体"/>
                      <w:b w:val="0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  <w:t>2022</w:t>
                  </w:r>
                </w:p>
              </w:tc>
              <w:tc>
                <w:tcPr>
                  <w:tcW w:w="2169" w:type="dxa"/>
                  <w:noWrap w:val="0"/>
                  <w:vAlign w:val="top"/>
                </w:tcPr>
                <w:p w14:paraId="71EC4F1B">
                  <w:pPr>
                    <w:autoSpaceDE w:val="0"/>
                    <w:autoSpaceDN w:val="0"/>
                    <w:adjustRightInd w:val="0"/>
                    <w:snapToGrid w:val="0"/>
                    <w:spacing w:before="62" w:beforeLines="20"/>
                    <w:jc w:val="left"/>
                    <w:rPr>
                      <w:rFonts w:hint="default" w:ascii="宋体" w:hAnsi="宋体" w:eastAsia="宋体" w:cs="宋体"/>
                      <w:b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t>-4373</w:t>
                  </w:r>
                </w:p>
              </w:tc>
              <w:tc>
                <w:tcPr>
                  <w:tcW w:w="2170" w:type="dxa"/>
                  <w:noWrap w:val="0"/>
                  <w:vAlign w:val="top"/>
                </w:tcPr>
                <w:p w14:paraId="31785388">
                  <w:pPr>
                    <w:autoSpaceDE w:val="0"/>
                    <w:autoSpaceDN w:val="0"/>
                    <w:adjustRightInd w:val="0"/>
                    <w:snapToGrid w:val="0"/>
                    <w:spacing w:before="62" w:beforeLines="20"/>
                    <w:jc w:val="left"/>
                    <w:rPr>
                      <w:rFonts w:hint="default" w:ascii="宋体" w:hAnsi="宋体" w:eastAsia="宋体" w:cs="宋体"/>
                      <w:b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t>-3747</w:t>
                  </w:r>
                </w:p>
              </w:tc>
              <w:tc>
                <w:tcPr>
                  <w:tcW w:w="2170" w:type="dxa"/>
                  <w:noWrap w:val="0"/>
                  <w:vAlign w:val="top"/>
                </w:tcPr>
                <w:p w14:paraId="22BC6B8C">
                  <w:pPr>
                    <w:autoSpaceDE w:val="0"/>
                    <w:autoSpaceDN w:val="0"/>
                    <w:adjustRightInd w:val="0"/>
                    <w:snapToGrid w:val="0"/>
                    <w:spacing w:before="62" w:beforeLines="20"/>
                    <w:jc w:val="left"/>
                    <w:rPr>
                      <w:rFonts w:hint="default" w:ascii="宋体" w:hAnsi="宋体" w:eastAsia="宋体" w:cs="宋体"/>
                      <w:b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t>3182</w:t>
                  </w:r>
                </w:p>
              </w:tc>
              <w:tc>
                <w:tcPr>
                  <w:tcW w:w="2170" w:type="dxa"/>
                  <w:noWrap w:val="0"/>
                  <w:vAlign w:val="top"/>
                </w:tcPr>
                <w:p w14:paraId="45C01C05">
                  <w:pPr>
                    <w:autoSpaceDE w:val="0"/>
                    <w:autoSpaceDN w:val="0"/>
                    <w:adjustRightInd w:val="0"/>
                    <w:snapToGrid w:val="0"/>
                    <w:spacing w:before="62" w:beforeLines="20"/>
                    <w:jc w:val="left"/>
                    <w:rPr>
                      <w:rFonts w:hint="default" w:ascii="宋体" w:hAnsi="宋体" w:eastAsia="宋体" w:cs="宋体"/>
                      <w:b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t>-4938</w:t>
                  </w:r>
                </w:p>
              </w:tc>
            </w:tr>
            <w:tr w14:paraId="63BB175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095" w:type="dxa"/>
                  <w:noWrap w:val="0"/>
                  <w:vAlign w:val="top"/>
                </w:tcPr>
                <w:p w14:paraId="1480D00C">
                  <w:pPr>
                    <w:autoSpaceDE w:val="0"/>
                    <w:autoSpaceDN w:val="0"/>
                    <w:adjustRightInd w:val="0"/>
                    <w:snapToGrid w:val="0"/>
                    <w:spacing w:before="62" w:beforeLines="20"/>
                    <w:jc w:val="center"/>
                    <w:rPr>
                      <w:rFonts w:hint="default" w:ascii="宋体" w:hAnsi="宋体" w:eastAsia="宋体" w:cs="宋体"/>
                      <w:b w:val="0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  <w:t>2023</w:t>
                  </w:r>
                </w:p>
              </w:tc>
              <w:tc>
                <w:tcPr>
                  <w:tcW w:w="2169" w:type="dxa"/>
                  <w:noWrap w:val="0"/>
                  <w:vAlign w:val="top"/>
                </w:tcPr>
                <w:p w14:paraId="70814868">
                  <w:pPr>
                    <w:autoSpaceDE w:val="0"/>
                    <w:autoSpaceDN w:val="0"/>
                    <w:adjustRightInd w:val="0"/>
                    <w:snapToGrid w:val="0"/>
                    <w:spacing w:before="62" w:beforeLines="20"/>
                    <w:jc w:val="left"/>
                    <w:rPr>
                      <w:rFonts w:hint="default" w:ascii="宋体" w:hAnsi="宋体" w:eastAsia="宋体" w:cs="宋体"/>
                      <w:b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t>269</w:t>
                  </w:r>
                </w:p>
              </w:tc>
              <w:tc>
                <w:tcPr>
                  <w:tcW w:w="2170" w:type="dxa"/>
                  <w:noWrap w:val="0"/>
                  <w:vAlign w:val="top"/>
                </w:tcPr>
                <w:p w14:paraId="0448FBC2">
                  <w:pPr>
                    <w:autoSpaceDE w:val="0"/>
                    <w:autoSpaceDN w:val="0"/>
                    <w:adjustRightInd w:val="0"/>
                    <w:snapToGrid w:val="0"/>
                    <w:spacing w:before="62" w:beforeLines="20"/>
                    <w:jc w:val="left"/>
                    <w:rPr>
                      <w:rFonts w:hint="default" w:ascii="宋体" w:hAnsi="宋体" w:eastAsia="宋体" w:cs="宋体"/>
                      <w:b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t>-716</w:t>
                  </w:r>
                </w:p>
              </w:tc>
              <w:tc>
                <w:tcPr>
                  <w:tcW w:w="2170" w:type="dxa"/>
                  <w:noWrap w:val="0"/>
                  <w:vAlign w:val="top"/>
                </w:tcPr>
                <w:p w14:paraId="471E028B">
                  <w:pPr>
                    <w:autoSpaceDE w:val="0"/>
                    <w:autoSpaceDN w:val="0"/>
                    <w:adjustRightInd w:val="0"/>
                    <w:snapToGrid w:val="0"/>
                    <w:spacing w:before="62" w:beforeLines="20"/>
                    <w:jc w:val="left"/>
                    <w:rPr>
                      <w:rFonts w:hint="default" w:ascii="宋体" w:hAnsi="宋体" w:eastAsia="宋体" w:cs="宋体"/>
                      <w:b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t>864</w:t>
                  </w:r>
                </w:p>
              </w:tc>
              <w:tc>
                <w:tcPr>
                  <w:tcW w:w="2170" w:type="dxa"/>
                  <w:noWrap w:val="0"/>
                  <w:vAlign w:val="top"/>
                </w:tcPr>
                <w:p w14:paraId="7EA400BB">
                  <w:pPr>
                    <w:autoSpaceDE w:val="0"/>
                    <w:autoSpaceDN w:val="0"/>
                    <w:adjustRightInd w:val="0"/>
                    <w:snapToGrid w:val="0"/>
                    <w:spacing w:before="62" w:beforeLines="20"/>
                    <w:jc w:val="left"/>
                    <w:rPr>
                      <w:rFonts w:hint="default" w:ascii="宋体" w:hAnsi="宋体" w:eastAsia="宋体" w:cs="宋体"/>
                      <w:b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t>418</w:t>
                  </w:r>
                </w:p>
              </w:tc>
            </w:tr>
            <w:tr w14:paraId="46267FB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1095" w:type="dxa"/>
                  <w:noWrap w:val="0"/>
                  <w:vAlign w:val="top"/>
                </w:tcPr>
                <w:p w14:paraId="62D40D1C">
                  <w:pPr>
                    <w:autoSpaceDE w:val="0"/>
                    <w:autoSpaceDN w:val="0"/>
                    <w:adjustRightInd w:val="0"/>
                    <w:snapToGrid w:val="0"/>
                    <w:spacing w:before="62" w:beforeLines="20"/>
                    <w:jc w:val="center"/>
                    <w:rPr>
                      <w:rFonts w:hint="default" w:ascii="宋体" w:hAnsi="宋体" w:eastAsia="宋体" w:cs="宋体"/>
                      <w:b w:val="0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  <w:t>2024</w:t>
                  </w:r>
                </w:p>
              </w:tc>
              <w:tc>
                <w:tcPr>
                  <w:tcW w:w="2169" w:type="dxa"/>
                  <w:noWrap w:val="0"/>
                  <w:vAlign w:val="top"/>
                </w:tcPr>
                <w:p w14:paraId="11A4EBE4">
                  <w:pPr>
                    <w:autoSpaceDE w:val="0"/>
                    <w:autoSpaceDN w:val="0"/>
                    <w:adjustRightInd w:val="0"/>
                    <w:snapToGrid w:val="0"/>
                    <w:spacing w:before="62" w:beforeLines="20"/>
                    <w:jc w:val="left"/>
                    <w:rPr>
                      <w:rFonts w:hint="default" w:ascii="宋体" w:hAnsi="宋体" w:eastAsia="宋体" w:cs="宋体"/>
                      <w:b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t>-896</w:t>
                  </w:r>
                </w:p>
              </w:tc>
              <w:tc>
                <w:tcPr>
                  <w:tcW w:w="2170" w:type="dxa"/>
                  <w:noWrap w:val="0"/>
                  <w:vAlign w:val="top"/>
                </w:tcPr>
                <w:p w14:paraId="2AB9740F">
                  <w:pPr>
                    <w:autoSpaceDE w:val="0"/>
                    <w:autoSpaceDN w:val="0"/>
                    <w:adjustRightInd w:val="0"/>
                    <w:snapToGrid w:val="0"/>
                    <w:spacing w:before="62" w:beforeLines="20"/>
                    <w:jc w:val="left"/>
                    <w:rPr>
                      <w:rFonts w:hint="default" w:ascii="宋体" w:hAnsi="宋体" w:eastAsia="宋体" w:cs="宋体"/>
                      <w:b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t>-922</w:t>
                  </w:r>
                </w:p>
              </w:tc>
              <w:tc>
                <w:tcPr>
                  <w:tcW w:w="2170" w:type="dxa"/>
                  <w:noWrap w:val="0"/>
                  <w:vAlign w:val="top"/>
                </w:tcPr>
                <w:p w14:paraId="3DB724E8">
                  <w:pPr>
                    <w:autoSpaceDE w:val="0"/>
                    <w:autoSpaceDN w:val="0"/>
                    <w:adjustRightInd w:val="0"/>
                    <w:snapToGrid w:val="0"/>
                    <w:spacing w:before="62" w:beforeLines="20"/>
                    <w:jc w:val="left"/>
                    <w:rPr>
                      <w:rFonts w:hint="default" w:ascii="宋体" w:hAnsi="宋体" w:eastAsia="宋体" w:cs="宋体"/>
                      <w:b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t>802</w:t>
                  </w:r>
                </w:p>
              </w:tc>
              <w:tc>
                <w:tcPr>
                  <w:tcW w:w="2170" w:type="dxa"/>
                  <w:noWrap w:val="0"/>
                  <w:vAlign w:val="top"/>
                </w:tcPr>
                <w:p w14:paraId="0CD2D0DD">
                  <w:pPr>
                    <w:autoSpaceDE w:val="0"/>
                    <w:autoSpaceDN w:val="0"/>
                    <w:adjustRightInd w:val="0"/>
                    <w:snapToGrid w:val="0"/>
                    <w:spacing w:before="62" w:beforeLines="20"/>
                    <w:jc w:val="left"/>
                    <w:rPr>
                      <w:rFonts w:hint="default" w:ascii="宋体" w:hAnsi="宋体" w:eastAsia="宋体" w:cs="宋体"/>
                      <w:b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t>-1015</w:t>
                  </w:r>
                </w:p>
              </w:tc>
            </w:tr>
          </w:tbl>
          <w:p w14:paraId="3591524A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2" w:firstLineChars="200"/>
              <w:jc w:val="left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  <w:lang w:val="zh-CN"/>
              </w:rPr>
              <w:t>总体财务情况小结： 收入下滑趋势在2025年得到扭转并恢复增长，同时毛利率在经历波动后于近两年稳定在较高水平，显示盈利能力的改善与巩固。毛利率标准差处于可控范围，表明盈利质量趋于稳定。收入、毛利与净利润需联动分析，重点关注利润兑现与毛利波动是否匹配。</w:t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  <w:lang w:val="zh-CN"/>
              </w:rPr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  <w:lang w:val="zh-CN"/>
              </w:rPr>
            </w:r>
          </w:p>
          <w:p w14:paraId="3591524A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2" w:firstLineChars="200"/>
              <w:jc w:val="left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t xml:space="preserve">短期偿债能力指标呈现分化，货币资金对短期借款的保障水平持续大幅减弱，但流动比率逐年改善。长期偿债能力持续增强，资产负债率稳步下降至健康水平。偿债能力由杠杆水平与流动性共同决定，需同步观察资产负债率和短债覆盖能力。</w:t>
            </w:r>
          </w:p>
          <w:p w14:paraId="3591524A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2" w:firstLineChars="200"/>
              <w:jc w:val="left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t xml:space="preserve">应收账款周转效率持续恶化，回款能力显著下降。存货管理波动剧烈，存在库存积压风险。运营效率需重点跟踪应收账款周转与收入扩张的匹配程度。</w:t>
            </w:r>
          </w:p>
          <w:p w14:paraId="3591524A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2" w:firstLineChars="200"/>
              <w:jc w:val="left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t xml:space="preserve">现金流数据缺失，无法评估其质量与连续性。经营现金流当前表现为无法判断，需关注现金回笼与利润质量是否一致。若经营现金流波动较大，应强化订单回款、存货占用与资金调度管理。</w:t>
            </w:r>
          </w:p>
          <w:p w14:paraId="3591524A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2" w:firstLineChars="200"/>
              <w:jc w:val="left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t xml:space="preserve">应收账款周转天数持续恶化，已显著超过风险阈值，表明客户回款能力严重不足，信用风险急剧升高。货币资金对短期借款的覆盖率已降至极低水平，远低于安全阈值，企业面临严峻的短期偿债压力，流动性风险极高。当前已触发硬阈值预警：应收账款周转天数超过180天，回款风险偏高。</w:t>
            </w:r>
          </w:p>
          <w:p w14:paraId="13920AEA">
            <w:pPr>
              <w:widowControl/>
              <w:numPr>
                <w:ilvl w:val="0"/>
                <w:numId w:val="0"/>
              </w:numPr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jc w:val="left"/>
              <w:textAlignment w:val="baseline"/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六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借款人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  <w:t>融资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/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  <w:t>对外担保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/实控人征信情况</w:t>
            </w:r>
          </w:p>
          <w:p w14:paraId="69868171">
            <w:pPr>
              <w:pStyle w:val="9"/>
              <w:numPr>
                <w:ilvl w:val="0"/>
                <w:numId w:val="0"/>
              </w:numPr>
              <w:rPr>
                <w:rFonts w:hint="eastAsia" w:ascii="宋体" w:hAnsi="宋体" w:eastAsia="宋体" w:cs="宋体"/>
                <w:b/>
                <w:bCs/>
                <w:snapToGrid w:val="0"/>
                <w:color w:val="000000"/>
                <w:kern w:val="0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/>
                <w:highlight w:val="none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1"/>
                <w:szCs w:val="21"/>
                <w:highlight w:val="none"/>
                <w:lang w:val="en-US" w:eastAsia="zh-CN" w:bidi="ar-SA"/>
              </w:rPr>
              <w:t xml:space="preserve">  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color w:val="000000"/>
                <w:kern w:val="0"/>
                <w:sz w:val="21"/>
                <w:szCs w:val="21"/>
                <w:highlight w:val="none"/>
                <w:lang w:val="en-US" w:eastAsia="zh-CN" w:bidi="ar-SA"/>
              </w:rPr>
              <w:t xml:space="preserve">  1.融资及对外担保情况</w:t>
            </w:r>
          </w:p>
          <w:p w14:paraId="42E9A1DA">
            <w:pPr>
              <w:pStyle w:val="9"/>
              <w:numPr>
                <w:ilvl w:val="0"/>
                <w:numId w:val="0"/>
              </w:numPr>
              <w:ind w:firstLine="420" w:firstLineChars="200"/>
              <w:rPr>
                <w:rFonts w:hint="eastAsia" w:ascii="宋体" w:hAnsi="宋体" w:eastAsia="宋体" w:cs="宋体"/>
                <w:bCs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Cs/>
                <w:snapToGrid w:val="0"/>
                <w:color w:val="000000"/>
                <w:kern w:val="0"/>
                <w:sz w:val="21"/>
                <w:szCs w:val="21"/>
                <w:u w:val="none"/>
                <w:lang w:val="en-US" w:eastAsia="zh-CN" w:bidi="ar-SA"/>
              </w:rPr>
              <w:t>公司无对外担保记录，亦无被追偿记录。从偿债能力看，公司2025年末资产负债率为42.5%，流动比率为1.82，整体财务杠杆适中，短期偿债能力尚可。公司2025年度实现营业收入10010万元，净利润494万元，具备一定的盈利能力和经营现金流生成能力，为债务偿付提供了基础保障。</w:t>
            </w:r>
          </w:p>
          <w:tbl>
            <w:tblPr>
              <w:tblStyle w:val="13"/>
              <w:tblW w:w="4997" w:type="pct"/>
              <w:jc w:val="center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354"/>
              <w:gridCol w:w="818"/>
              <w:gridCol w:w="1354"/>
              <w:gridCol w:w="1354"/>
              <w:gridCol w:w="1623"/>
              <w:gridCol w:w="1623"/>
              <w:gridCol w:w="1357"/>
              <w:gridCol w:w="1358"/>
            </w:tblGrid>
            <w:tr w14:paraId="4797BF2D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80" w:hRule="atLeast"/>
                <w:jc w:val="center"/>
              </w:trPr>
              <w:tc>
                <w:tcPr>
                  <w:tcW w:w="624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365DDB32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  <w:t>融资机构</w:t>
                  </w:r>
                </w:p>
              </w:tc>
              <w:tc>
                <w:tcPr>
                  <w:tcW w:w="377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17D580CE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  <w:t>品种</w:t>
                  </w:r>
                </w:p>
              </w:tc>
              <w:tc>
                <w:tcPr>
                  <w:tcW w:w="624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3E33EC5A">
                  <w:pPr>
                    <w:spacing w:line="240" w:lineRule="auto"/>
                    <w:jc w:val="center"/>
                    <w:rPr>
                      <w:rFonts w:hint="default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  <w:t>敞口额度</w:t>
                  </w:r>
                </w:p>
              </w:tc>
              <w:tc>
                <w:tcPr>
                  <w:tcW w:w="624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16C40424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  <w:t>敞口余额</w:t>
                  </w:r>
                </w:p>
              </w:tc>
              <w:tc>
                <w:tcPr>
                  <w:tcW w:w="748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24FAC9F1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  <w:t>业务起始日</w:t>
                  </w:r>
                </w:p>
              </w:tc>
              <w:tc>
                <w:tcPr>
                  <w:tcW w:w="748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351B014B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  <w:t>业务到期日</w:t>
                  </w:r>
                </w:p>
              </w:tc>
              <w:tc>
                <w:tcPr>
                  <w:tcW w:w="625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4C8A8D9B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  <w:t>担保方式</w:t>
                  </w:r>
                </w:p>
              </w:tc>
              <w:tc>
                <w:tcPr>
                  <w:tcW w:w="625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1BC95E0F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  <w:t>五级分类</w:t>
                  </w:r>
                </w:p>
              </w:tc>
            </w:tr>
            <w:tr w14:paraId="430442E3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80" w:hRule="atLeast"/>
                <w:jc w:val="center"/>
              </w:trPr>
              <w:tc>
                <w:tcPr>
                  <w:tcW w:w="624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160A7077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t>交通银行屏东支行</w:t>
                  </w:r>
                </w:p>
              </w:tc>
              <w:tc>
                <w:tcPr>
                  <w:tcW w:w="377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7F666768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t>流贷</w:t>
                  </w:r>
                </w:p>
              </w:tc>
              <w:tc>
                <w:tcPr>
                  <w:tcW w:w="624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5D146FD7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</w:p>
              </w:tc>
              <w:tc>
                <w:tcPr>
                  <w:tcW w:w="624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57EE6485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</w:p>
              </w:tc>
              <w:tc>
                <w:tcPr>
                  <w:tcW w:w="748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44D99216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t>2026.4.24</w:t>
                  </w:r>
                </w:p>
              </w:tc>
              <w:tc>
                <w:tcPr>
                  <w:tcW w:w="748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2D9F5144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t>黄祖海</w:t>
                  </w:r>
                </w:p>
              </w:tc>
              <w:tc>
                <w:tcPr>
                  <w:tcW w:w="625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7EDBC608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</w:p>
              </w:tc>
              <w:tc>
                <w:tcPr>
                  <w:tcW w:w="625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39028500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</w:p>
              </w:tc>
            </w:tr>
            <w:tr w14:paraId="3E3562EC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80" w:hRule="atLeast"/>
                <w:jc w:val="center"/>
              </w:trPr>
              <w:tc>
                <w:tcPr>
                  <w:tcW w:w="624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497FD3B5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t>海峡银行-金山支行</w:t>
                  </w:r>
                </w:p>
              </w:tc>
              <w:tc>
                <w:tcPr>
                  <w:tcW w:w="377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1CAF18F8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t>流贷加担保</w:t>
                  </w:r>
                </w:p>
              </w:tc>
              <w:tc>
                <w:tcPr>
                  <w:tcW w:w="624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50F8D95F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</w:p>
              </w:tc>
              <w:tc>
                <w:tcPr>
                  <w:tcW w:w="624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5D2ACB83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</w:p>
              </w:tc>
              <w:tc>
                <w:tcPr>
                  <w:tcW w:w="748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47F50C3B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t>2026.10.15</w:t>
                  </w:r>
                </w:p>
              </w:tc>
              <w:tc>
                <w:tcPr>
                  <w:tcW w:w="748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4C5E539D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t>黄祖海.陈其俤.福州市融资担保有限公司.福建恒运投资合伙企业（有限合伙）</w:t>
                  </w:r>
                </w:p>
              </w:tc>
              <w:tc>
                <w:tcPr>
                  <w:tcW w:w="625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3E078235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</w:p>
              </w:tc>
              <w:tc>
                <w:tcPr>
                  <w:tcW w:w="625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7FBE1FB7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</w:p>
              </w:tc>
            </w:tr>
            <w:tr w14:paraId="0DAE1183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70" w:hRule="atLeast"/>
                <w:jc w:val="center"/>
              </w:trPr>
              <w:tc>
                <w:tcPr>
                  <w:tcW w:w="624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6BFAFEDB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t>厦门国际银行台江支行</w:t>
                  </w:r>
                </w:p>
              </w:tc>
              <w:tc>
                <w:tcPr>
                  <w:tcW w:w="377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5279E379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t>流贷</w:t>
                  </w:r>
                </w:p>
              </w:tc>
              <w:tc>
                <w:tcPr>
                  <w:tcW w:w="624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274F717C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</w:p>
              </w:tc>
              <w:tc>
                <w:tcPr>
                  <w:tcW w:w="624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4D198F39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</w:p>
              </w:tc>
              <w:tc>
                <w:tcPr>
                  <w:tcW w:w="748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20FEBB90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t>2026.11.21</w:t>
                  </w:r>
                </w:p>
              </w:tc>
              <w:tc>
                <w:tcPr>
                  <w:tcW w:w="748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0295822D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t>黄祖海.陈其俤</w:t>
                  </w:r>
                </w:p>
              </w:tc>
              <w:tc>
                <w:tcPr>
                  <w:tcW w:w="625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3476CA7F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</w:p>
              </w:tc>
              <w:tc>
                <w:tcPr>
                  <w:tcW w:w="625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18E6263B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</w:p>
              </w:tc>
            </w:tr>
            <w:tr w14:paraId="69C18A2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70" w:hRule="atLeast"/>
                <w:jc w:val="center"/>
              </w:trPr>
              <w:tc>
                <w:tcPr>
                  <w:tcW w:w="624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09B3C0CF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t>兴业银行-环球支行</w:t>
                  </w:r>
                </w:p>
              </w:tc>
              <w:tc>
                <w:tcPr>
                  <w:tcW w:w="377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29DA096D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  <w:t>合计</w:t>
                  </w:r>
                </w:p>
              </w:tc>
              <w:tc>
                <w:tcPr>
                  <w:tcW w:w="624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2FE8BDB0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</w:p>
              </w:tc>
              <w:tc>
                <w:tcPr>
                  <w:tcW w:w="624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50725CE1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</w:p>
              </w:tc>
              <w:tc>
                <w:tcPr>
                  <w:tcW w:w="748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14048CA5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t>2025.11.25</w:t>
                  </w:r>
                </w:p>
              </w:tc>
              <w:tc>
                <w:tcPr>
                  <w:tcW w:w="748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3A17426C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t>2026.11.25</w:t>
                  </w:r>
                </w:p>
              </w:tc>
              <w:tc>
                <w:tcPr>
                  <w:tcW w:w="625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3F14E017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  <w:r>
                    <w:t>黄祖海.陈其俤.中锐汉鼎</w:t>
                  </w:r>
                </w:p>
              </w:tc>
              <w:tc>
                <w:tcPr>
                  <w:tcW w:w="625" w:type="pct"/>
                  <w:tcBorders>
                    <w:top w:val="single" w:color="000000" w:sz="4" w:space="0"/>
                    <w:left w:val="single" w:color="000000" w:sz="4" w:space="0"/>
                    <w:bottom w:val="single" w:color="000000" w:sz="4" w:space="0"/>
                    <w:right w:val="single" w:color="000000" w:sz="4" w:space="0"/>
                  </w:tcBorders>
                  <w:noWrap w:val="0"/>
                  <w:vAlign w:val="center"/>
                </w:tcPr>
                <w:p w14:paraId="372440EC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sz w:val="20"/>
                      <w:szCs w:val="20"/>
                      <w:lang w:val="en-US" w:eastAsia="zh-CN"/>
                    </w:rPr>
                  </w:pPr>
                </w:p>
              </w:tc>
            </w:tr>
          </w:tbl>
          <w:p w14:paraId="17C0B0C6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0"/>
              <w:jc w:val="left"/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lang w:val="en-US" w:eastAsia="zh-CN"/>
              </w:rPr>
              <w:t>（若有）涉及中长期借款的反馈中长期借款还款计划及还款资金安排情况：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 xml:space="preserve"> 材料中未提供中长期借款信息。 </w:t>
            </w:r>
          </w:p>
          <w:p w14:paraId="73E83C36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0"/>
              <w:jc w:val="left"/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lang w:val="en-US" w:eastAsia="zh-CN"/>
              </w:rPr>
              <w:t>（若有）固贷还款计划如下：建设银行项目贷款（配套项目均已建成，已有经营回款能力）</w:t>
            </w:r>
          </w:p>
          <w:p w14:paraId="547A6D1A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0"/>
              <w:jc w:val="left"/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lang w:val="en-US" w:eastAsia="zh-CN"/>
              </w:rPr>
              <w:t>2025年还款1188万元、2026年1926万元、2027年2430万元、2028年2330万元、2029年2500万元、2030年1637万元，按预测销售趋势及净利润水平来看，可足额归还相关项目贷款资金。</w:t>
            </w:r>
          </w:p>
          <w:p w14:paraId="76CE32AE">
            <w:commentRangeStart w:id="10"/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0"/>
              <w:jc w:val="left"/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</w:pP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</w:rPr>
              <w:t>（若有）对外担保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lang w:val="en-US" w:eastAsia="zh-CN"/>
              </w:rPr>
              <w:t>情况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</w:rPr>
              <w:t>：</w:t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  <w:t xml:space="preserve">           </w:t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 xml:space="preserve">                  </w:t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  <w:lang w:val="zh-CN"/>
              </w:rPr>
              <w:t xml:space="preserve">  </w:t>
            </w:r>
            <w:commentRangeEnd w:id="10"/>
            <w:r>
              <w:rPr>
                <w:rStyle w:val="CommentReference"/>
              </w:rPr>
              <w:commentReference w:id="10"/>
            </w:r>
          </w:p>
          <w:p w14:paraId="4355488A">
            <w:pPr>
              <w:autoSpaceDE w:val="0"/>
              <w:autoSpaceDN w:val="0"/>
              <w:adjustRightInd w:val="0"/>
              <w:snapToGrid w:val="0"/>
              <w:spacing w:before="62" w:beforeLines="20"/>
              <w:ind w:firstLine="420"/>
              <w:jc w:val="left"/>
              <w:rPr>
                <w:rFonts w:hint="default" w:ascii="宋体" w:hAnsi="宋体" w:eastAsia="宋体" w:cs="宋体"/>
                <w:snapToGrid w:val="0"/>
                <w:kern w:val="0"/>
                <w:sz w:val="21"/>
                <w:szCs w:val="21"/>
                <w:highlight w:val="none"/>
                <w:u w:val="singl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kern w:val="0"/>
                <w:sz w:val="21"/>
                <w:szCs w:val="21"/>
                <w:highlight w:val="none"/>
                <w:lang w:val="en-US" w:eastAsia="zh-CN" w:bidi="ar-SA"/>
              </w:rPr>
              <w:t xml:space="preserve">（若有）不良记录情况: </w:t>
            </w:r>
            <w:r>
              <w:rPr>
                <w:rFonts w:hint="eastAsia" w:ascii="宋体" w:hAnsi="宋体" w:eastAsia="宋体" w:cs="宋体"/>
                <w:snapToGrid w:val="0"/>
                <w:kern w:val="0"/>
                <w:sz w:val="21"/>
                <w:szCs w:val="21"/>
                <w:highlight w:val="none"/>
                <w:u w:val="single"/>
                <w:lang w:val="en-US" w:eastAsia="zh-CN" w:bidi="ar-SA"/>
              </w:rPr>
              <w:t xml:space="preserve"> 材料中未提供不良记录信息。 </w:t>
            </w:r>
          </w:p>
          <w:p w14:paraId="0BD0E5B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 w:firstLine="422" w:firstLineChars="200"/>
              <w:jc w:val="both"/>
              <w:textAlignment w:val="auto"/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上游供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应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商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主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highlight w:val="none"/>
                <w:u w:val="single"/>
                <w:lang w:val="en-US" w:eastAsia="zh-CN"/>
              </w:rPr>
              <w:t>要包括：锐捷网络股份有限公司、北京星链南天科技有限公司、广州浩瀚星图信息技术有限公司、新天科技股份有限公司、精导信息技术有限公司司等。下游客户主要包括：涵江水利局、福建省翔远电子科技有限公司、三明水利水电工程有限公司顺昌分公司、福州市福清公路事业发展中心、济南展雄电子有限公司等。</w:t>
            </w:r>
          </w:p>
          <w:p w14:paraId="5424B92B">
            <w:commentRangeStart w:id="11"/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2" w:firstLineChars="200"/>
              <w:jc w:val="left"/>
              <w:textAlignment w:val="baseline"/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3.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实控人配偶情况：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 xml:space="preserve"> 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eastAsia="zh-CN"/>
              </w:rPr>
              <w:t>陈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____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 xml:space="preserve"> 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，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u w:val="single"/>
                <w:lang w:eastAsia="zh-CN"/>
              </w:rPr>
              <w:t>中国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lang w:eastAsia="zh-CN"/>
              </w:rPr>
              <w:t>国籍，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u w:val="single"/>
                <w:lang w:eastAsia="zh-CN"/>
              </w:rPr>
              <w:t>福建福州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lang w:eastAsia="zh-CN"/>
              </w:rPr>
              <w:t>人，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19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78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年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生，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个人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征信信息：</w:t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 xml:space="preserve">  </w:t>
            </w:r>
            <w:r>
              <w:rPr>
                <w:rFonts w:hint="eastAsia" w:ascii="宋体" w:hAnsi="宋体" w:cs="宋体"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可参考实控人征信描述格式</w:t>
            </w: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 xml:space="preserve"> </w:t>
            </w:r>
            <w:commentRangeEnd w:id="11"/>
            <w:r>
              <w:rPr>
                <w:rStyle w:val="CommentReference"/>
              </w:rPr>
              <w:commentReference w:id="11"/>
            </w:r>
          </w:p>
          <w:p w14:paraId="27DBD940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jc w:val="left"/>
              <w:textAlignment w:val="baseline"/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 w:val="21"/>
                <w:szCs w:val="21"/>
                <w:highlight w:val="none"/>
                <w:lang w:val="en-US" w:eastAsia="zh-CN" w:bidi="ar-SA"/>
              </w:rPr>
              <w:t>（七）科技情况分析（科技型企业填写）</w:t>
            </w:r>
          </w:p>
          <w:p w14:paraId="0C37BEE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211" w:firstLineChars="100"/>
              <w:jc w:val="left"/>
              <w:textAlignment w:val="baseline"/>
              <w:rPr>
                <w:rFonts w:hint="eastAsia" w:ascii="宋体" w:hAnsi="宋体" w:cs="宋体"/>
                <w:b/>
                <w:bCs/>
                <w:kern w:val="2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kern w:val="2"/>
                <w:sz w:val="21"/>
                <w:szCs w:val="21"/>
                <w:highlight w:val="none"/>
                <w:lang w:val="en-US" w:eastAsia="zh-CN"/>
              </w:rPr>
              <w:t>1.科技类型与评分</w:t>
            </w:r>
          </w:p>
          <w:p w14:paraId="4283556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beforeLines="20"/>
              <w:ind w:firstLine="422" w:firstLineChars="200"/>
              <w:jc w:val="left"/>
              <w:textAlignment w:val="baseline"/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科技型企业类型：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</w:rPr>
              <w:t>□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科技型中小企业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（第几轮，有效期至X年X月X日）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；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</w:rPr>
              <w:t>☑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高新技术企业；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</w:rPr>
              <w:t>□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创新型中小企业；</w:t>
            </w:r>
          </w:p>
          <w:p w14:paraId="2E216E6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beforeLines="20"/>
              <w:ind w:firstLine="1687" w:firstLineChars="800"/>
              <w:jc w:val="left"/>
              <w:textAlignment w:val="baseline"/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</w:rPr>
              <w:t>☑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“专精特新”中小企业；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</w:rPr>
              <w:t>□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专精特新“小巨人”企业；</w:t>
            </w:r>
          </w:p>
          <w:p w14:paraId="0EFFADC8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beforeLines="20"/>
              <w:ind w:firstLine="1687" w:firstLineChars="800"/>
              <w:jc w:val="left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</w:rPr>
              <w:t>□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制造业单项冠军企业；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</w:rPr>
              <w:t>□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lang w:val="en-US" w:eastAsia="zh-CN"/>
              </w:rPr>
              <w:t>国家技术创新示范企业</w:t>
            </w:r>
          </w:p>
          <w:p w14:paraId="6C01223F">
            <w:pPr>
              <w:pStyle w:val="7"/>
              <w:ind w:firstLine="422" w:firstLineChars="200"/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 w:val="21"/>
                <w:szCs w:val="21"/>
                <w:lang w:val="en-US" w:eastAsia="zh-CN" w:bidi="ar-SA"/>
              </w:rPr>
              <w:t>科技型企业评分：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u w:val="single"/>
                <w:lang w:val="en-US" w:eastAsia="zh-CN"/>
              </w:rPr>
              <w:t xml:space="preserve"> 材料中未提供科技型企业评分信息。 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 w:val="21"/>
                <w:szCs w:val="21"/>
                <w:lang w:val="en-US" w:eastAsia="zh-CN" w:bidi="ar-SA"/>
              </w:rPr>
              <w:t>分</w:t>
            </w:r>
          </w:p>
          <w:p w14:paraId="787DC0F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211" w:firstLineChars="100"/>
              <w:jc w:val="left"/>
              <w:textAlignment w:val="baseline"/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highlight w:val="none"/>
                <w:lang w:val="en-US" w:eastAsia="zh-CN"/>
              </w:rPr>
              <w:t>※2.研发投入情况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</w:rPr>
              <w:t>：</w:t>
            </w:r>
          </w:p>
          <w:p w14:paraId="460D4DDD">
            <w:pPr>
              <w:widowControl/>
              <w:numPr>
                <w:ilvl w:val="0"/>
                <w:numId w:val="0"/>
              </w:numPr>
              <w:spacing w:line="240" w:lineRule="auto"/>
              <w:ind w:firstLine="422" w:firstLineChars="200"/>
              <w:jc w:val="left"/>
              <w:rPr>
                <w:rFonts w:hint="eastAsia" w:ascii="宋体" w:hAnsi="宋体" w:eastAsia="宋体" w:cs="宋体"/>
                <w:b/>
                <w:bCs w:val="0"/>
                <w:kern w:val="2"/>
                <w:szCs w:val="21"/>
                <w:highlight w:val="no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 w:val="0"/>
                <w:kern w:val="2"/>
                <w:sz w:val="21"/>
                <w:szCs w:val="21"/>
                <w:highlight w:val="none"/>
                <w:lang w:val="en-US" w:eastAsia="zh-CN"/>
              </w:rPr>
              <w:t>①</w:t>
            </w:r>
            <w:r>
              <w:rPr>
                <w:rFonts w:hint="eastAsia" w:ascii="宋体" w:hAnsi="宋体" w:eastAsia="宋体" w:cs="宋体"/>
                <w:b/>
                <w:bCs w:val="0"/>
                <w:kern w:val="2"/>
                <w:sz w:val="21"/>
                <w:szCs w:val="21"/>
                <w:highlight w:val="none"/>
                <w:lang w:eastAsia="zh-CN"/>
              </w:rPr>
              <w:t>核心</w:t>
            </w:r>
            <w:r>
              <w:rPr>
                <w:rFonts w:hint="eastAsia" w:ascii="宋体" w:hAnsi="宋体" w:cs="宋体"/>
                <w:b/>
                <w:bCs w:val="0"/>
                <w:kern w:val="2"/>
                <w:sz w:val="21"/>
                <w:szCs w:val="21"/>
                <w:highlight w:val="none"/>
                <w:lang w:val="en-US" w:eastAsia="zh-CN"/>
              </w:rPr>
              <w:t>研发</w:t>
            </w:r>
            <w:r>
              <w:rPr>
                <w:rFonts w:hint="eastAsia" w:ascii="宋体" w:hAnsi="宋体" w:eastAsia="宋体" w:cs="宋体"/>
                <w:b/>
                <w:bCs w:val="0"/>
                <w:kern w:val="2"/>
                <w:sz w:val="21"/>
                <w:szCs w:val="21"/>
                <w:highlight w:val="none"/>
                <w:lang w:eastAsia="zh-CN"/>
              </w:rPr>
              <w:t>人员是否</w:t>
            </w:r>
            <w:r>
              <w:rPr>
                <w:rFonts w:hint="eastAsia" w:ascii="宋体" w:hAnsi="宋体" w:cs="宋体"/>
                <w:b/>
                <w:bCs w:val="0"/>
                <w:kern w:val="2"/>
                <w:sz w:val="21"/>
                <w:szCs w:val="21"/>
                <w:highlight w:val="none"/>
                <w:lang w:val="en-US" w:eastAsia="zh-CN"/>
              </w:rPr>
              <w:t>享有</w:t>
            </w:r>
            <w:r>
              <w:rPr>
                <w:rFonts w:hint="eastAsia" w:ascii="宋体" w:hAnsi="宋体" w:eastAsia="宋体" w:cs="宋体"/>
                <w:b/>
                <w:bCs w:val="0"/>
                <w:kern w:val="2"/>
                <w:sz w:val="21"/>
                <w:szCs w:val="21"/>
                <w:highlight w:val="none"/>
                <w:lang w:eastAsia="zh-CN"/>
              </w:rPr>
              <w:t>股权激励：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□</w:t>
            </w:r>
            <w:r>
              <w:rPr>
                <w:rFonts w:hint="eastAsia" w:ascii="宋体" w:hAnsi="宋体" w:eastAsia="宋体" w:cs="宋体"/>
                <w:b/>
                <w:bCs w:val="0"/>
                <w:kern w:val="2"/>
                <w:szCs w:val="21"/>
                <w:highlight w:val="none"/>
                <w:lang w:eastAsia="zh-CN"/>
              </w:rPr>
              <w:t>是</w:t>
            </w:r>
            <w:r>
              <w:rPr>
                <w:rFonts w:hint="eastAsia" w:ascii="宋体" w:hAnsi="宋体" w:eastAsia="宋体" w:cs="宋体"/>
                <w:b/>
                <w:bCs w:val="0"/>
                <w:kern w:val="2"/>
                <w:szCs w:val="21"/>
                <w:highlight w:val="none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</w:rPr>
              <w:t>☑</w:t>
            </w:r>
            <w:r>
              <w:rPr>
                <w:rFonts w:hint="eastAsia" w:ascii="宋体" w:hAnsi="宋体" w:eastAsia="宋体" w:cs="宋体"/>
                <w:b/>
                <w:bCs w:val="0"/>
                <w:kern w:val="2"/>
                <w:szCs w:val="21"/>
                <w:highlight w:val="none"/>
                <w:lang w:eastAsia="zh-CN"/>
              </w:rPr>
              <w:t>否</w:t>
            </w:r>
          </w:p>
          <w:p w14:paraId="5EFD5548">
            <w:pPr>
              <w:widowControl/>
              <w:numPr>
                <w:ilvl w:val="0"/>
                <w:numId w:val="0"/>
              </w:numPr>
              <w:spacing w:line="240" w:lineRule="auto"/>
              <w:ind w:firstLine="422" w:firstLineChars="200"/>
              <w:jc w:val="left"/>
              <w:rPr>
                <w:rFonts w:hint="eastAsia" w:ascii="宋体" w:hAnsi="宋体" w:eastAsia="宋体" w:cs="宋体"/>
                <w:b/>
                <w:bCs w:val="0"/>
                <w:kern w:val="2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 w:val="0"/>
                <w:kern w:val="2"/>
                <w:sz w:val="21"/>
                <w:szCs w:val="21"/>
                <w:highlight w:val="none"/>
                <w:lang w:val="en-US" w:eastAsia="zh-CN"/>
              </w:rPr>
              <w:t>②近三年研发投入占比及研发人员占比</w:t>
            </w:r>
          </w:p>
          <w:tbl>
            <w:tblPr>
              <w:tblStyle w:val="14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576"/>
              <w:gridCol w:w="936"/>
              <w:gridCol w:w="2826"/>
              <w:gridCol w:w="1296"/>
              <w:gridCol w:w="1296"/>
              <w:gridCol w:w="1296"/>
            </w:tblGrid>
            <w:tr w14:paraId="20626E9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5A9C2D49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center"/>
                    <w:textAlignment w:val="baseline"/>
                    <w:rPr>
                      <w:rFonts w:hint="eastAsia" w:ascii="宋体" w:hAnsi="宋体" w:eastAsia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  <w:t>年份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19107C17">
                  <w:pPr>
                    <w:numPr>
                      <w:ilvl w:val="0"/>
                      <w:numId w:val="0"/>
                    </w:numPr>
                    <w:spacing w:before="0" w:beforeLines="0" w:line="240" w:lineRule="auto"/>
                    <w:ind w:left="0" w:leftChars="0" w:firstLine="0" w:firstLineChars="0"/>
                    <w:jc w:val="center"/>
                    <w:rPr>
                      <w:rFonts w:hint="eastAsia" w:ascii="宋体" w:hAnsi="宋体" w:eastAsia="宋体" w:cs="宋体"/>
                      <w:b w:val="0"/>
                      <w:bCs w:val="0"/>
                      <w:kern w:val="2"/>
                      <w:sz w:val="18"/>
                      <w:szCs w:val="18"/>
                      <w:highlight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  <w:lang w:val="en-US" w:eastAsia="zh-CN"/>
                    </w:rPr>
                    <w:t>研发费用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7AAB0030">
                  <w:pPr>
                    <w:numPr>
                      <w:ilvl w:val="0"/>
                      <w:numId w:val="0"/>
                    </w:numPr>
                    <w:spacing w:before="0" w:beforeLines="0" w:line="240" w:lineRule="auto"/>
                    <w:ind w:left="0" w:leftChars="0" w:firstLine="0" w:firstLineChars="0"/>
                    <w:jc w:val="center"/>
                    <w:rPr>
                      <w:rFonts w:hint="eastAsia" w:ascii="宋体" w:hAnsi="宋体" w:eastAsia="宋体" w:cs="宋体"/>
                      <w:b w:val="0"/>
                      <w:bCs w:val="0"/>
                      <w:kern w:val="2"/>
                      <w:sz w:val="18"/>
                      <w:szCs w:val="18"/>
                      <w:highlight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z w:val="18"/>
                      <w:szCs w:val="18"/>
                      <w:highlight w:val="none"/>
                      <w:lang w:val="en-US" w:eastAsia="zh-CN"/>
                    </w:rPr>
                    <w:t>研发费用占比</w:t>
                  </w: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  <w:lang w:val="en-US" w:eastAsia="zh-CN"/>
                    </w:rPr>
                    <w:t>（研发费用/</w:t>
                  </w:r>
                  <w:r>
                    <w:rPr>
                      <w:rFonts w:hint="eastAsia" w:ascii="宋体" w:hAnsi="宋体" w:cs="宋体"/>
                      <w:b w:val="0"/>
                      <w:bCs w:val="0"/>
                      <w:sz w:val="18"/>
                      <w:szCs w:val="18"/>
                      <w:highlight w:val="none"/>
                      <w:lang w:val="en-US" w:eastAsia="zh-CN"/>
                    </w:rPr>
                    <w:t>营收</w:t>
                  </w: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  <w:lang w:val="en-US" w:eastAsia="zh-CN"/>
                    </w:rPr>
                    <w:t>）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0DE82046">
                  <w:pPr>
                    <w:numPr>
                      <w:ilvl w:val="0"/>
                      <w:numId w:val="0"/>
                    </w:numPr>
                    <w:spacing w:before="0" w:beforeLines="0" w:line="240" w:lineRule="auto"/>
                    <w:ind w:left="0" w:leftChars="0" w:firstLine="0" w:firstLineChars="0"/>
                    <w:jc w:val="center"/>
                    <w:rPr>
                      <w:rFonts w:hint="eastAsia" w:ascii="宋体" w:hAnsi="宋体" w:eastAsia="宋体" w:cs="宋体"/>
                      <w:b w:val="0"/>
                      <w:bCs w:val="0"/>
                      <w:kern w:val="2"/>
                      <w:sz w:val="18"/>
                      <w:szCs w:val="18"/>
                      <w:highlight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  <w:lang w:eastAsia="zh-CN"/>
                    </w:rPr>
                    <w:t>研发人员</w:t>
                  </w:r>
                  <w:r>
                    <w:rPr>
                      <w:rFonts w:hint="eastAsia" w:ascii="宋体" w:hAnsi="宋体" w:cs="宋体"/>
                      <w:b w:val="0"/>
                      <w:bCs w:val="0"/>
                      <w:sz w:val="18"/>
                      <w:szCs w:val="18"/>
                      <w:highlight w:val="none"/>
                      <w:lang w:val="en-US" w:eastAsia="zh-CN"/>
                    </w:rPr>
                    <w:t>人数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191FB8D1">
                  <w:pPr>
                    <w:numPr>
                      <w:ilvl w:val="0"/>
                      <w:numId w:val="0"/>
                    </w:numPr>
                    <w:spacing w:before="0" w:beforeLines="0" w:line="240" w:lineRule="auto"/>
                    <w:ind w:left="0" w:leftChars="0" w:firstLine="0" w:firstLineChars="0"/>
                    <w:jc w:val="center"/>
                    <w:rPr>
                      <w:rFonts w:hint="eastAsia" w:ascii="宋体" w:hAnsi="宋体" w:eastAsia="宋体" w:cs="宋体"/>
                      <w:b w:val="0"/>
                      <w:bCs w:val="0"/>
                      <w:kern w:val="2"/>
                      <w:sz w:val="18"/>
                      <w:szCs w:val="18"/>
                      <w:highlight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z w:val="18"/>
                      <w:szCs w:val="18"/>
                      <w:highlight w:val="none"/>
                      <w:lang w:val="en-US" w:eastAsia="zh-CN"/>
                    </w:rPr>
                    <w:t>研发人员占比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3866DDBC">
                  <w:pPr>
                    <w:numPr>
                      <w:ilvl w:val="0"/>
                      <w:numId w:val="0"/>
                    </w:numPr>
                    <w:spacing w:before="0" w:beforeLines="0" w:line="240" w:lineRule="auto"/>
                    <w:ind w:left="0" w:leftChars="0" w:firstLine="0" w:firstLineChars="0"/>
                    <w:jc w:val="center"/>
                    <w:rPr>
                      <w:rFonts w:hint="eastAsia" w:ascii="宋体" w:hAnsi="宋体" w:eastAsia="宋体" w:cs="宋体"/>
                      <w:b w:val="0"/>
                      <w:bCs w:val="0"/>
                      <w:kern w:val="2"/>
                      <w:sz w:val="18"/>
                      <w:szCs w:val="18"/>
                      <w:highlight w:val="none"/>
                      <w:lang w:val="en-US" w:eastAsia="zh-CN" w:bidi="ar-SA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  <w:lang w:eastAsia="zh-CN"/>
                    </w:rPr>
                    <w:t>研发人员</w:t>
                  </w:r>
                  <w:r>
                    <w:rPr>
                      <w:rFonts w:hint="eastAsia" w:ascii="宋体" w:hAnsi="宋体" w:cs="宋体"/>
                      <w:b w:val="0"/>
                      <w:bCs w:val="0"/>
                      <w:sz w:val="18"/>
                      <w:szCs w:val="18"/>
                      <w:highlight w:val="none"/>
                      <w:lang w:val="en-US" w:eastAsia="zh-CN"/>
                    </w:rPr>
                    <w:t>薪酬</w:t>
                  </w:r>
                </w:p>
              </w:tc>
            </w:tr>
            <w:tr w14:paraId="6887720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top"/>
                </w:tcPr>
                <w:p w14:paraId="398729C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center"/>
                    <w:textAlignment w:val="baseline"/>
                    <w:rPr>
                      <w:rFonts w:hint="default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  <w:t>2022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0FC3C12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  <w:r>
                    <w:t>1447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0E8C0C34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78E90B82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718CF5F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37359BA9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</w:p>
              </w:tc>
            </w:tr>
            <w:tr w14:paraId="7F546D0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top"/>
                </w:tcPr>
                <w:p w14:paraId="27AC7DE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center"/>
                    <w:textAlignment w:val="baseline"/>
                    <w:rPr>
                      <w:rFonts w:hint="default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  <w:t>2023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3C67A1B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  <w:r>
                    <w:t>895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594C0E2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  <w:r>
                    <w:t>7.4%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1CD783E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6888AD2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60C524C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</w:p>
              </w:tc>
            </w:tr>
            <w:tr w14:paraId="57F3134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top"/>
                </w:tcPr>
                <w:p w14:paraId="23857EE1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center"/>
                    <w:textAlignment w:val="baseline"/>
                    <w:rPr>
                      <w:rFonts w:hint="default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  <w:t>2024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7F5E657B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  <w:r>
                    <w:t>1262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0D8BD3D3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  <w:r>
                    <w:t>14.5%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369F176E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2A00D3F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038B5B5B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</w:p>
              </w:tc>
            </w:tr>
          </w:tbl>
          <w:p w14:paraId="10018B81">
            <w:pPr>
              <w:pStyle w:val="9"/>
              <w:numPr>
                <w:ilvl w:val="0"/>
                <w:numId w:val="0"/>
              </w:numPr>
              <w:ind w:firstLine="422" w:firstLineChars="200"/>
              <w:rPr>
                <w:rFonts w:hint="eastAsia" w:ascii="宋体" w:hAnsi="宋体" w:cs="宋体"/>
                <w:b w:val="0"/>
                <w:bCs/>
                <w:kern w:val="2"/>
                <w:sz w:val="21"/>
                <w:szCs w:val="21"/>
                <w:highlight w:val="none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2"/>
                <w:sz w:val="21"/>
                <w:szCs w:val="21"/>
                <w:highlight w:val="none"/>
                <w:lang w:val="en-US" w:eastAsia="zh-CN"/>
              </w:rPr>
              <w:t>※</w:t>
            </w:r>
            <w:r>
              <w:rPr>
                <w:rFonts w:hint="eastAsia" w:ascii="宋体" w:hAnsi="宋体" w:cs="宋体"/>
                <w:b/>
                <w:bCs w:val="0"/>
                <w:kern w:val="2"/>
                <w:sz w:val="21"/>
                <w:szCs w:val="21"/>
                <w:highlight w:val="none"/>
                <w:lang w:val="en-US" w:eastAsia="zh-CN" w:bidi="ar-SA"/>
              </w:rPr>
              <w:t>3.</w:t>
            </w:r>
            <w:r>
              <w:rPr>
                <w:rFonts w:hint="eastAsia" w:ascii="宋体" w:hAnsi="宋体" w:eastAsia="宋体" w:cs="宋体"/>
                <w:b/>
                <w:bCs w:val="0"/>
                <w:kern w:val="2"/>
                <w:sz w:val="21"/>
                <w:szCs w:val="21"/>
                <w:highlight w:val="none"/>
                <w:lang w:val="en-US" w:eastAsia="zh-CN" w:bidi="ar-SA"/>
              </w:rPr>
              <w:t>专利情况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</w:rPr>
              <w:t>：</w:t>
            </w:r>
            <w:r>
              <w:rPr>
                <w:rFonts w:hint="eastAsia" w:ascii="宋体" w:hAnsi="宋体" w:cs="宋体"/>
                <w:b w:val="0"/>
                <w:bCs/>
                <w:kern w:val="2"/>
                <w:sz w:val="21"/>
                <w:szCs w:val="21"/>
                <w:highlight w:val="none"/>
                <w:u w:val="single"/>
                <w:lang w:val="en-US" w:eastAsia="zh-CN" w:bidi="ar-SA"/>
              </w:rPr>
              <w:t>企业拥有发明专利X项、实用专利X项，权属清晰，不存在瑕疵及涉诉情况，具体情况如下表所示</w:t>
            </w:r>
            <w:r>
              <w:rPr>
                <w:rFonts w:hint="eastAsia" w:ascii="宋体" w:hAnsi="宋体" w:cs="宋体"/>
                <w:b w:val="0"/>
                <w:bCs/>
                <w:kern w:val="2"/>
                <w:sz w:val="21"/>
                <w:szCs w:val="21"/>
                <w:highlight w:val="none"/>
                <w:u w:val="none"/>
                <w:lang w:val="en-US" w:eastAsia="zh-CN" w:bidi="ar-SA"/>
              </w:rPr>
              <w:t>：</w:t>
            </w:r>
          </w:p>
          <w:tbl>
            <w:tblPr>
              <w:tblStyle w:val="14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347"/>
              <w:gridCol w:w="936"/>
              <w:gridCol w:w="576"/>
              <w:gridCol w:w="1116"/>
              <w:gridCol w:w="1836"/>
            </w:tblGrid>
            <w:tr w14:paraId="44A4E30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top"/>
                </w:tcPr>
                <w:p w14:paraId="50CE8793">
                  <w:pPr>
                    <w:numPr>
                      <w:ilvl w:val="0"/>
                      <w:numId w:val="0"/>
                    </w:numPr>
                    <w:ind w:left="0" w:leftChars="0" w:firstLine="0" w:firstLineChars="0"/>
                    <w:jc w:val="center"/>
                    <w:rPr>
                      <w:rFonts w:hint="eastAsia" w:ascii="宋体" w:hAnsi="宋体" w:eastAsia="宋体" w:cs="宋体"/>
                      <w:b w:val="0"/>
                      <w:bCs w:val="0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color w:val="auto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  <w:t>发明/实用专利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27DF6663">
                  <w:pPr>
                    <w:numPr>
                      <w:ilvl w:val="0"/>
                      <w:numId w:val="0"/>
                    </w:numPr>
                    <w:ind w:left="0" w:leftChars="0" w:firstLine="0" w:firstLineChars="0"/>
                    <w:jc w:val="center"/>
                    <w:rPr>
                      <w:rFonts w:hint="eastAsia" w:ascii="宋体" w:hAnsi="宋体" w:eastAsia="宋体" w:cs="宋体"/>
                      <w:b w:val="0"/>
                      <w:bCs w:val="0"/>
                      <w:kern w:val="2"/>
                      <w:sz w:val="18"/>
                      <w:szCs w:val="18"/>
                      <w:highlight w:val="none"/>
                      <w:lang w:val="en-US" w:eastAsia="zh-CN" w:bidi="ar-SA"/>
                    </w:rPr>
                  </w:pPr>
                  <w:r>
                    <w:rPr>
                      <w:rFonts w:hint="eastAsia"/>
                      <w:color w:val="auto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  <w:t>专利名称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4DFF5A45">
                  <w:pPr>
                    <w:numPr>
                      <w:ilvl w:val="0"/>
                      <w:numId w:val="0"/>
                    </w:numPr>
                    <w:ind w:left="0" w:leftChars="0" w:firstLine="0" w:firstLineChars="0"/>
                    <w:jc w:val="center"/>
                    <w:rPr>
                      <w:rFonts w:hint="eastAsia" w:ascii="宋体" w:hAnsi="宋体" w:eastAsia="宋体" w:cs="宋体"/>
                      <w:b w:val="0"/>
                      <w:bCs w:val="0"/>
                      <w:kern w:val="2"/>
                      <w:sz w:val="18"/>
                      <w:szCs w:val="18"/>
                      <w:highlight w:val="none"/>
                      <w:lang w:val="en-US" w:eastAsia="zh-CN" w:bidi="ar-SA"/>
                    </w:rPr>
                  </w:pPr>
                  <w:r>
                    <w:rPr>
                      <w:rFonts w:hint="eastAsia"/>
                      <w:color w:val="auto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  <w:t>证号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1CE23429">
                  <w:pPr>
                    <w:numPr>
                      <w:ilvl w:val="0"/>
                      <w:numId w:val="0"/>
                    </w:numPr>
                    <w:ind w:left="0" w:leftChars="0" w:firstLine="0" w:firstLineChars="0"/>
                    <w:jc w:val="center"/>
                    <w:rPr>
                      <w:rFonts w:hint="eastAsia" w:ascii="宋体" w:hAnsi="宋体" w:eastAsia="宋体" w:cs="宋体"/>
                      <w:b w:val="0"/>
                      <w:bCs w:val="0"/>
                      <w:kern w:val="2"/>
                      <w:sz w:val="18"/>
                      <w:szCs w:val="18"/>
                      <w:highlight w:val="none"/>
                      <w:lang w:val="en-US" w:eastAsia="zh-CN" w:bidi="ar-SA"/>
                    </w:rPr>
                  </w:pPr>
                  <w:r>
                    <w:rPr>
                      <w:rFonts w:hint="eastAsia"/>
                      <w:color w:val="auto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  <w:t>是否已质押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4119F5CC">
                  <w:pPr>
                    <w:numPr>
                      <w:ilvl w:val="0"/>
                      <w:numId w:val="0"/>
                    </w:numPr>
                    <w:ind w:left="0" w:leftChars="0" w:firstLine="0" w:firstLineChars="0"/>
                    <w:jc w:val="center"/>
                    <w:rPr>
                      <w:rFonts w:hint="eastAsia" w:ascii="宋体" w:hAnsi="宋体" w:eastAsia="宋体" w:cs="宋体"/>
                      <w:b w:val="0"/>
                      <w:bCs w:val="0"/>
                      <w:kern w:val="2"/>
                      <w:sz w:val="18"/>
                      <w:szCs w:val="18"/>
                      <w:highlight w:val="none"/>
                      <w:lang w:val="en-US" w:eastAsia="zh-CN" w:bidi="ar-SA"/>
                    </w:rPr>
                  </w:pPr>
                  <w:r>
                    <w:rPr>
                      <w:rFonts w:hint="eastAsia"/>
                      <w:color w:val="auto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  <w:t>评估价值（如适用）</w:t>
                  </w:r>
                </w:p>
              </w:tc>
            </w:tr>
            <w:tr w14:paraId="3B0DEB5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top"/>
                </w:tcPr>
                <w:p w14:paraId="4B7B8712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center"/>
                    <w:textAlignment w:val="baseline"/>
                    <w:rPr>
                      <w:rFonts w:hint="default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t>发明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2F6A3ECA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  <w:r>
                    <w:t>设备故障的检测处理方法、装置和网络设备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46E4637A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  <w:r>
                    <w:t>ZL201010512112.7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499ABBAC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  <w:r>
                    <w:t>否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2F7B177A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</w:p>
              </w:tc>
            </w:tr>
            <w:tr w14:paraId="129195E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top"/>
                </w:tcPr>
                <w:p w14:paraId="4CEA10A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center"/>
                    <w:textAlignment w:val="baseline"/>
                    <w:rPr>
                      <w:rFonts w:hint="default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t>发明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0A8A6BAD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  <w:r>
                    <w:t>数据缓存管理方法及装置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5AF83B38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  <w:r>
                    <w:t>ZL201010601468.8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463AFA26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  <w:r>
                    <w:t>否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2E537752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</w:p>
              </w:tc>
            </w:tr>
            <w:tr w14:paraId="071BF16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0" w:type="auto"/>
                  <w:noWrap w:val="0"/>
                  <w:vAlign w:val="top"/>
                </w:tcPr>
                <w:p w14:paraId="1E9AF9B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center"/>
                    <w:textAlignment w:val="baseline"/>
                    <w:rPr>
                      <w:rFonts w:hint="default" w:ascii="宋体" w:hAnsi="宋体" w:eastAsia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  <w:lang w:val="en-US" w:eastAsia="zh-CN"/>
                    </w:rPr>
                  </w:pPr>
                  <w:r>
                    <w:t>发明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0D6F39A7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  <w:r>
                    <w:t>一种Web远程docker容器桌面的方法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285581DF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  <w:r>
                    <w:t>ZL201910907578.8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3708A895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  <w:r>
                    <w:t>否</w:t>
                  </w:r>
                </w:p>
              </w:tc>
              <w:tc>
                <w:tcPr>
                  <w:tcW w:w="0" w:type="auto"/>
                  <w:noWrap w:val="0"/>
                  <w:vAlign w:val="top"/>
                </w:tcPr>
                <w:p w14:paraId="3DC2EAB0">
                  <w:pPr>
                    <w:widowControl/>
                    <w:kinsoku w:val="0"/>
                    <w:autoSpaceDE w:val="0"/>
                    <w:autoSpaceDN w:val="0"/>
                    <w:adjustRightInd w:val="0"/>
                    <w:snapToGrid w:val="0"/>
                    <w:spacing w:before="93" w:beforeLines="30" w:after="93" w:afterLines="30"/>
                    <w:jc w:val="left"/>
                    <w:textAlignment w:val="baseline"/>
                    <w:rPr>
                      <w:rFonts w:hint="eastAsia" w:ascii="宋体" w:hAnsi="宋体" w:cs="宋体"/>
                      <w:snapToGrid w:val="0"/>
                      <w:color w:val="000000"/>
                      <w:kern w:val="0"/>
                      <w:sz w:val="18"/>
                      <w:szCs w:val="18"/>
                      <w:highlight w:val="none"/>
                      <w:vertAlign w:val="baseline"/>
                    </w:rPr>
                  </w:pPr>
                </w:p>
              </w:tc>
            </w:tr>
          </w:tbl>
          <w:p w14:paraId="2935449F">
            <w:pPr>
              <w:pStyle w:val="9"/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 w:val="21"/>
                <w:szCs w:val="21"/>
                <w:highlight w:val="none"/>
                <w:lang w:val="en-US" w:eastAsia="zh-CN" w:bidi="ar-SA"/>
              </w:rPr>
            </w:pPr>
          </w:p>
          <w:p w14:paraId="662F63FD">
            <w:pPr>
              <w:pStyle w:val="9"/>
              <w:rPr>
                <w:rFonts w:hint="default" w:ascii="宋体" w:hAnsi="宋体" w:eastAsia="宋体" w:cs="宋体"/>
                <w:b/>
                <w:bCs/>
                <w:snapToGrid w:val="0"/>
                <w:kern w:val="0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 w:val="21"/>
                <w:szCs w:val="21"/>
                <w:highlight w:val="none"/>
                <w:lang w:val="en-US" w:eastAsia="zh-CN" w:bidi="ar-SA"/>
              </w:rPr>
              <w:t>（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 w:val="21"/>
                <w:szCs w:val="21"/>
                <w:highlight w:val="none"/>
                <w:lang w:val="en-US" w:eastAsia="zh-CN" w:bidi="ar-SA"/>
              </w:rPr>
              <w:t>八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 w:val="21"/>
                <w:szCs w:val="21"/>
                <w:highlight w:val="none"/>
                <w:lang w:val="en-US" w:eastAsia="zh-CN" w:bidi="ar-SA"/>
              </w:rPr>
              <w:t>）综合效益分析</w:t>
            </w:r>
          </w:p>
          <w:p w14:paraId="39908C0C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beforeLines="20" w:after="93" w:afterLines="30"/>
              <w:ind w:firstLine="420" w:firstLineChars="200"/>
              <w:jc w:val="left"/>
              <w:textAlignment w:val="baseline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</w:pPr>
            <w:r>
              <w:rPr>
                <w:rFonts w:hint="eastAsia" w:ascii="宋体" w:hAnsi="宋体" w:cs="宋体"/>
                <w:b w:val="0"/>
                <w:bCs w:val="0"/>
                <w:snapToGrid w:val="0"/>
                <w:color w:val="auto"/>
                <w:kern w:val="0"/>
                <w:szCs w:val="21"/>
                <w:highlight w:val="none"/>
                <w:lang w:val="en-US" w:eastAsia="zh-CN"/>
              </w:rPr>
              <w:t>截至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auto"/>
                <w:kern w:val="0"/>
                <w:szCs w:val="21"/>
                <w:highlight w:val="none"/>
              </w:rPr>
              <w:t>目前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auto"/>
                <w:kern w:val="0"/>
                <w:szCs w:val="21"/>
                <w:highlight w:val="none"/>
                <w:lang w:eastAsia="zh-CN"/>
              </w:rPr>
              <w:t>，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auto"/>
                <w:kern w:val="0"/>
                <w:szCs w:val="21"/>
                <w:highlight w:val="none"/>
                <w:lang w:val="en-US" w:eastAsia="zh-CN"/>
              </w:rPr>
              <w:t>企业在我行日均存款、对公有效户、全年结算量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auto"/>
                <w:kern w:val="0"/>
                <w:szCs w:val="21"/>
                <w:highlight w:val="none"/>
                <w:lang w:eastAsia="zh-CN"/>
              </w:rPr>
              <w:t>、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</w:rPr>
              <w:t>代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发签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约及发薪量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等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综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合效益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相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关数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据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，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材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料未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提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供相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关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信息，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  <w:t>无法评估其对我行的业务贡献。</w:t>
            </w:r>
          </w:p>
          <w:p w14:paraId="6148F89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62" w:beforeLines="20" w:after="93" w:afterLines="30"/>
              <w:ind w:firstLine="420" w:firstLineChars="200"/>
              <w:jc w:val="left"/>
              <w:textAlignment w:val="baseline"/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 w:val="0"/>
                <w:bCs w:val="0"/>
                <w:snapToGrid w:val="0"/>
                <w:kern w:val="0"/>
                <w:szCs w:val="21"/>
                <w:highlight w:val="none"/>
                <w:lang w:val="en-US" w:eastAsia="zh-CN"/>
              </w:rPr>
              <w:t>预计企业在我行可实现日均存款约50万元，折对公有效户年1户，全年结算量约1亿元，材料未提供员工代发签约人数及年度发薪量信息。企业2025年末货币资金为286万元，经营活动现金流净额为791万元，显示其具备一定的现金生成能力。企业主要下游客户包括涵江水利局等政府及国企单位，结算回款相对有保障，有利于其在我行沉淀结算资金。但需关注企业2025年营业收入为1.00亿元，较2024年有所增长但规模有限，且期末短期借款余额为4730万元，其综合效益的实现程度将与其未来业务拓展及回款效率密切相关。</w:t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kern w:val="0"/>
                <w:szCs w:val="21"/>
                <w:highlight w:val="none"/>
              </w:rPr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auto"/>
                <w:kern w:val="0"/>
                <w:szCs w:val="21"/>
                <w:highlight w:val="none"/>
                <w:lang w:eastAsia="zh-CN"/>
              </w:rPr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color w:val="auto"/>
                <w:kern w:val="0"/>
                <w:szCs w:val="21"/>
                <w:highlight w:val="none"/>
                <w:lang w:val="en-US" w:eastAsia="zh-CN"/>
              </w:rPr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lang w:eastAsia="zh-CN"/>
              </w:rPr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</w:rPr>
            </w:r>
            <w:r>
              <w:rPr>
                <w:rFonts w:hint="eastAsia" w:ascii="宋体" w:hAnsi="宋体" w:cs="宋体"/>
                <w:b w:val="0"/>
                <w:bCs w:val="0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  <w:u w:val="single"/>
              </w:rPr>
            </w:r>
          </w:p>
          <w:p w14:paraId="2461EA4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jc w:val="left"/>
              <w:textAlignment w:val="baseline"/>
              <w:rPr>
                <w:rFonts w:hint="eastAsia" w:ascii="宋体" w:hAnsi="宋体" w:eastAsia="宋体" w:cs="宋体"/>
                <w:b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  <w:t>（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九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  <w:t>）借款原因及还款能力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分析</w:t>
            </w:r>
          </w:p>
          <w:p w14:paraId="6429D21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1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.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借款原因说明：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借款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人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目前经营性现金流状况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整体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较好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eastAsia="zh-CN"/>
              </w:rPr>
              <w:t>，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且账上拥有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货币资金1500万，但因对上游账款预付或现付、下游货款回笼较慢，且前端工序处于涨价周期，对营运资金需求较大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eastAsia="zh-CN"/>
              </w:rPr>
              <w:t>，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  <w:lang w:val="en-US" w:eastAsia="zh-CN"/>
              </w:rPr>
              <w:t>故需申请部分贷款用于补充流动资金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u w:val="single"/>
              </w:rPr>
              <w:t>。</w:t>
            </w:r>
          </w:p>
          <w:p w14:paraId="13F0D54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default" w:ascii="宋体" w:hAnsi="宋体" w:eastAsia="宋体" w:cs="宋体"/>
                <w:b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lang w:val="en-US" w:eastAsia="zh-CN"/>
              </w:rPr>
              <w:t>（若申请中期流动资金贷款，请补充分析原因：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 xml:space="preserve"> 材料中未提供申请中期流动资金贷款的原因。 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u w:val="none"/>
                <w:lang w:val="en-US" w:eastAsia="zh-CN"/>
              </w:rPr>
              <w:t>）</w:t>
            </w:r>
          </w:p>
          <w:p w14:paraId="04F1C253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eastAsia" w:ascii="宋体" w:hAnsi="宋体" w:cs="宋体"/>
                <w:snapToGrid w:val="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</w:rPr>
              <w:t>2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lang w:eastAsia="zh-CN"/>
              </w:rPr>
              <w:t>.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</w:rPr>
              <w:t>营运资金需求测算</w:t>
            </w:r>
          </w:p>
          <w:p w14:paraId="4655273D">
            <w:commentRangeStart w:id="12"/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eastAsia" w:ascii="宋体" w:hAnsi="宋体" w:cs="宋体"/>
                <w:snapToGrid w:val="0"/>
                <w:color w:val="auto"/>
                <w:kern w:val="0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auto"/>
                <w:kern w:val="0"/>
                <w:szCs w:val="21"/>
                <w:highlight w:val="none"/>
              </w:rPr>
              <w:t>根据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auto"/>
                <w:kern w:val="0"/>
                <w:szCs w:val="21"/>
                <w:highlight w:val="none"/>
                <w:lang w:val="en-US" w:eastAsia="zh-CN"/>
              </w:rPr>
              <w:t>流动资金需求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auto"/>
                <w:kern w:val="0"/>
                <w:szCs w:val="21"/>
                <w:highlight w:val="none"/>
              </w:rPr>
              <w:t>测算，</w:t>
            </w:r>
            <w:r>
              <w:rPr>
                <w:rFonts w:hint="eastAsia" w:ascii="宋体" w:hAnsi="宋体" w:cs="宋体"/>
                <w:snapToGrid w:val="0"/>
                <w:color w:val="auto"/>
                <w:kern w:val="0"/>
                <w:szCs w:val="21"/>
                <w:highlight w:val="none"/>
              </w:rPr>
              <w:t>企业</w:t>
            </w:r>
            <w:r>
              <w:rPr>
                <w:rFonts w:hint="eastAsia" w:ascii="宋体" w:hAnsi="宋体" w:cs="宋体"/>
                <w:snapToGrid w:val="0"/>
                <w:color w:val="auto"/>
                <w:kern w:val="0"/>
                <w:szCs w:val="21"/>
                <w:highlight w:val="none"/>
                <w:lang w:val="en-US" w:eastAsia="zh-CN"/>
              </w:rPr>
              <w:t>营运资金需求</w:t>
            </w:r>
            <w:r>
              <w:rPr>
                <w:rFonts w:hint="eastAsia" w:ascii="宋体" w:hAnsi="宋体" w:cs="宋体"/>
                <w:snapToGrid w:val="0"/>
                <w:color w:val="auto"/>
                <w:kern w:val="0"/>
                <w:szCs w:val="21"/>
                <w:highlight w:val="none"/>
              </w:rPr>
              <w:t>：</w:t>
            </w:r>
            <w:r>
              <w:rPr>
                <w:rFonts w:hint="eastAsia" w:ascii="宋体" w:hAnsi="宋体" w:cs="宋体"/>
                <w:snapToGrid w:val="0"/>
                <w:color w:val="auto"/>
                <w:kern w:val="0"/>
                <w:szCs w:val="21"/>
                <w:highlight w:val="none"/>
                <w:u w:val="single"/>
              </w:rPr>
              <w:t xml:space="preserve">    </w:t>
            </w:r>
            <w:r>
              <w:rPr>
                <w:rFonts w:hint="eastAsia" w:ascii="宋体" w:hAnsi="宋体" w:cs="宋体"/>
                <w:snapToGrid w:val="0"/>
                <w:color w:val="auto"/>
                <w:kern w:val="0"/>
                <w:szCs w:val="21"/>
                <w:highlight w:val="none"/>
                <w:u w:val="single"/>
                <w:lang w:val="en-US" w:eastAsia="zh-CN"/>
              </w:rPr>
              <w:t xml:space="preserve">     </w:t>
            </w:r>
            <w:r>
              <w:rPr>
                <w:rFonts w:hint="eastAsia" w:ascii="宋体" w:hAnsi="宋体" w:cs="宋体"/>
                <w:snapToGrid w:val="0"/>
                <w:color w:val="auto"/>
                <w:kern w:val="0"/>
                <w:szCs w:val="21"/>
                <w:highlight w:val="none"/>
                <w:u w:val="none"/>
                <w:lang w:val="en-US" w:eastAsia="zh-CN"/>
              </w:rPr>
              <w:t>万元</w:t>
            </w:r>
            <w:commentRangeEnd w:id="12"/>
            <w:r>
              <w:rPr>
                <w:rStyle w:val="CommentReference"/>
              </w:rPr>
              <w:commentReference w:id="12"/>
            </w:r>
          </w:p>
          <w:p w14:paraId="6E23948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eastAsia" w:ascii="宋体" w:hAnsi="宋体" w:cs="宋体"/>
                <w:snapToGrid w:val="0"/>
                <w:color w:val="auto"/>
                <w:kern w:val="0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snapToGrid w:val="0"/>
                <w:color w:val="auto"/>
                <w:kern w:val="0"/>
                <w:szCs w:val="21"/>
                <w:highlight w:val="none"/>
                <w:u w:val="none"/>
                <w:lang w:val="en-US" w:eastAsia="zh-CN"/>
              </w:rPr>
              <w:t>（请附531系统测算表截图）</w:t>
            </w:r>
          </w:p>
          <w:p w14:paraId="64AA94E5">
            <w:pPr>
              <w:pStyle w:val="11"/>
              <w:rPr>
                <w:rFonts w:hint="eastAsia"/>
              </w:rPr>
            </w:pPr>
          </w:p>
          <w:p w14:paraId="1970A0F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eastAsia"/>
                <w:highlight w:val="none"/>
                <w:u w:val="none"/>
                <w:lang w:val="en-US" w:eastAsia="zh-CN"/>
              </w:rPr>
            </w:pPr>
            <w:r>
              <w:rPr>
                <w:rFonts w:hint="eastAsia"/>
                <w:highlight w:val="none"/>
                <w:u w:val="none"/>
                <w:lang w:val="en-US" w:eastAsia="zh-CN"/>
              </w:rPr>
              <w:t>如上述测算过程存在数据调整，请补充说明：</w:t>
            </w:r>
            <w:r>
              <w:rPr>
                <w:rFonts w:hint="eastAsia"/>
                <w:highlight w:val="none"/>
                <w:u w:val="single"/>
                <w:lang w:val="en-US" w:eastAsia="zh-CN"/>
              </w:rPr>
              <w:t xml:space="preserve"> 材料中未提供测算数据调整说明。 </w:t>
            </w:r>
            <w:r>
              <w:rPr>
                <w:rFonts w:hint="eastAsia"/>
                <w:highlight w:val="none"/>
                <w:u w:val="none"/>
                <w:lang w:val="en-US" w:eastAsia="zh-CN"/>
              </w:rPr>
              <w:t xml:space="preserve">  </w:t>
            </w:r>
          </w:p>
          <w:p w14:paraId="3084A9F9">
            <w:pPr>
              <w:widowControl/>
              <w:numPr>
                <w:ilvl w:val="0"/>
                <w:numId w:val="0"/>
              </w:numPr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leftChars="200"/>
              <w:jc w:val="left"/>
              <w:textAlignment w:val="baseline"/>
              <w:rPr>
                <w:rFonts w:hint="eastAsia" w:ascii="宋体" w:hAnsi="宋体" w:cs="宋体"/>
                <w:b/>
                <w:snapToGrid w:val="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snapToGrid w:val="0"/>
                <w:kern w:val="0"/>
                <w:szCs w:val="21"/>
                <w:highlight w:val="none"/>
                <w:lang w:val="en-US" w:eastAsia="zh-CN"/>
              </w:rPr>
              <w:t>3.</w:t>
            </w:r>
            <w:r>
              <w:rPr>
                <w:rFonts w:hint="eastAsia" w:ascii="宋体" w:hAnsi="宋体" w:cs="宋体"/>
                <w:b/>
                <w:snapToGrid w:val="0"/>
                <w:kern w:val="0"/>
                <w:szCs w:val="21"/>
                <w:highlight w:val="none"/>
              </w:rPr>
              <w:t>还款能力分析：</w:t>
            </w:r>
          </w:p>
          <w:p w14:paraId="135AE982">
            <w:pPr>
              <w:widowControl/>
              <w:numPr>
                <w:ilvl w:val="0"/>
                <w:numId w:val="0"/>
              </w:numPr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leftChars="200"/>
              <w:jc w:val="left"/>
              <w:textAlignment w:val="baseline"/>
              <w:rPr>
                <w:rFonts w:hint="eastAsia" w:ascii="宋体" w:hAnsi="宋体" w:cs="宋体"/>
                <w:bCs/>
                <w:snapToGrid w:val="0"/>
                <w:kern w:val="0"/>
                <w:sz w:val="21"/>
                <w:szCs w:val="21"/>
                <w:highlight w:val="none"/>
                <w:u w:val="none"/>
                <w:lang w:eastAsia="zh-CN"/>
              </w:rPr>
            </w:pPr>
            <w:r>
              <w:rPr>
                <w:rFonts w:hint="eastAsia" w:ascii="宋体" w:hAnsi="宋体" w:cs="宋体"/>
                <w:bCs/>
                <w:snapToGrid w:val="0"/>
                <w:kern w:val="0"/>
                <w:sz w:val="21"/>
                <w:szCs w:val="21"/>
                <w:highlight w:val="none"/>
                <w:u w:val="none"/>
                <w:lang w:val="en-US" w:eastAsia="zh-CN"/>
              </w:rPr>
              <w:t>①</w:t>
            </w:r>
            <w:r>
              <w:rPr>
                <w:rFonts w:hint="eastAsia" w:ascii="宋体" w:hAnsi="宋体" w:cs="宋体"/>
                <w:bCs/>
                <w:snapToGrid w:val="0"/>
                <w:kern w:val="0"/>
                <w:sz w:val="21"/>
                <w:szCs w:val="21"/>
                <w:highlight w:val="none"/>
                <w:u w:val="none"/>
                <w:lang w:eastAsia="zh-CN"/>
              </w:rPr>
              <w:t>第一还款来源（经营性现金流分析）：</w:t>
            </w:r>
            <w:r>
              <w:rPr>
                <w:rFonts w:hint="eastAsia" w:ascii="宋体" w:hAnsi="宋体" w:cs="宋体"/>
                <w:bCs/>
                <w:snapToGrid w:val="0"/>
                <w:kern w:val="0"/>
                <w:sz w:val="21"/>
                <w:szCs w:val="21"/>
                <w:highlight w:val="none"/>
                <w:u w:val="single"/>
                <w:lang w:val="en-US" w:eastAsia="zh-CN"/>
              </w:rPr>
              <w:t xml:space="preserve"> 2025年经营活动产生的现金流量净额为791万元，经营活动现金流入14806万元，经营活动现金流出14015万元，经营活动现金流状况良好。 </w:t>
            </w:r>
          </w:p>
          <w:p w14:paraId="0DEB130D">
            <w:pPr>
              <w:widowControl/>
              <w:numPr>
                <w:ilvl w:val="0"/>
                <w:numId w:val="0"/>
              </w:numPr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leftChars="100"/>
              <w:jc w:val="left"/>
              <w:textAlignment w:val="baseline"/>
              <w:rPr>
                <w:rFonts w:hint="default" w:ascii="宋体" w:hAnsi="宋体" w:cs="宋体"/>
                <w:bCs/>
                <w:snapToGrid w:val="0"/>
                <w:kern w:val="0"/>
                <w:sz w:val="21"/>
                <w:szCs w:val="21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宋体" w:hAnsi="宋体" w:cs="宋体"/>
                <w:bCs/>
                <w:snapToGrid w:val="0"/>
                <w:kern w:val="0"/>
                <w:sz w:val="21"/>
                <w:szCs w:val="21"/>
                <w:highlight w:val="none"/>
                <w:u w:val="none"/>
                <w:lang w:val="en-US" w:eastAsia="zh-CN"/>
              </w:rPr>
              <w:t xml:space="preserve">  ②第二还款来源（抵质押物变现能力分析及其他渠道现金流分析）：</w:t>
            </w:r>
            <w:r>
              <w:rPr>
                <w:rFonts w:hint="eastAsia" w:ascii="宋体" w:hAnsi="宋体" w:cs="宋体"/>
                <w:bCs/>
                <w:snapToGrid w:val="0"/>
                <w:kern w:val="0"/>
                <w:sz w:val="21"/>
                <w:szCs w:val="21"/>
                <w:highlight w:val="none"/>
                <w:u w:val="single"/>
                <w:lang w:val="en-US" w:eastAsia="zh-CN"/>
              </w:rPr>
              <w:t xml:space="preserve"> 材料中未提供抵质押物及其他渠道现金流信息。 </w:t>
            </w:r>
          </w:p>
          <w:p w14:paraId="23BF48B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eastAsia" w:ascii="宋体" w:hAnsi="宋体" w:cs="宋体"/>
                <w:snapToGrid w:val="0"/>
                <w:kern w:val="0"/>
                <w:sz w:val="21"/>
                <w:szCs w:val="21"/>
                <w:highlight w:val="none"/>
                <w:lang w:eastAsia="zh-CN"/>
              </w:rPr>
            </w:pPr>
            <w:r>
              <w:rPr>
                <w:rFonts w:hint="eastAsia" w:ascii="宋体" w:hAnsi="宋体" w:cs="宋体"/>
                <w:snapToGrid w:val="0"/>
                <w:kern w:val="0"/>
                <w:sz w:val="21"/>
                <w:szCs w:val="21"/>
                <w:highlight w:val="none"/>
                <w:lang w:eastAsia="zh-CN"/>
              </w:rPr>
              <w:t>（注：若还款来源为股权融资款，需分析估值合理性、股权融资金额、当前进展、预计落地时间、投资方情况，并提供</w:t>
            </w:r>
            <w:r>
              <w:rPr>
                <w:rFonts w:hint="eastAsia" w:ascii="宋体" w:hAnsi="宋体" w:cs="宋体"/>
                <w:snapToGrid w:val="0"/>
                <w:kern w:val="0"/>
                <w:sz w:val="21"/>
                <w:szCs w:val="21"/>
                <w:highlight w:val="none"/>
                <w:lang w:val="en-US" w:eastAsia="zh-CN"/>
              </w:rPr>
              <w:t>相关</w:t>
            </w:r>
            <w:r>
              <w:rPr>
                <w:rFonts w:hint="eastAsia" w:ascii="宋体" w:hAnsi="宋体" w:cs="宋体"/>
                <w:snapToGrid w:val="0"/>
                <w:kern w:val="0"/>
                <w:sz w:val="21"/>
                <w:szCs w:val="21"/>
                <w:highlight w:val="none"/>
                <w:lang w:eastAsia="zh-CN"/>
              </w:rPr>
              <w:t>依据）</w:t>
            </w:r>
          </w:p>
          <w:p w14:paraId="5874C0C9">
            <w:commentRangeStart w:id="13"/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ind w:firstLine="420"/>
              <w:jc w:val="left"/>
              <w:textAlignment w:val="baseline"/>
              <w:rPr>
                <w:rFonts w:hint="default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snapToGrid w:val="0"/>
                <w:kern w:val="0"/>
                <w:szCs w:val="21"/>
                <w:highlight w:val="none"/>
                <w:lang w:val="en-US" w:eastAsia="zh-CN"/>
              </w:rPr>
              <w:t>4.</w:t>
            </w:r>
            <w:r>
              <w:rPr>
                <w:rFonts w:hint="eastAsia" w:ascii="宋体" w:hAnsi="宋体" w:cs="宋体"/>
                <w:snapToGrid w:val="0"/>
                <w:color w:val="auto"/>
                <w:kern w:val="0"/>
                <w:sz w:val="21"/>
                <w:szCs w:val="21"/>
                <w:highlight w:val="none"/>
                <w:lang w:val="en-US" w:eastAsia="zh-CN"/>
              </w:rPr>
              <w:t>（若有）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续授信客户需对比前次授信方案，反映调整/变动原因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lang w:eastAsia="zh-CN"/>
              </w:rPr>
              <w:t>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  <w:t xml:space="preserve">      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  <w:lang w:val="en-US" w:eastAsia="zh-CN"/>
              </w:rPr>
              <w:t xml:space="preserve">  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  <w:t xml:space="preserve">                    </w:t>
            </w:r>
            <w:commentRangeEnd w:id="13"/>
            <w:r>
              <w:rPr>
                <w:rStyle w:val="CommentReference"/>
              </w:rPr>
              <w:commentReference w:id="13"/>
            </w:r>
          </w:p>
          <w:p w14:paraId="0B565A9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jc w:val="left"/>
              <w:textAlignment w:val="baseline"/>
              <w:rPr>
                <w:rFonts w:hint="eastAsia" w:ascii="宋体" w:hAnsi="宋体" w:cs="宋体"/>
                <w:b/>
                <w:snapToGrid w:val="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  <w:t>（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十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  <w:t>）担保分析</w:t>
            </w:r>
          </w:p>
          <w:p w14:paraId="6EBF1999">
            <w:pPr>
              <w:spacing w:before="156" w:beforeLines="50" w:after="156" w:afterLines="50" w:line="240" w:lineRule="auto"/>
              <w:jc w:val="left"/>
              <w:rPr>
                <w:rFonts w:hint="eastAsia" w:ascii="宋体" w:hAnsi="宋体" w:eastAsia="宋体" w:cs="宋体"/>
                <w:b/>
                <w:color w:val="auto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sz w:val="21"/>
                <w:szCs w:val="21"/>
                <w:highlight w:val="none"/>
              </w:rPr>
              <w:t>1</w:t>
            </w:r>
            <w:r>
              <w:rPr>
                <w:rFonts w:hint="eastAsia" w:ascii="宋体" w:hAnsi="宋体" w:cs="宋体"/>
                <w:b/>
                <w:color w:val="auto"/>
                <w:sz w:val="21"/>
                <w:szCs w:val="21"/>
                <w:highlight w:val="none"/>
                <w:lang w:val="en-US" w:eastAsia="zh-CN"/>
              </w:rPr>
              <w:t>.</w:t>
            </w:r>
            <w:r>
              <w:rPr>
                <w:rFonts w:hint="eastAsia" w:ascii="宋体" w:hAnsi="宋体" w:eastAsia="宋体" w:cs="宋体"/>
                <w:b/>
                <w:color w:val="auto"/>
                <w:sz w:val="21"/>
                <w:szCs w:val="21"/>
                <w:highlight w:val="none"/>
              </w:rPr>
              <w:t>抵押担保</w:t>
            </w:r>
            <w:r>
              <w:rPr>
                <w:rFonts w:hint="eastAsia" w:ascii="宋体" w:hAnsi="宋体" w:eastAsia="宋体" w:cs="宋体"/>
                <w:b/>
                <w:color w:val="auto"/>
                <w:sz w:val="21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b/>
                <w:color w:val="auto"/>
                <w:sz w:val="21"/>
                <w:szCs w:val="21"/>
                <w:highlight w:val="none"/>
                <w:lang w:val="en-US" w:eastAsia="zh-CN"/>
              </w:rPr>
              <w:t>如涉及</w:t>
            </w:r>
            <w:r>
              <w:rPr>
                <w:rFonts w:hint="eastAsia" w:ascii="宋体" w:hAnsi="宋体" w:eastAsia="宋体" w:cs="宋体"/>
                <w:b/>
                <w:color w:val="auto"/>
                <w:sz w:val="21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宋体" w:hAnsi="宋体" w:eastAsia="宋体" w:cs="宋体"/>
                <w:b/>
                <w:color w:val="auto"/>
                <w:sz w:val="21"/>
                <w:szCs w:val="21"/>
                <w:highlight w:val="none"/>
              </w:rPr>
              <w:t>：</w:t>
            </w:r>
          </w:p>
          <w:tbl>
            <w:tblPr>
              <w:tblStyle w:val="13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467"/>
              <w:gridCol w:w="819"/>
              <w:gridCol w:w="859"/>
              <w:gridCol w:w="1256"/>
              <w:gridCol w:w="1073"/>
              <w:gridCol w:w="960"/>
              <w:gridCol w:w="1002"/>
              <w:gridCol w:w="876"/>
              <w:gridCol w:w="1303"/>
            </w:tblGrid>
            <w:tr w14:paraId="6E59F46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647" w:hRule="atLeast"/>
                <w:jc w:val="center"/>
              </w:trPr>
              <w:tc>
                <w:tcPr>
                  <w:tcW w:w="1467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079C7838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  <w:lang w:eastAsia="zh-CN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  <w:t>抵押物</w:t>
                  </w:r>
                  <w:r>
                    <w:rPr>
                      <w:rFonts w:hint="eastAsia" w:ascii="宋体" w:hAnsi="宋体" w:cs="宋体"/>
                      <w:b/>
                      <w:sz w:val="18"/>
                      <w:szCs w:val="18"/>
                      <w:highlight w:val="none"/>
                      <w:lang w:val="en-US" w:eastAsia="zh-CN"/>
                    </w:rPr>
                    <w:t>名称</w:t>
                  </w:r>
                </w:p>
              </w:tc>
              <w:tc>
                <w:tcPr>
                  <w:tcW w:w="819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3739B261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  <w:t>类型</w:t>
                  </w:r>
                </w:p>
              </w:tc>
              <w:tc>
                <w:tcPr>
                  <w:tcW w:w="859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4F7789E8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/>
                      <w:sz w:val="18"/>
                      <w:szCs w:val="18"/>
                      <w:highlight w:val="none"/>
                      <w:lang w:val="en-US" w:eastAsia="zh-CN"/>
                    </w:rPr>
                    <w:t>面积</w:t>
                  </w:r>
                </w:p>
              </w:tc>
              <w:tc>
                <w:tcPr>
                  <w:tcW w:w="1256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19B406F9">
                  <w:pPr>
                    <w:spacing w:line="240" w:lineRule="auto"/>
                    <w:jc w:val="center"/>
                    <w:rPr>
                      <w:rFonts w:hint="default" w:ascii="宋体" w:hAnsi="宋体" w:eastAsia="宋体" w:cs="宋体"/>
                      <w:b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/>
                      <w:sz w:val="18"/>
                      <w:szCs w:val="18"/>
                      <w:highlight w:val="none"/>
                      <w:lang w:val="en-US" w:eastAsia="zh-CN"/>
                    </w:rPr>
                    <w:t>权属及证号</w:t>
                  </w:r>
                </w:p>
              </w:tc>
              <w:tc>
                <w:tcPr>
                  <w:tcW w:w="1073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48CDD6FE">
                  <w:pPr>
                    <w:spacing w:line="240" w:lineRule="auto"/>
                    <w:jc w:val="center"/>
                    <w:rPr>
                      <w:rFonts w:hint="default" w:ascii="宋体" w:hAnsi="宋体" w:eastAsia="宋体" w:cs="宋体"/>
                      <w:b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/>
                      <w:sz w:val="18"/>
                      <w:szCs w:val="18"/>
                      <w:highlight w:val="none"/>
                      <w:lang w:val="en-US" w:eastAsia="zh-CN"/>
                    </w:rPr>
                    <w:t>评估机构</w:t>
                  </w:r>
                </w:p>
              </w:tc>
              <w:tc>
                <w:tcPr>
                  <w:tcW w:w="96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61AC9E45">
                  <w:pPr>
                    <w:spacing w:line="240" w:lineRule="auto"/>
                    <w:jc w:val="center"/>
                    <w:rPr>
                      <w:rFonts w:hint="default" w:ascii="宋体" w:hAnsi="宋体" w:eastAsia="宋体" w:cs="宋体"/>
                      <w:b/>
                      <w:sz w:val="18"/>
                      <w:szCs w:val="18"/>
                      <w:highlight w:val="none"/>
                      <w:lang w:val="en-US"/>
                    </w:rPr>
                  </w:pPr>
                  <w:r>
                    <w:rPr>
                      <w:rFonts w:hint="eastAsia" w:ascii="宋体" w:hAnsi="宋体" w:cs="宋体"/>
                      <w:b/>
                      <w:sz w:val="18"/>
                      <w:szCs w:val="18"/>
                      <w:highlight w:val="none"/>
                      <w:lang w:val="en-US" w:eastAsia="zh-CN"/>
                    </w:rPr>
                    <w:t>评估时间</w:t>
                  </w:r>
                </w:p>
              </w:tc>
              <w:tc>
                <w:tcPr>
                  <w:tcW w:w="1002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521AE479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b/>
                      <w:sz w:val="18"/>
                      <w:szCs w:val="18"/>
                      <w:highlight w:val="none"/>
                      <w:lang w:val="en-US" w:eastAsia="zh-CN"/>
                    </w:rPr>
                    <w:t>评估净值</w:t>
                  </w:r>
                </w:p>
              </w:tc>
              <w:tc>
                <w:tcPr>
                  <w:tcW w:w="876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5B845581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  <w:t>抵押率</w:t>
                  </w:r>
                </w:p>
              </w:tc>
              <w:tc>
                <w:tcPr>
                  <w:tcW w:w="1303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center"/>
                </w:tcPr>
                <w:p w14:paraId="6C7110E0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cs="宋体"/>
                      <w:b/>
                      <w:sz w:val="18"/>
                      <w:szCs w:val="18"/>
                      <w:highlight w:val="none"/>
                      <w:lang w:val="en-US" w:eastAsia="zh-CN"/>
                    </w:rPr>
                    <w:t>自用/</w:t>
                  </w:r>
                  <w:r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  <w:lang w:eastAsia="zh-CN"/>
                    </w:rPr>
                    <w:t>出租</w:t>
                  </w:r>
                  <w:r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  <w:lang w:val="en-US" w:eastAsia="zh-CN"/>
                    </w:rPr>
                    <w:t>/空置</w:t>
                  </w:r>
                  <w:r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  <w:cr/>
                  </w:r>
                </w:p>
              </w:tc>
            </w:tr>
            <w:tr w14:paraId="6EC8982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28" w:hRule="atLeast"/>
                <w:jc w:val="center"/>
              </w:trPr>
              <w:tc>
                <w:tcPr>
                  <w:tcW w:w="1467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026F75C5">
                  <w:pPr>
                    <w:spacing w:line="240" w:lineRule="auto"/>
                    <w:jc w:val="left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819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7095C5EC">
                  <w:pPr>
                    <w:spacing w:line="240" w:lineRule="auto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859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5C5C4CC3">
                  <w:pPr>
                    <w:spacing w:line="240" w:lineRule="auto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256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5423D1A0">
                  <w:pPr>
                    <w:spacing w:line="240" w:lineRule="auto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073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6C42B2E0">
                  <w:pPr>
                    <w:spacing w:line="240" w:lineRule="auto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96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6CB1A7C0">
                  <w:pPr>
                    <w:spacing w:line="240" w:lineRule="auto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002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1A7C0CAF">
                  <w:pPr>
                    <w:spacing w:line="240" w:lineRule="auto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876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5614C614">
                  <w:pPr>
                    <w:spacing w:line="240" w:lineRule="auto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303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403984B8">
                  <w:pPr>
                    <w:spacing w:line="240" w:lineRule="auto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  <w:lang w:eastAsia="zh-CN"/>
                    </w:rPr>
                  </w:pPr>
                </w:p>
              </w:tc>
            </w:tr>
            <w:tr w14:paraId="5A59F70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28" w:hRule="atLeast"/>
                <w:jc w:val="center"/>
              </w:trPr>
              <w:tc>
                <w:tcPr>
                  <w:tcW w:w="1467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14D6537F">
                  <w:pPr>
                    <w:spacing w:line="240" w:lineRule="auto"/>
                    <w:jc w:val="left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819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2A610369">
                  <w:pPr>
                    <w:spacing w:line="240" w:lineRule="auto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859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527B8DA0">
                  <w:pPr>
                    <w:spacing w:line="240" w:lineRule="auto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256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707E2A6C">
                  <w:pPr>
                    <w:spacing w:line="240" w:lineRule="auto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073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3E9AF0B9">
                  <w:pPr>
                    <w:spacing w:line="240" w:lineRule="auto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96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1BFDD615">
                  <w:pPr>
                    <w:spacing w:line="240" w:lineRule="auto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002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198D7FD4">
                  <w:pPr>
                    <w:spacing w:line="240" w:lineRule="auto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876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1D9630DE">
                  <w:pPr>
                    <w:spacing w:line="240" w:lineRule="auto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1303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3FBF67B3">
                  <w:pPr>
                    <w:spacing w:line="240" w:lineRule="auto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</w:p>
              </w:tc>
            </w:tr>
            <w:tr w14:paraId="6386670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39" w:hRule="atLeast"/>
                <w:jc w:val="center"/>
              </w:trPr>
              <w:tc>
                <w:tcPr>
                  <w:tcW w:w="1467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45F3DB0B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  <w:t>合计</w:t>
                  </w:r>
                </w:p>
              </w:tc>
              <w:tc>
                <w:tcPr>
                  <w:tcW w:w="819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19D3B6B9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  <w:t>/</w:t>
                  </w:r>
                </w:p>
              </w:tc>
              <w:tc>
                <w:tcPr>
                  <w:tcW w:w="859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2844C50E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  <w:r>
                    <w:t>2523</w:t>
                  </w:r>
                </w:p>
              </w:tc>
              <w:tc>
                <w:tcPr>
                  <w:tcW w:w="1256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113CB2C0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  <w:r>
                    <w:t>福州大学国家科技园8号楼的5层</w:t>
                  </w:r>
                </w:p>
              </w:tc>
              <w:tc>
                <w:tcPr>
                  <w:tcW w:w="1073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14701F9B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  <w:t>/</w:t>
                  </w:r>
                </w:p>
              </w:tc>
              <w:tc>
                <w:tcPr>
                  <w:tcW w:w="96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6305A826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  <w:t>/</w:t>
                  </w:r>
                </w:p>
              </w:tc>
              <w:tc>
                <w:tcPr>
                  <w:tcW w:w="1002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29DA3AB1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  <w:r>
                    <w:t>920</w:t>
                  </w:r>
                </w:p>
              </w:tc>
              <w:tc>
                <w:tcPr>
                  <w:tcW w:w="876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771E035D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  <w:r>
                    <w:t>100%</w:t>
                  </w:r>
                </w:p>
              </w:tc>
              <w:tc>
                <w:tcPr>
                  <w:tcW w:w="1303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noWrap w:val="0"/>
                  <w:vAlign w:val="top"/>
                </w:tcPr>
                <w:p w14:paraId="669E44DC">
                  <w:pPr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/>
                      <w:sz w:val="18"/>
                      <w:szCs w:val="18"/>
                      <w:highlight w:val="none"/>
                    </w:rPr>
                    <w:t>/</w:t>
                  </w:r>
                </w:p>
              </w:tc>
            </w:tr>
          </w:tbl>
          <w:p w14:paraId="33A8B88A">
            <w:pPr>
              <w:widowControl w:val="0"/>
              <w:numPr>
                <w:ilvl w:val="0"/>
                <w:numId w:val="0"/>
              </w:numPr>
              <w:spacing w:line="240" w:lineRule="auto"/>
              <w:ind w:leftChars="0" w:firstLine="420" w:firstLineChars="200"/>
              <w:jc w:val="both"/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sz w:val="21"/>
                <w:szCs w:val="21"/>
                <w:highlight w:val="none"/>
                <w:lang w:val="en-US" w:eastAsia="zh-CN"/>
              </w:rPr>
              <w:t>备注：“</w:t>
            </w: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  <w:t>类型”根据产证信息填写住宅、办公、厂房等房屋用途；“面积”填写房屋的建筑面积。</w:t>
            </w:r>
          </w:p>
          <w:p w14:paraId="61791684">
            <w:pPr>
              <w:widowControl w:val="0"/>
              <w:numPr>
                <w:ilvl w:val="0"/>
                <w:numId w:val="0"/>
              </w:numPr>
              <w:spacing w:line="240" w:lineRule="auto"/>
              <w:ind w:leftChars="0" w:firstLine="420" w:firstLineChars="200"/>
              <w:jc w:val="both"/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 w:val="0"/>
                <w:bCs/>
                <w:kern w:val="2"/>
                <w:sz w:val="21"/>
                <w:szCs w:val="21"/>
                <w:highlight w:val="none"/>
                <w:lang w:val="en-US" w:eastAsia="zh-CN"/>
              </w:rPr>
              <w:t>其他补充说明：（</w:t>
            </w: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  <w:t>①抵押物土地性质不是“出让”的应重点说明；②如已对外出租</w:t>
            </w:r>
            <w:r>
              <w:rPr>
                <w:rFonts w:hint="eastAsia" w:ascii="宋体" w:hAnsi="宋体" w:cs="宋体"/>
                <w:b w:val="0"/>
                <w:bCs/>
                <w:kern w:val="2"/>
                <w:sz w:val="21"/>
                <w:szCs w:val="21"/>
                <w:highlight w:val="none"/>
                <w:lang w:eastAsia="zh-CN"/>
              </w:rPr>
              <w:t>，</w:t>
            </w: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  <w:t>应说明承租人是否同意放弃优先受让权；③如为个人住宅应说明权利人别处可供居住的房屋</w:t>
            </w: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  <w:lang w:eastAsia="zh-CN"/>
              </w:rPr>
              <w:t>（非唯一住宅说明）</w:t>
            </w: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  <w:t>。</w:t>
            </w:r>
          </w:p>
          <w:p w14:paraId="027D0FF2">
            <w:pPr>
              <w:numPr>
                <w:ilvl w:val="0"/>
                <w:numId w:val="0"/>
              </w:numPr>
              <w:spacing w:before="156" w:beforeLines="50" w:after="156" w:afterLines="50" w:line="240" w:lineRule="auto"/>
              <w:jc w:val="left"/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sz w:val="21"/>
                <w:szCs w:val="21"/>
                <w:highlight w:val="none"/>
                <w:lang w:val="en-US" w:eastAsia="zh-CN"/>
              </w:rPr>
              <w:t>2.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</w:rPr>
              <w:t>公司担保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  <w:lang w:val="en-US" w:eastAsia="zh-CN"/>
              </w:rPr>
              <w:t>如涉及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</w:rPr>
              <w:t>：</w:t>
            </w:r>
          </w:p>
          <w:p w14:paraId="0F2B1FC8">
            <w:pPr>
              <w:numPr>
                <w:ilvl w:val="0"/>
                <w:numId w:val="0"/>
              </w:numPr>
              <w:spacing w:before="156" w:beforeLines="50" w:after="156" w:afterLines="50" w:line="240" w:lineRule="auto"/>
              <w:jc w:val="left"/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  <w:t>①保证人基本信息：成立日期、注册资本及</w:t>
            </w:r>
            <w:r>
              <w:rPr>
                <w:rFonts w:hint="eastAsia" w:ascii="宋体" w:hAnsi="宋体" w:cs="宋体"/>
                <w:b w:val="0"/>
                <w:bCs/>
                <w:kern w:val="2"/>
                <w:sz w:val="21"/>
                <w:szCs w:val="21"/>
                <w:highlight w:val="none"/>
                <w:lang w:val="en-US" w:eastAsia="zh-CN"/>
              </w:rPr>
              <w:t>实收资本</w:t>
            </w: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  <w:t>、法人代表</w:t>
            </w:r>
            <w:r>
              <w:rPr>
                <w:rFonts w:hint="eastAsia" w:ascii="宋体" w:hAnsi="宋体" w:cs="宋体"/>
                <w:b w:val="0"/>
                <w:bCs/>
                <w:kern w:val="2"/>
                <w:sz w:val="21"/>
                <w:szCs w:val="21"/>
                <w:highlight w:val="none"/>
                <w:lang w:eastAsia="zh-CN"/>
              </w:rPr>
              <w:t>、</w:t>
            </w:r>
            <w:r>
              <w:rPr>
                <w:rFonts w:hint="eastAsia" w:ascii="宋体" w:hAnsi="宋体" w:cs="宋体"/>
                <w:b w:val="0"/>
                <w:bCs/>
                <w:kern w:val="2"/>
                <w:sz w:val="21"/>
                <w:szCs w:val="21"/>
                <w:highlight w:val="none"/>
                <w:lang w:val="en-US" w:eastAsia="zh-CN"/>
              </w:rPr>
              <w:t>经营场所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（坐落地点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、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场地面积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、自有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或租用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、是否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已对外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>抵押）</w:t>
            </w: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  <w:t>；</w:t>
            </w:r>
          </w:p>
          <w:p w14:paraId="62F95C79">
            <w:pPr>
              <w:numPr>
                <w:ilvl w:val="0"/>
                <w:numId w:val="0"/>
              </w:numPr>
              <w:spacing w:before="156" w:beforeLines="50" w:after="156" w:afterLines="50" w:line="240" w:lineRule="auto"/>
              <w:jc w:val="left"/>
              <w:rPr>
                <w:rFonts w:hint="default" w:ascii="宋体" w:hAnsi="宋体" w:eastAsia="宋体" w:cs="宋体"/>
                <w:snapToGrid w:val="0"/>
                <w:kern w:val="0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  <w:t>②保证人</w:t>
            </w: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  <w:lang w:eastAsia="zh-CN"/>
              </w:rPr>
              <w:t>化型及</w:t>
            </w:r>
            <w:r>
              <w:rPr>
                <w:rFonts w:hint="eastAsia" w:ascii="宋体" w:hAnsi="宋体" w:eastAsia="宋体" w:cs="宋体"/>
                <w:snapToGrid w:val="0"/>
                <w:kern w:val="0"/>
                <w:sz w:val="21"/>
                <w:szCs w:val="21"/>
                <w:highlight w:val="none"/>
                <w:lang w:val="en-US" w:eastAsia="zh-CN" w:bidi="ar-SA"/>
              </w:rPr>
              <w:t xml:space="preserve">对公PD </w:t>
            </w:r>
            <w:r>
              <w:rPr>
                <w:rFonts w:hint="eastAsia" w:ascii="宋体" w:hAnsi="宋体" w:eastAsia="宋体" w:cs="宋体"/>
                <w:snapToGrid w:val="0"/>
                <w:kern w:val="0"/>
                <w:sz w:val="21"/>
                <w:szCs w:val="21"/>
                <w:highlight w:val="none"/>
                <w:u w:val="none"/>
                <w:lang w:val="en-US" w:eastAsia="zh-CN" w:bidi="ar-SA"/>
              </w:rPr>
              <w:t>X级</w:t>
            </w:r>
            <w:r>
              <w:rPr>
                <w:rFonts w:hint="eastAsia" w:ascii="宋体" w:hAnsi="宋体" w:eastAsia="宋体" w:cs="宋体"/>
                <w:snapToGrid w:val="0"/>
                <w:kern w:val="0"/>
                <w:sz w:val="21"/>
                <w:szCs w:val="21"/>
                <w:highlight w:val="none"/>
                <w:u w:val="single"/>
                <w:lang w:val="en-US" w:eastAsia="zh-CN" w:bidi="ar-SA"/>
              </w:rPr>
              <w:t>（注意是否符合保证人准入要求）</w:t>
            </w:r>
          </w:p>
          <w:p w14:paraId="4FB2F005">
            <w:pPr>
              <w:numPr>
                <w:ilvl w:val="0"/>
                <w:numId w:val="0"/>
              </w:numPr>
              <w:spacing w:before="156" w:beforeLines="50" w:after="156" w:afterLines="50" w:line="240" w:lineRule="auto"/>
              <w:jc w:val="left"/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  <w:t>③保证人主要经营情况；</w:t>
            </w:r>
          </w:p>
          <w:p w14:paraId="1ECFCA73">
            <w:pPr>
              <w:numPr>
                <w:ilvl w:val="0"/>
                <w:numId w:val="0"/>
              </w:numPr>
              <w:spacing w:before="156" w:beforeLines="50" w:after="156" w:afterLines="50" w:line="240" w:lineRule="auto"/>
              <w:jc w:val="left"/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/>
                <w:kern w:val="2"/>
                <w:sz w:val="21"/>
                <w:szCs w:val="21"/>
                <w:highlight w:val="none"/>
              </w:rPr>
              <w:t>④</w:t>
            </w: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  <w:t>保证人</w:t>
            </w:r>
            <w:r>
              <w:rPr>
                <w:rFonts w:hint="eastAsia" w:ascii="宋体" w:hAnsi="宋体" w:cs="宋体"/>
                <w:b w:val="0"/>
                <w:bCs/>
                <w:kern w:val="2"/>
                <w:sz w:val="21"/>
                <w:szCs w:val="21"/>
                <w:highlight w:val="none"/>
                <w:lang w:val="en-US" w:eastAsia="zh-CN"/>
              </w:rPr>
              <w:t>征信</w:t>
            </w: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  <w:t>信息（银行授信</w:t>
            </w:r>
            <w:r>
              <w:rPr>
                <w:rFonts w:hint="eastAsia" w:ascii="宋体" w:hAnsi="宋体" w:cs="宋体"/>
                <w:b w:val="0"/>
                <w:bCs/>
                <w:kern w:val="2"/>
                <w:sz w:val="21"/>
                <w:szCs w:val="21"/>
                <w:highlight w:val="none"/>
                <w:lang w:val="en-US" w:eastAsia="zh-CN"/>
              </w:rPr>
              <w:t>业务</w:t>
            </w: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  <w:t>品种、</w:t>
            </w:r>
            <w:r>
              <w:rPr>
                <w:rFonts w:hint="eastAsia" w:ascii="宋体" w:hAnsi="宋体" w:cs="宋体"/>
                <w:b w:val="0"/>
                <w:bCs/>
                <w:kern w:val="2"/>
                <w:sz w:val="21"/>
                <w:szCs w:val="21"/>
                <w:highlight w:val="none"/>
                <w:lang w:val="en-US" w:eastAsia="zh-CN"/>
              </w:rPr>
              <w:t>敞口提用</w:t>
            </w: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  <w:t>余额</w:t>
            </w:r>
            <w:r>
              <w:rPr>
                <w:rFonts w:hint="eastAsia" w:ascii="宋体" w:hAnsi="宋体" w:cs="宋体"/>
                <w:b w:val="0"/>
                <w:bCs/>
                <w:kern w:val="2"/>
                <w:sz w:val="21"/>
                <w:szCs w:val="21"/>
                <w:highlight w:val="none"/>
                <w:lang w:eastAsia="zh-CN"/>
              </w:rPr>
              <w:t>、</w:t>
            </w:r>
            <w:r>
              <w:rPr>
                <w:rFonts w:hint="eastAsia" w:ascii="宋体" w:hAnsi="宋体" w:cs="宋体"/>
                <w:b w:val="0"/>
                <w:bCs/>
                <w:kern w:val="2"/>
                <w:sz w:val="21"/>
                <w:szCs w:val="21"/>
                <w:highlight w:val="none"/>
                <w:lang w:val="en-US" w:eastAsia="zh-CN"/>
              </w:rPr>
              <w:t>对外担保余额</w:t>
            </w: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  <w:t>，不良记录等）；</w:t>
            </w:r>
          </w:p>
          <w:p w14:paraId="192DC78C">
            <w:pPr>
              <w:numPr>
                <w:ilvl w:val="0"/>
                <w:numId w:val="0"/>
              </w:numPr>
              <w:spacing w:before="156" w:beforeLines="50" w:after="156" w:afterLines="50" w:line="240" w:lineRule="auto"/>
              <w:jc w:val="left"/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/>
                <w:kern w:val="2"/>
                <w:sz w:val="21"/>
                <w:szCs w:val="21"/>
                <w:highlight w:val="none"/>
              </w:rPr>
              <w:t>⑤</w:t>
            </w: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  <w:t>主要</w:t>
            </w:r>
            <w:r>
              <w:rPr>
                <w:rFonts w:hint="eastAsia" w:ascii="宋体" w:hAnsi="宋体" w:cs="宋体"/>
                <w:b w:val="0"/>
                <w:bCs/>
                <w:kern w:val="2"/>
                <w:sz w:val="21"/>
                <w:szCs w:val="21"/>
                <w:highlight w:val="none"/>
                <w:lang w:val="en-US" w:eastAsia="zh-CN"/>
              </w:rPr>
              <w:t>财务指标（请填写下表）</w:t>
            </w: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highlight w:val="none"/>
              </w:rPr>
              <w:t>。</w:t>
            </w:r>
          </w:p>
          <w:tbl>
            <w:tblPr>
              <w:tblStyle w:val="13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56"/>
              <w:gridCol w:w="756"/>
              <w:gridCol w:w="756"/>
              <w:gridCol w:w="936"/>
              <w:gridCol w:w="756"/>
              <w:gridCol w:w="756"/>
              <w:gridCol w:w="1116"/>
            </w:tblGrid>
            <w:tr w14:paraId="6CD9FC0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83" w:hRule="atLeast"/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4075997B">
                  <w:pPr>
                    <w:snapToGrid w:val="0"/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z w:val="18"/>
                      <w:szCs w:val="18"/>
                      <w:highlight w:val="none"/>
                      <w:lang w:val="en-US" w:eastAsia="zh-CN"/>
                    </w:rPr>
                    <w:t>年份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7FDD7991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</w:rPr>
                    <w:t>总资产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01991DAA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</w:rPr>
                    <w:t>净资产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1299A5A5">
                  <w:pPr>
                    <w:snapToGrid w:val="0"/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</w:rPr>
                    <w:t>销售收入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1A72B2F7">
                  <w:pPr>
                    <w:snapToGrid w:val="0"/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</w:rPr>
                    <w:t>毛利率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4EB6D537">
                  <w:pPr>
                    <w:snapToGrid w:val="0"/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</w:rPr>
                    <w:t>净利润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26C9251D">
                  <w:pPr>
                    <w:snapToGrid w:val="0"/>
                    <w:spacing w:line="240" w:lineRule="auto"/>
                    <w:jc w:val="center"/>
                    <w:rPr>
                      <w:rFonts w:hint="eastAsia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</w:rPr>
                    <w:t>资产负债率</w:t>
                  </w:r>
                </w:p>
              </w:tc>
            </w:tr>
            <w:tr w14:paraId="5FE4EBF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83" w:hRule="atLeast"/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182A6994">
                  <w:pPr>
                    <w:snapToGrid w:val="0"/>
                    <w:spacing w:line="240" w:lineRule="auto"/>
                    <w:jc w:val="center"/>
                    <w:rPr>
                      <w:rFonts w:hint="default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  <w:lang w:val="en-US" w:eastAsia="zh-CN"/>
                    </w:rPr>
                    <w:t>2023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17EFEDF9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  <w:r>
                    <w:t>17940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7BBA8341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  <w:r>
                    <w:t>8927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428D0021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  <w:r>
                    <w:t>12130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6538E1CA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  <w:r>
                    <w:t>27.3%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03507EDF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  <w:r>
                    <w:t>393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0D966948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  <w:r>
                    <w:t>50.25%</w:t>
                  </w:r>
                </w:p>
              </w:tc>
            </w:tr>
            <w:tr w14:paraId="2621984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83" w:hRule="atLeast"/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7BB58F14">
                  <w:pPr>
                    <w:snapToGrid w:val="0"/>
                    <w:spacing w:line="240" w:lineRule="auto"/>
                    <w:jc w:val="center"/>
                    <w:rPr>
                      <w:rFonts w:hint="eastAsia" w:ascii="宋体" w:hAnsi="宋体" w:cs="宋体"/>
                      <w:b w:val="0"/>
                      <w:bCs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z w:val="18"/>
                      <w:szCs w:val="18"/>
                      <w:highlight w:val="none"/>
                      <w:lang w:val="en-US" w:eastAsia="zh-CN"/>
                    </w:rPr>
                    <w:t>2024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19A8F79A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  <w:r>
                    <w:t>18575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221F4AC8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  <w:r>
                    <w:t>9256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653CF650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  <w:r>
                    <w:t>8712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469CDD7E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  <w:r>
                    <w:t>38.8%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072369BE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  <w:r>
                    <w:t>329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39549615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  <w:r>
                    <w:t>50.17%</w:t>
                  </w:r>
                </w:p>
              </w:tc>
            </w:tr>
            <w:tr w14:paraId="4AE053E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83" w:hRule="atLeast"/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54EA4411">
                  <w:pPr>
                    <w:snapToGrid w:val="0"/>
                    <w:spacing w:line="240" w:lineRule="auto"/>
                    <w:jc w:val="center"/>
                    <w:rPr>
                      <w:rFonts w:hint="default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  <w:lang w:val="en-US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z w:val="18"/>
                      <w:szCs w:val="18"/>
                      <w:highlight w:val="none"/>
                      <w:lang w:val="en-US" w:eastAsia="zh-CN"/>
                    </w:rPr>
                    <w:t>2025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64F87A57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  <w:r>
                    <w:t>16956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7B1D2BB0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  <w:r>
                    <w:t>9749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4815C032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  <w:r>
                    <w:t>10010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6937CC66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  <w:r>
                    <w:t>38.02%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768725E9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  <w:r>
                    <w:t>494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3E05C034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  <w:r>
                    <w:t>42.5%</w:t>
                  </w:r>
                </w:p>
              </w:tc>
            </w:tr>
            <w:tr w14:paraId="7F7EEAA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98" w:hRule="atLeast"/>
                <w:jc w:val="center"/>
              </w:trPr>
              <w:tc>
                <w:tcPr>
                  <w:tcW w:w="0" w:type="auto"/>
                  <w:noWrap w:val="0"/>
                  <w:vAlign w:val="center"/>
                </w:tcPr>
                <w:p w14:paraId="5545E239">
                  <w:pPr>
                    <w:snapToGrid w:val="0"/>
                    <w:spacing w:line="240" w:lineRule="auto"/>
                    <w:jc w:val="center"/>
                    <w:rPr>
                      <w:rFonts w:hint="default" w:ascii="宋体" w:hAnsi="宋体" w:eastAsia="宋体" w:cs="宋体"/>
                      <w:b w:val="0"/>
                      <w:bCs w:val="0"/>
                      <w:sz w:val="18"/>
                      <w:szCs w:val="18"/>
                      <w:highlight w:val="none"/>
                      <w:lang w:val="en-US" w:eastAsia="zh-CN"/>
                    </w:rPr>
                  </w:pPr>
                  <w:r>
                    <w:rPr>
                      <w:rFonts w:hint="eastAsia" w:ascii="宋体" w:hAnsi="宋体" w:cs="宋体"/>
                      <w:b w:val="0"/>
                      <w:bCs w:val="0"/>
                      <w:sz w:val="18"/>
                      <w:szCs w:val="18"/>
                      <w:highlight w:val="none"/>
                      <w:lang w:val="en-US" w:eastAsia="zh-CN"/>
                    </w:rPr>
                    <w:t>2025.X</w:t>
                  </w: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0B9DC352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56D465F4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5DA839B2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664BB7B6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7D68CD95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</w:p>
              </w:tc>
              <w:tc>
                <w:tcPr>
                  <w:tcW w:w="0" w:type="auto"/>
                  <w:noWrap w:val="0"/>
                  <w:vAlign w:val="center"/>
                </w:tcPr>
                <w:p w14:paraId="1BFB6235">
                  <w:pPr>
                    <w:snapToGrid w:val="0"/>
                    <w:spacing w:line="240" w:lineRule="auto"/>
                    <w:rPr>
                      <w:rFonts w:hint="eastAsia" w:ascii="宋体" w:hAnsi="宋体" w:eastAsia="宋体" w:cs="宋体"/>
                      <w:sz w:val="18"/>
                      <w:szCs w:val="18"/>
                      <w:highlight w:val="none"/>
                    </w:rPr>
                  </w:pPr>
                </w:p>
              </w:tc>
            </w:tr>
          </w:tbl>
          <w:p w14:paraId="1BB3F6B6">
            <w:pPr>
              <w:numPr>
                <w:ilvl w:val="0"/>
                <w:numId w:val="0"/>
              </w:numPr>
              <w:spacing w:before="156" w:beforeLines="50" w:after="156" w:afterLines="50" w:line="240" w:lineRule="auto"/>
              <w:jc w:val="left"/>
              <w:rPr>
                <w:rFonts w:hint="eastAsia" w:ascii="方正仿宋_GBK" w:hAnsi="方正仿宋_GBK" w:eastAsia="方正仿宋_GBK" w:cs="方正仿宋_GBK"/>
                <w:b w:val="0"/>
                <w:bCs/>
                <w:kern w:val="2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方正仿宋_GBK" w:hAnsi="方正仿宋_GBK" w:eastAsia="方正仿宋_GBK" w:cs="方正仿宋_GBK"/>
                <w:b w:val="0"/>
                <w:bCs/>
                <w:kern w:val="2"/>
                <w:sz w:val="21"/>
                <w:szCs w:val="21"/>
                <w:highlight w:val="none"/>
                <w:lang w:val="en-US" w:eastAsia="zh-CN"/>
              </w:rPr>
              <w:t>⑥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>其他：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  <w:lang w:eastAsia="zh-CN"/>
              </w:rPr>
              <w:t>风险信息情况、涉诉等</w:t>
            </w:r>
          </w:p>
          <w:p w14:paraId="31380E80">
            <w:pPr>
              <w:numPr>
                <w:ilvl w:val="0"/>
                <w:numId w:val="0"/>
              </w:numPr>
              <w:spacing w:before="156" w:beforeLines="50" w:after="156" w:afterLines="50" w:line="240" w:lineRule="auto"/>
              <w:jc w:val="left"/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color w:val="auto"/>
                <w:sz w:val="21"/>
                <w:szCs w:val="21"/>
                <w:highlight w:val="none"/>
                <w:lang w:val="en-US" w:eastAsia="zh-CN"/>
              </w:rPr>
              <w:t>3.</w:t>
            </w:r>
            <w:r>
              <w:rPr>
                <w:rFonts w:hint="eastAsia" w:ascii="宋体" w:hAnsi="宋体" w:eastAsia="宋体" w:cs="宋体"/>
                <w:b/>
                <w:color w:val="auto"/>
                <w:sz w:val="21"/>
                <w:szCs w:val="21"/>
                <w:highlight w:val="none"/>
              </w:rPr>
              <w:t>我行认可的专业担保公司担保</w:t>
            </w:r>
            <w:r>
              <w:rPr>
                <w:rFonts w:hint="eastAsia" w:ascii="宋体" w:hAnsi="宋体" w:eastAsia="宋体" w:cs="宋体"/>
                <w:b/>
                <w:color w:val="auto"/>
                <w:sz w:val="21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b/>
                <w:color w:val="auto"/>
                <w:sz w:val="21"/>
                <w:szCs w:val="21"/>
                <w:highlight w:val="none"/>
                <w:lang w:val="en-US" w:eastAsia="zh-CN"/>
              </w:rPr>
              <w:t>如</w:t>
            </w:r>
            <w:r>
              <w:rPr>
                <w:rFonts w:hint="eastAsia" w:ascii="宋体" w:hAnsi="宋体" w:cs="宋体"/>
                <w:b/>
                <w:color w:val="auto"/>
                <w:sz w:val="21"/>
                <w:szCs w:val="21"/>
                <w:highlight w:val="none"/>
                <w:lang w:val="en-US" w:eastAsia="zh-CN"/>
              </w:rPr>
              <w:t>涉及</w:t>
            </w:r>
            <w:r>
              <w:rPr>
                <w:rFonts w:hint="eastAsia" w:ascii="宋体" w:hAnsi="宋体" w:eastAsia="宋体" w:cs="宋体"/>
                <w:b/>
                <w:color w:val="auto"/>
                <w:sz w:val="21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宋体" w:hAnsi="宋体" w:eastAsia="宋体" w:cs="宋体"/>
                <w:color w:val="auto"/>
                <w:sz w:val="21"/>
                <w:szCs w:val="21"/>
                <w:highlight w:val="none"/>
              </w:rPr>
              <w:t>：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  <w:highlight w:val="none"/>
              </w:rPr>
              <w:t>简要阐述我行内部审批结论（额度、风险分担比例、放大倍数、单户上限等），并说明截止上报日该担保公司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  <w:highlight w:val="none"/>
                <w:lang w:val="en-US" w:eastAsia="zh-CN"/>
              </w:rPr>
              <w:t>最新担保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  <w:highlight w:val="none"/>
              </w:rPr>
              <w:t>情况是否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  <w:highlight w:val="none"/>
                <w:lang w:val="en-US" w:eastAsia="zh-CN"/>
              </w:rPr>
              <w:t>符合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  <w:highlight w:val="none"/>
              </w:rPr>
              <w:t>要求（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  <w:highlight w:val="none"/>
                <w:lang w:val="en-US" w:eastAsia="zh-CN"/>
              </w:rPr>
              <w:t>包括：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  <w:highlight w:val="none"/>
              </w:rPr>
              <w:t>对外担保总额、我行担保余额、净资产和担保倍率等）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  <w:highlight w:val="none"/>
                <w:lang w:eastAsia="zh-CN"/>
              </w:rPr>
              <w:t>，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  <w:highlight w:val="none"/>
              </w:rPr>
              <w:t>本次担保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  <w:highlight w:val="none"/>
                <w:lang w:val="en-US" w:eastAsia="zh-CN"/>
              </w:rPr>
              <w:t>是否符合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  <w:highlight w:val="none"/>
              </w:rPr>
              <w:t>准入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  <w:highlight w:val="none"/>
                <w:lang w:val="en-US" w:eastAsia="zh-CN"/>
              </w:rPr>
              <w:t>要求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1"/>
                <w:szCs w:val="21"/>
                <w:highlight w:val="none"/>
              </w:rPr>
              <w:t>。</w:t>
            </w:r>
          </w:p>
          <w:p w14:paraId="7EC7AD71">
            <w:pPr>
              <w:numPr>
                <w:ilvl w:val="0"/>
                <w:numId w:val="0"/>
              </w:numPr>
              <w:spacing w:before="156" w:beforeLines="50" w:after="156" w:afterLines="50" w:line="240" w:lineRule="auto"/>
              <w:jc w:val="left"/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sz w:val="21"/>
                <w:szCs w:val="21"/>
                <w:highlight w:val="none"/>
                <w:lang w:val="en-US" w:eastAsia="zh-CN"/>
              </w:rPr>
              <w:t>4.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</w:rPr>
              <w:t>个人担保</w:t>
            </w:r>
            <w:r>
              <w:rPr>
                <w:rFonts w:hint="eastAsia" w:ascii="宋体" w:hAnsi="宋体" w:cs="宋体"/>
                <w:b/>
                <w:sz w:val="21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宋体" w:hAnsi="宋体" w:cs="宋体"/>
                <w:b/>
                <w:sz w:val="21"/>
                <w:szCs w:val="21"/>
                <w:highlight w:val="none"/>
                <w:lang w:val="en-US" w:eastAsia="zh-CN"/>
              </w:rPr>
              <w:t>如：实控人及配偶</w:t>
            </w:r>
            <w:r>
              <w:rPr>
                <w:rFonts w:hint="eastAsia" w:ascii="宋体" w:hAnsi="宋体" w:cs="宋体"/>
                <w:b/>
                <w:sz w:val="21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</w:rPr>
              <w:t>。</w:t>
            </w:r>
          </w:p>
          <w:p w14:paraId="09E5C6EF">
            <w:pPr>
              <w:spacing w:before="156" w:beforeLines="50" w:after="156" w:afterLines="50" w:line="240" w:lineRule="auto"/>
              <w:jc w:val="left"/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sz w:val="21"/>
                <w:szCs w:val="21"/>
                <w:highlight w:val="none"/>
                <w:lang w:val="en-US" w:eastAsia="zh-CN"/>
              </w:rPr>
              <w:t>本次授信申请为信用方式。申请人福建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</w:rPr>
              <w:t>中锐网络股份有限公司主营业务为智慧水利与智慧教育，2025年末总资产1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  <w:lang w:eastAsia="zh-CN"/>
              </w:rPr>
              <w:t>.70亿元，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  <w:lang w:val="en-US" w:eastAsia="zh-CN"/>
              </w:rPr>
              <w:t>资产负债率42.5%，财务杠杆水平适中。公司2025年实现营业收入1.00亿元，净利润494万元，保持盈利。短期偿债能力方面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kern w:val="2"/>
                <w:sz w:val="21"/>
                <w:szCs w:val="21"/>
                <w:highlight w:val="none"/>
                <w:lang w:val="en-US" w:eastAsia="zh-CN" w:bidi="ar-SA"/>
              </w:rPr>
              <w:t>，流动比率为1.82，但期末货币资金仅286万元，对4730万元银行融资的覆盖能力较弱，经营活动现金流净额791万元，对债务利息的保障存在压力。公司下游客户包括水利局等政府相关单位，业务具备一定稳定性，但应收账款规模较大，2025年末达7430万元，占流动资产比重较高，存在资金回收风险。综合来看，公司虽处于盈利状态且负债率可控，但现金流偏紧，对短期债务的保障不足。鉴于当前未提供有效的抵质押物或第三方保证，本次授信的风险缓释措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  <w:lang w:eastAsia="zh-CN"/>
              </w:rPr>
              <w:t>施不足，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highlight w:val="none"/>
              </w:rPr>
              <w:t>建议补充强担保条件或审慎核定信用额度。</w:t>
            </w:r>
          </w:p>
          <w:p w14:paraId="615FBFA9">
            <w:pPr>
              <w:pStyle w:val="11"/>
              <w:rPr>
                <w:rFonts w:hint="default" w:ascii="宋体" w:hAnsi="宋体" w:eastAsia="宋体" w:cs="宋体"/>
                <w:i w:val="0"/>
                <w:iCs w:val="0"/>
                <w:caps w:val="0"/>
                <w:spacing w:val="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  <w:p w14:paraId="7FC4DC80">
            <w:pPr>
              <w:widowControl/>
              <w:numPr>
                <w:ilvl w:val="0"/>
                <w:numId w:val="0"/>
              </w:numPr>
              <w:kinsoku w:val="0"/>
              <w:autoSpaceDE w:val="0"/>
              <w:autoSpaceDN w:val="0"/>
              <w:adjustRightInd w:val="0"/>
              <w:snapToGrid w:val="0"/>
              <w:jc w:val="left"/>
              <w:textAlignment w:val="baseline"/>
              <w:rPr>
                <w:rFonts w:hint="default" w:ascii="宋体" w:hAnsi="宋体" w:cs="宋体"/>
                <w:b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</w:rPr>
              <w:t>（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lang w:val="en-US" w:eastAsia="zh-CN"/>
              </w:rPr>
              <w:t>十一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</w:rPr>
              <w:t>）经营单位授信申报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lang w:val="en-US" w:eastAsia="zh-CN"/>
              </w:rPr>
              <w:t>结论及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</w:rPr>
              <w:t>方案：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围绕“现金流、杠杆率、可持续、垒小户、配结算、强担保”六要素展开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u w:val="single"/>
              </w:rPr>
              <w:t xml:space="preserve"> 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u w:val="single"/>
                <w:lang w:eastAsia="zh-CN"/>
              </w:rPr>
              <w:t>，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基于“六要素”综合评判客户是否准入，如何设置合理授信方案及贷后管控措施）</w:t>
            </w:r>
          </w:p>
          <w:p w14:paraId="068BDD9E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422" w:firstLineChars="200"/>
              <w:jc w:val="both"/>
              <w:textAlignment w:val="auto"/>
              <w:rPr>
                <w:rFonts w:hint="eastAsia" w:ascii="宋体" w:hAnsi="宋体" w:cs="宋体"/>
                <w:b/>
                <w:kern w:val="2"/>
                <w:sz w:val="21"/>
                <w:szCs w:val="21"/>
                <w:highlight w:val="no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kern w:val="2"/>
                <w:sz w:val="21"/>
                <w:szCs w:val="21"/>
                <w:highlight w:val="none"/>
              </w:rPr>
              <w:t>1</w:t>
            </w:r>
            <w:r>
              <w:rPr>
                <w:rFonts w:hint="eastAsia" w:ascii="宋体" w:hAnsi="宋体" w:cs="宋体"/>
                <w:b/>
                <w:kern w:val="2"/>
                <w:sz w:val="21"/>
                <w:szCs w:val="21"/>
                <w:highlight w:val="none"/>
                <w:lang w:val="en-US" w:eastAsia="zh-CN"/>
              </w:rPr>
              <w:t>.</w:t>
            </w:r>
            <w:r>
              <w:rPr>
                <w:rFonts w:hint="eastAsia" w:ascii="宋体" w:hAnsi="宋体" w:eastAsia="宋体" w:cs="宋体"/>
                <w:b/>
                <w:kern w:val="2"/>
                <w:sz w:val="21"/>
                <w:szCs w:val="21"/>
                <w:highlight w:val="none"/>
                <w:lang w:val="en-US" w:eastAsia="zh-CN"/>
              </w:rPr>
              <w:t>综合</w:t>
            </w:r>
            <w:r>
              <w:rPr>
                <w:rFonts w:hint="eastAsia" w:ascii="宋体" w:hAnsi="宋体" w:eastAsia="宋体" w:cs="宋体"/>
                <w:b/>
                <w:kern w:val="2"/>
                <w:sz w:val="21"/>
                <w:szCs w:val="21"/>
                <w:highlight w:val="none"/>
              </w:rPr>
              <w:t>评价</w:t>
            </w:r>
            <w:r>
              <w:rPr>
                <w:rFonts w:hint="eastAsia" w:ascii="宋体" w:hAnsi="宋体" w:eastAsia="宋体" w:cs="宋体"/>
                <w:b/>
                <w:kern w:val="2"/>
                <w:sz w:val="21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b/>
                <w:kern w:val="2"/>
                <w:sz w:val="21"/>
                <w:szCs w:val="21"/>
                <w:highlight w:val="none"/>
                <w:lang w:val="en-US" w:eastAsia="zh-CN"/>
              </w:rPr>
              <w:t>围绕</w:t>
            </w:r>
            <w:r>
              <w:rPr>
                <w:rFonts w:hint="eastAsia" w:ascii="宋体" w:hAnsi="宋体" w:cs="宋体"/>
                <w:b/>
                <w:kern w:val="2"/>
                <w:sz w:val="21"/>
                <w:szCs w:val="21"/>
                <w:highlight w:val="none"/>
                <w:lang w:val="en-US" w:eastAsia="zh-CN"/>
              </w:rPr>
              <w:t>“</w:t>
            </w:r>
            <w:r>
              <w:rPr>
                <w:rFonts w:hint="eastAsia" w:ascii="宋体" w:hAnsi="宋体" w:eastAsia="宋体" w:cs="宋体"/>
                <w:b/>
                <w:kern w:val="2"/>
                <w:sz w:val="21"/>
                <w:szCs w:val="21"/>
                <w:highlight w:val="none"/>
                <w:lang w:val="en-US" w:eastAsia="zh-CN"/>
              </w:rPr>
              <w:t>六要素</w:t>
            </w:r>
            <w:r>
              <w:rPr>
                <w:rFonts w:hint="eastAsia" w:ascii="宋体" w:hAnsi="宋体" w:cs="宋体"/>
                <w:b/>
                <w:kern w:val="2"/>
                <w:sz w:val="21"/>
                <w:szCs w:val="21"/>
                <w:highlight w:val="none"/>
                <w:lang w:val="en-US" w:eastAsia="zh-CN"/>
              </w:rPr>
              <w:t>”</w:t>
            </w:r>
            <w:r>
              <w:rPr>
                <w:rFonts w:hint="eastAsia" w:ascii="宋体" w:hAnsi="宋体" w:eastAsia="宋体" w:cs="宋体"/>
                <w:b/>
                <w:kern w:val="2"/>
                <w:sz w:val="21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宋体" w:hAnsi="宋体" w:cs="宋体"/>
                <w:b/>
                <w:kern w:val="2"/>
                <w:sz w:val="21"/>
                <w:szCs w:val="21"/>
                <w:highlight w:val="none"/>
                <w:lang w:eastAsia="zh-CN"/>
              </w:rPr>
              <w:t>：</w:t>
            </w:r>
          </w:p>
          <w:p w14:paraId="6326386F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422" w:firstLineChars="200"/>
              <w:jc w:val="both"/>
              <w:textAlignment w:val="auto"/>
              <w:rPr>
                <w:rFonts w:hint="eastAsia" w:ascii="宋体" w:hAnsi="宋体" w:eastAsia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现金流：</w:t>
            </w:r>
            <w:r>
              <w:rPr>
                <w:rFonts w:hint="eastAsia" w:ascii="宋体" w:hAnsi="宋体" w:eastAsia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借款人2022年经营性现金流-739万元，2023年502万元，2024年按企业自编流量表也呈流入状态。2025年预计与2024年无重大变化，现金流能平衡。公司每月现金流入1000万元左右，日常开销流出900万元左右，账上资金余额维持在100万元左右，能维持日常经营周转。</w:t>
            </w:r>
          </w:p>
          <w:p w14:paraId="4FF78978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422" w:firstLineChars="200"/>
              <w:jc w:val="both"/>
              <w:textAlignment w:val="auto"/>
              <w:rPr>
                <w:rFonts w:hint="eastAsia" w:ascii="宋体" w:hAnsi="宋体" w:eastAsia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杠杆率:</w:t>
            </w:r>
            <w:r>
              <w:rPr>
                <w:rFonts w:hint="eastAsia" w:ascii="宋体" w:hAnsi="宋体" w:eastAsia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借款人负债率一般在65-70%之间，流动比在1.4-1.5，整体比较稳定，综合评判该公司具备偿还贷款本息的能力。</w:t>
            </w:r>
          </w:p>
          <w:p w14:paraId="1882DF71">
            <w:commentRangeStart w:id="14"/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422" w:firstLineChars="200"/>
              <w:jc w:val="both"/>
              <w:textAlignment w:val="auto"/>
              <w:rPr>
                <w:rFonts w:hint="default" w:ascii="宋体" w:hAnsi="宋体" w:eastAsia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可持续：</w:t>
            </w:r>
            <w:r>
              <w:rPr>
                <w:rFonts w:hint="eastAsia" w:ascii="宋体" w:hAnsi="宋体" w:eastAsia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借款人成立时间较长，技术先进，订单稳定，部分订单会外发加工，产能已满负荷，2025年正在考虑扩大经营地增加产能，公司人员配备齐全，现有240多名员工，其法人就是该公司的技术骨干，研发团队领头人均是从事____行业多年的专业人员，公司可持续性发展趋势良好。</w:t>
            </w:r>
            <w:commentRangeEnd w:id="14"/>
            <w:r>
              <w:rPr>
                <w:rStyle w:val="CommentReference"/>
              </w:rPr>
              <w:commentReference w:id="14"/>
            </w:r>
          </w:p>
          <w:p w14:paraId="6C1C1201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422" w:firstLineChars="200"/>
              <w:jc w:val="both"/>
              <w:textAlignment w:val="auto"/>
              <w:rPr>
                <w:rFonts w:hint="default" w:ascii="宋体" w:hAnsi="宋体" w:eastAsia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上</w:t>
            </w: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游供应商主要包括：</w:t>
            </w:r>
            <w:r>
              <w:rPr>
                <w:rFonts w:hint="eastAsia" w:ascii="宋体" w:hAnsi="宋体" w:eastAsia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锐捷网络股份有限公司、北京星链南天科技有限公司、广州浩瀚星图信息技术有限公司、新天科技股份有限公司、精导信息技术有限公司司等。下游客户主要包括：涵江水利局、福建省翔远电子科技有限公司、三明水利水电工程有限公司顺昌分公司、福州市福清公路事业发展中心、济南展雄电子有限公司等。</w:t>
            </w:r>
          </w:p>
          <w:p w14:paraId="282CB97D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422" w:firstLineChars="200"/>
              <w:jc w:val="both"/>
              <w:textAlignment w:val="auto"/>
              <w:rPr>
                <w:rFonts w:hint="eastAsia" w:ascii="宋体" w:hAnsi="宋体" w:eastAsia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配结算：</w:t>
            </w:r>
            <w:r>
              <w:rPr>
                <w:rFonts w:hint="eastAsia" w:ascii="宋体" w:hAnsi="宋体" w:eastAsia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借款人在我行开户时间较长，由于近两年在我行贷款提用不多，整体结算减少，后续将加强营销结算和代发业务。</w:t>
            </w:r>
          </w:p>
          <w:p w14:paraId="5BDB9922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422" w:firstLineChars="200"/>
              <w:jc w:val="both"/>
              <w:textAlignment w:val="auto"/>
              <w:rPr>
                <w:rFonts w:hint="eastAsia" w:ascii="宋体" w:hAnsi="宋体" w:eastAsia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强担保：</w:t>
            </w:r>
            <w:r>
              <w:rPr>
                <w:rFonts w:hint="eastAsia" w:ascii="宋体" w:hAnsi="宋体" w:eastAsia="宋体" w:cs="宋体"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该公司名下无房产，他行贷款均是信用方式，我行此次申请授信敞口1000万，其中500万元由实控人个人房产抵押，剩余500万元为信用方式，并追加实控人个人连带责任保证。</w:t>
            </w:r>
          </w:p>
          <w:p w14:paraId="340E9C0F">
            <w:pPr>
              <w:keepNext w:val="0"/>
              <w:keepLines w:val="0"/>
              <w:pageBreakBefore w:val="0"/>
              <w:widowControl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422" w:firstLineChars="200"/>
              <w:jc w:val="both"/>
              <w:textAlignment w:val="auto"/>
              <w:rPr>
                <w:rFonts w:hint="default" w:ascii="宋体" w:hAnsi="宋体" w:eastAsia="宋体" w:cs="宋体"/>
                <w:b/>
                <w:bCs/>
                <w:snapToGrid w:val="0"/>
                <w:color w:val="auto"/>
                <w:kern w:val="0"/>
                <w:szCs w:val="21"/>
                <w:highlight w:val="none"/>
                <w:u w:val="singl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napToGrid w:val="0"/>
                <w:kern w:val="0"/>
                <w:szCs w:val="21"/>
                <w:highlight w:val="none"/>
                <w:u w:val="single"/>
                <w:lang w:val="en-US" w:eastAsia="zh-CN"/>
              </w:rPr>
              <w:t>基于以上六要素综合评判，借款人予以准入。</w:t>
            </w:r>
          </w:p>
          <w:p w14:paraId="52F81D45">
            <w:pPr>
              <w:widowControl w:val="0"/>
              <w:spacing w:line="240" w:lineRule="auto"/>
              <w:jc w:val="both"/>
              <w:rPr>
                <w:rFonts w:hint="default" w:ascii="宋体" w:hAnsi="宋体" w:eastAsia="宋体" w:cs="宋体"/>
                <w:kern w:val="2"/>
                <w:sz w:val="21"/>
                <w:szCs w:val="21"/>
                <w:highlight w:val="none"/>
                <w:lang w:val="en-US" w:eastAsia="zh-CN"/>
              </w:rPr>
            </w:pPr>
          </w:p>
          <w:p w14:paraId="2003E6DE">
            <w:commentRangeStart w:id="15"/>
            <w:pPr>
              <w:widowControl w:val="0"/>
              <w:spacing w:line="240" w:lineRule="auto"/>
              <w:ind w:firstLine="422" w:firstLineChars="200"/>
              <w:jc w:val="both"/>
              <w:rPr>
                <w:rFonts w:hint="eastAsia" w:ascii="宋体" w:hAnsi="宋体" w:eastAsia="宋体" w:cs="宋体"/>
                <w:kern w:val="2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 w:eastAsia="宋体" w:cs="宋体"/>
                <w:b/>
                <w:kern w:val="2"/>
                <w:sz w:val="21"/>
                <w:szCs w:val="21"/>
                <w:highlight w:val="none"/>
              </w:rPr>
              <w:t>2</w:t>
            </w:r>
            <w:r>
              <w:rPr>
                <w:rFonts w:hint="eastAsia" w:ascii="宋体" w:hAnsi="宋体" w:cs="宋体"/>
                <w:b/>
                <w:kern w:val="2"/>
                <w:sz w:val="21"/>
                <w:szCs w:val="21"/>
                <w:highlight w:val="none"/>
                <w:lang w:eastAsia="zh-CN"/>
              </w:rPr>
              <w:t>.</w:t>
            </w:r>
            <w:r>
              <w:rPr>
                <w:rFonts w:hint="eastAsia" w:ascii="宋体" w:hAnsi="宋体" w:cs="宋体"/>
                <w:b/>
                <w:kern w:val="2"/>
                <w:sz w:val="21"/>
                <w:szCs w:val="21"/>
                <w:highlight w:val="none"/>
                <w:lang w:val="en-US" w:eastAsia="zh-CN"/>
              </w:rPr>
              <w:t>申报</w:t>
            </w:r>
            <w:r>
              <w:rPr>
                <w:rFonts w:hint="eastAsia" w:ascii="宋体" w:hAnsi="宋体" w:eastAsia="宋体" w:cs="宋体"/>
                <w:b/>
                <w:kern w:val="2"/>
                <w:sz w:val="21"/>
                <w:szCs w:val="21"/>
                <w:highlight w:val="none"/>
              </w:rPr>
              <w:t>授信</w:t>
            </w:r>
            <w:r>
              <w:rPr>
                <w:rFonts w:hint="eastAsia" w:ascii="宋体" w:hAnsi="宋体" w:eastAsia="宋体" w:cs="宋体"/>
                <w:b/>
                <w:kern w:val="2"/>
                <w:sz w:val="21"/>
                <w:szCs w:val="21"/>
                <w:highlight w:val="none"/>
                <w:lang w:val="en-US" w:eastAsia="zh-CN"/>
              </w:rPr>
              <w:t>方案</w:t>
            </w:r>
            <w:r>
              <w:rPr>
                <w:rFonts w:hint="eastAsia" w:ascii="宋体" w:hAnsi="宋体" w:cs="宋体"/>
                <w:b/>
                <w:kern w:val="2"/>
                <w:sz w:val="21"/>
                <w:szCs w:val="21"/>
                <w:highlight w:val="none"/>
                <w:lang w:eastAsia="zh-CN"/>
              </w:rPr>
              <w:t>：</w:t>
            </w:r>
            <w:r>
              <w:rPr>
                <w:rFonts w:hint="eastAsia" w:ascii="宋体" w:hAnsi="宋体" w:cs="宋体"/>
                <w:b/>
                <w:kern w:val="2"/>
                <w:sz w:val="21"/>
                <w:szCs w:val="21"/>
                <w:highlight w:val="none"/>
                <w:u w:val="single"/>
                <w:lang w:val="en-US" w:eastAsia="zh-CN"/>
              </w:rPr>
              <w:t xml:space="preserve"> </w:t>
            </w:r>
            <w:r>
              <w:rPr>
                <w:rFonts w:hint="eastAsia" w:ascii="宋体" w:hAnsi="宋体"/>
                <w:highlight w:val="none"/>
                <w:u w:val="single"/>
              </w:rPr>
              <w:t>拟申请给予</w:t>
            </w:r>
            <w:r>
              <w:rPr>
                <w:rFonts w:hint="eastAsia" w:ascii="宋体" w:hAnsi="宋体"/>
                <w:highlight w:val="none"/>
                <w:u w:val="single"/>
                <w:lang w:val="en-US" w:eastAsia="zh-CN"/>
              </w:rPr>
              <w:t>借款人授信敞口1000万元，____     。</w:t>
            </w:r>
            <w:r>
              <w:rPr>
                <w:rFonts w:hint="eastAsia" w:ascii="宋体" w:hAnsi="宋体" w:cs="宋体"/>
                <w:b/>
                <w:kern w:val="2"/>
                <w:sz w:val="21"/>
                <w:szCs w:val="21"/>
                <w:highlight w:val="none"/>
                <w:u w:val="single"/>
                <w:lang w:val="en-US" w:eastAsia="zh-CN"/>
              </w:rPr>
              <w:t xml:space="preserve"> </w:t>
            </w:r>
            <w:commentRangeEnd w:id="15"/>
            <w:r>
              <w:rPr>
                <w:rStyle w:val="CommentReference"/>
              </w:rPr>
              <w:commentReference w:id="15"/>
            </w:r>
          </w:p>
          <w:p w14:paraId="38E6AC17">
            <w:pPr>
              <w:adjustRightInd w:val="0"/>
              <w:snapToGrid w:val="0"/>
              <w:spacing w:before="93" w:beforeLines="30" w:after="93" w:afterLines="30"/>
              <w:rPr>
                <w:rFonts w:hint="eastAsia" w:ascii="宋体" w:hAnsi="宋体" w:cs="宋体"/>
                <w:b/>
                <w:snapToGrid w:val="0"/>
                <w:color w:val="auto"/>
                <w:kern w:val="0"/>
                <w:szCs w:val="21"/>
                <w:highlight w:val="cyan"/>
              </w:rPr>
            </w:pPr>
          </w:p>
          <w:p w14:paraId="196DEADF">
            <w:pPr>
              <w:adjustRightInd w:val="0"/>
              <w:snapToGrid w:val="0"/>
              <w:spacing w:before="93" w:beforeLines="30" w:after="93" w:afterLines="30"/>
              <w:rPr>
                <w:rFonts w:hint="eastAsia" w:ascii="宋体" w:hAnsi="宋体" w:cs="宋体"/>
                <w:bCs/>
                <w:snapToGrid w:val="0"/>
                <w:color w:val="auto"/>
                <w:kern w:val="0"/>
                <w:szCs w:val="21"/>
                <w:highlight w:val="cyan"/>
              </w:rPr>
            </w:pPr>
            <w:r>
              <w:rPr>
                <w:rFonts w:hint="eastAsia" w:ascii="宋体" w:hAnsi="宋体" w:cs="宋体"/>
                <w:b/>
                <w:snapToGrid w:val="0"/>
                <w:color w:val="auto"/>
                <w:kern w:val="0"/>
                <w:szCs w:val="21"/>
                <w:highlight w:val="cyan"/>
              </w:rPr>
              <w:t>尽职</w:t>
            </w:r>
            <w:r>
              <w:rPr>
                <w:rFonts w:hint="eastAsia" w:ascii="宋体" w:hAnsi="宋体" w:cs="宋体"/>
                <w:b/>
                <w:snapToGrid w:val="0"/>
                <w:color w:val="auto"/>
                <w:kern w:val="0"/>
                <w:szCs w:val="21"/>
                <w:highlight w:val="cyan"/>
                <w:lang w:val="en-US" w:eastAsia="zh-CN"/>
              </w:rPr>
              <w:t>调查</w:t>
            </w:r>
            <w:r>
              <w:rPr>
                <w:rFonts w:hint="eastAsia" w:ascii="宋体" w:hAnsi="宋体" w:cs="宋体"/>
                <w:b/>
                <w:snapToGrid w:val="0"/>
                <w:color w:val="auto"/>
                <w:kern w:val="0"/>
                <w:szCs w:val="21"/>
                <w:highlight w:val="cyan"/>
              </w:rPr>
              <w:t>：经营单位对上述材料真实性负责。</w:t>
            </w:r>
          </w:p>
          <w:p w14:paraId="6483A6E1">
            <w:commentRangeStart w:id="16"/>
            <w:pPr>
              <w:adjustRightInd w:val="0"/>
              <w:snapToGrid w:val="0"/>
              <w:spacing w:before="93" w:beforeLines="30" w:after="93" w:afterLines="30"/>
              <w:ind w:firstLine="420" w:firstLineChars="200"/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</w:pPr>
            <w:r>
              <w:rPr>
                <w:rFonts w:hint="eastAsia" w:ascii="宋体" w:hAnsi="宋体" w:cs="宋体"/>
                <w:bCs/>
                <w:snapToGrid w:val="0"/>
                <w:color w:val="000000"/>
                <w:kern w:val="0"/>
                <w:szCs w:val="21"/>
              </w:rPr>
              <w:t>客户经理：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  <w:t xml:space="preserve">                     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 xml:space="preserve">                  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>日期：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  <w:t xml:space="preserve">          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  <w:t xml:space="preserve">      </w:t>
            </w:r>
            <w:commentRangeEnd w:id="16"/>
            <w:r>
              <w:rPr>
                <w:rStyle w:val="CommentReference"/>
              </w:rPr>
              <w:commentReference w:id="16"/>
            </w:r>
          </w:p>
          <w:p w14:paraId="6AC425A6">
            <w:commentRangeStart w:id="17"/>
            <w:pPr>
              <w:adjustRightInd w:val="0"/>
              <w:snapToGrid w:val="0"/>
              <w:spacing w:before="93" w:beforeLines="30" w:after="93" w:afterLines="30"/>
              <w:ind w:firstLine="420" w:firstLineChars="200"/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  <w:t>共同调查人</w:t>
            </w:r>
            <w:r>
              <w:rPr>
                <w:rFonts w:hint="eastAsia" w:ascii="宋体" w:hAnsi="宋体" w:cs="宋体"/>
                <w:b w:val="0"/>
                <w:bCs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  <w:t>: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  <w:t xml:space="preserve">        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  <w:t xml:space="preserve">           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none"/>
              </w:rPr>
              <w:t xml:space="preserve">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none"/>
                <w:lang w:val="en-US" w:eastAsia="zh-CN"/>
              </w:rPr>
              <w:t xml:space="preserve">                  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>日期：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  <w:t xml:space="preserve">                 </w:t>
            </w:r>
            <w:commentRangeEnd w:id="17"/>
            <w:r>
              <w:rPr>
                <w:rStyle w:val="CommentReference"/>
              </w:rPr>
              <w:commentReference w:id="17"/>
            </w:r>
          </w:p>
          <w:p w14:paraId="2FC82B07">
            <w:commentRangeStart w:id="18"/>
            <w:pPr>
              <w:adjustRightInd w:val="0"/>
              <w:snapToGrid w:val="0"/>
              <w:spacing w:before="93" w:beforeLines="30" w:after="93" w:afterLines="30"/>
              <w:ind w:firstLine="420" w:firstLineChars="200"/>
              <w:rPr>
                <w:rFonts w:hint="default" w:ascii="宋体" w:hAnsi="宋体" w:eastAsia="宋体" w:cs="宋体"/>
                <w:b w:val="0"/>
                <w:bCs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cs="宋体"/>
                <w:b w:val="0"/>
                <w:bCs/>
                <w:i w:val="0"/>
                <w:iCs w:val="0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  <w:t>管理经理/二级支行行长: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  <w:t xml:space="preserve">           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  <w:lang w:val="en-US" w:eastAsia="zh-CN"/>
              </w:rPr>
              <w:t xml:space="preserve">         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none"/>
                <w:lang w:val="en-US" w:eastAsia="zh-CN"/>
              </w:rPr>
              <w:t xml:space="preserve">        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>日期：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  <w:t xml:space="preserve">         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  <w:t xml:space="preserve">       </w:t>
            </w:r>
            <w:commentRangeEnd w:id="18"/>
            <w:r>
              <w:rPr>
                <w:rStyle w:val="CommentReference"/>
              </w:rPr>
              <w:commentReference w:id="18"/>
            </w:r>
          </w:p>
          <w:p w14:paraId="269107E9">
            <w:commentRangeStart w:id="19"/>
            <w:pPr>
              <w:adjustRightInd w:val="0"/>
              <w:snapToGrid w:val="0"/>
              <w:spacing w:before="93" w:beforeLines="30" w:after="93" w:afterLines="30"/>
              <w:ind w:firstLine="420" w:firstLineChars="200"/>
              <w:rPr>
                <w:rFonts w:hint="eastAsia" w:ascii="宋体" w:hAnsi="宋体" w:cs="宋体"/>
                <w:snapToGrid w:val="0"/>
                <w:kern w:val="0"/>
                <w:szCs w:val="21"/>
              </w:rPr>
            </w:pP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>分管行长：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  <w:t xml:space="preserve">               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 xml:space="preserve">                          日期：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  <w:t xml:space="preserve">           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  <w:t xml:space="preserve">     </w:t>
            </w:r>
            <w:commentRangeEnd w:id="19"/>
            <w:r>
              <w:rPr>
                <w:rStyle w:val="CommentReference"/>
              </w:rPr>
              <w:commentReference w:id="19"/>
            </w:r>
          </w:p>
          <w:p w14:paraId="3096CC3B">
            <w:commentRangeStart w:id="20"/>
            <w:pPr>
              <w:ind w:firstLine="420" w:firstLineChars="200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>行长：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  <w:t xml:space="preserve">            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  <w:lang w:val="en-US" w:eastAsia="zh-CN"/>
              </w:rPr>
              <w:t xml:space="preserve">  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  <w:t xml:space="preserve">   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</w:rPr>
              <w:t xml:space="preserve">                          日期：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  <w:t xml:space="preserve">           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  <w:lang w:val="en-US" w:eastAsia="zh-CN"/>
              </w:rPr>
              <w:t xml:space="preserve"> </w:t>
            </w:r>
            <w:r>
              <w:rPr>
                <w:rFonts w:hint="eastAsia" w:ascii="宋体" w:hAnsi="宋体" w:cs="宋体"/>
                <w:snapToGrid w:val="0"/>
                <w:kern w:val="0"/>
                <w:szCs w:val="21"/>
                <w:u w:val="single"/>
              </w:rPr>
              <w:t xml:space="preserve">     </w:t>
            </w:r>
            <w:commentRangeEnd w:id="20"/>
            <w:r>
              <w:rPr>
                <w:rStyle w:val="CommentReference"/>
              </w:rPr>
              <w:commentReference w:id="20"/>
            </w:r>
          </w:p>
        </w:tc>
      </w:tr>
      <w:tr w14:paraId="6D61B4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1" w:hRule="atLeast"/>
          <w:jc w:val="center"/>
        </w:trPr>
        <w:tc>
          <w:tcPr>
            <w:tcW w:w="110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217DA78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93" w:beforeLines="30" w:after="93" w:afterLines="30"/>
              <w:jc w:val="left"/>
              <w:textAlignment w:val="baseline"/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省分行（辖行）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普惠部审查岗意见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lang w:eastAsia="zh-CN"/>
              </w:rPr>
              <w:t>（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lang w:val="en-US" w:eastAsia="zh-CN"/>
              </w:rPr>
              <w:t>可另附</w:t>
            </w:r>
            <w:r>
              <w:rPr>
                <w:rFonts w:hint="eastAsia" w:ascii="宋体" w:hAnsi="宋体" w:cs="宋体"/>
                <w:b/>
                <w:bCs/>
                <w:snapToGrid w:val="0"/>
                <w:kern w:val="0"/>
                <w:szCs w:val="21"/>
                <w:highlight w:val="none"/>
                <w:lang w:eastAsia="zh-CN"/>
              </w:rPr>
              <w:t>）</w:t>
            </w: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</w:rPr>
              <w:t>：</w:t>
            </w:r>
          </w:p>
          <w:p w14:paraId="3BF0CB64">
            <w:pPr>
              <w:pStyle w:val="11"/>
              <w:numPr>
                <w:ilvl w:val="0"/>
                <w:numId w:val="1"/>
              </w:numPr>
              <w:ind w:left="420" w:leftChars="0" w:hanging="420" w:firstLineChars="0"/>
              <w:rPr>
                <w:rFonts w:hint="eastAsia" w:ascii="宋体" w:hAnsi="宋体"/>
                <w:b/>
                <w:color w:val="auto"/>
                <w:kern w:val="2"/>
                <w:sz w:val="21"/>
                <w:szCs w:val="21"/>
                <w:highlight w:val="none"/>
              </w:rPr>
            </w:pPr>
            <w:r>
              <w:rPr>
                <w:rFonts w:hint="eastAsia" w:ascii="宋体" w:hAnsi="宋体"/>
                <w:b/>
                <w:color w:val="auto"/>
                <w:kern w:val="2"/>
                <w:sz w:val="21"/>
                <w:szCs w:val="21"/>
                <w:highlight w:val="none"/>
                <w:lang w:val="en-US" w:eastAsia="zh-CN"/>
              </w:rPr>
              <w:t>主要风险及</w:t>
            </w:r>
            <w:r>
              <w:rPr>
                <w:rFonts w:hint="eastAsia" w:ascii="宋体" w:hAnsi="宋体"/>
                <w:b/>
                <w:color w:val="auto"/>
                <w:kern w:val="2"/>
                <w:sz w:val="21"/>
                <w:szCs w:val="21"/>
                <w:highlight w:val="none"/>
              </w:rPr>
              <w:t>管控措施</w:t>
            </w:r>
          </w:p>
          <w:p w14:paraId="15B0E221">
            <w:pPr>
              <w:numPr>
                <w:ilvl w:val="0"/>
                <w:numId w:val="1"/>
              </w:numPr>
              <w:ind w:left="420" w:leftChars="0" w:hanging="420" w:firstLineChars="0"/>
              <w:rPr>
                <w:rFonts w:hint="eastAsia"/>
              </w:rPr>
            </w:pPr>
            <w:r>
              <w:rPr>
                <w:rFonts w:hint="eastAsia" w:ascii="国标宋体" w:hAnsi="国标宋体" w:eastAsia="国标宋体" w:cs="国标宋体"/>
                <w:b/>
                <w:color w:val="auto"/>
                <w:kern w:val="2"/>
                <w:sz w:val="21"/>
                <w:szCs w:val="21"/>
                <w:highlight w:val="none"/>
              </w:rPr>
              <w:t>审查审批意见</w:t>
            </w:r>
          </w:p>
          <w:p w14:paraId="4232D210">
            <w:pPr>
              <w:rPr>
                <w:rFonts w:hint="eastAsia"/>
              </w:rPr>
            </w:pPr>
          </w:p>
          <w:p w14:paraId="191D2183">
            <w:pPr>
              <w:rPr>
                <w:rFonts w:hint="eastAsia"/>
              </w:rPr>
            </w:pPr>
          </w:p>
          <w:p w14:paraId="2C1B80E0">
            <w:pPr>
              <w:pStyle w:val="2"/>
              <w:rPr>
                <w:rFonts w:hint="eastAsia"/>
              </w:rPr>
            </w:pPr>
          </w:p>
          <w:p w14:paraId="3B36D497">
            <w:pPr>
              <w:rPr>
                <w:rFonts w:hint="eastAsia"/>
              </w:rPr>
            </w:pPr>
          </w:p>
          <w:p w14:paraId="7515CFF7">
            <w:pPr>
              <w:pStyle w:val="2"/>
              <w:rPr>
                <w:rFonts w:hint="eastAsia"/>
              </w:rPr>
            </w:pPr>
          </w:p>
          <w:p w14:paraId="076F6CB1">
            <w:pPr>
              <w:rPr>
                <w:rFonts w:hint="eastAsia"/>
              </w:rPr>
            </w:pPr>
          </w:p>
          <w:p w14:paraId="1F1034B2">
            <w:pPr>
              <w:pStyle w:val="2"/>
              <w:rPr>
                <w:rFonts w:hint="eastAsia"/>
              </w:rPr>
            </w:pPr>
          </w:p>
          <w:p w14:paraId="5DDA68B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0" w:beforeAutospacing="1" w:after="100" w:afterAutospacing="1"/>
              <w:ind w:firstLine="3360" w:firstLineChars="1600"/>
              <w:jc w:val="left"/>
              <w:textAlignment w:val="baseline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 xml:space="preserve">      审查员：     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 xml:space="preserve">                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 xml:space="preserve">        日期：  　 年    月    日</w:t>
            </w:r>
          </w:p>
        </w:tc>
      </w:tr>
      <w:tr w14:paraId="3D39DE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4" w:hRule="atLeast"/>
          <w:jc w:val="center"/>
        </w:trPr>
        <w:tc>
          <w:tcPr>
            <w:tcW w:w="110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5991619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0" w:beforeAutospacing="1" w:after="100" w:afterAutospacing="1"/>
              <w:jc w:val="left"/>
              <w:textAlignment w:val="baseline"/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省分行（辖行）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  <w:t>普惠部审批意见：</w:t>
            </w:r>
          </w:p>
          <w:p w14:paraId="02AD351A">
            <w:pPr>
              <w:pStyle w:val="2"/>
              <w:rPr>
                <w:rFonts w:hint="eastAsia"/>
              </w:rPr>
            </w:pPr>
          </w:p>
          <w:p w14:paraId="149CD46A">
            <w:pPr>
              <w:rPr>
                <w:rFonts w:hint="eastAsia"/>
              </w:rPr>
            </w:pPr>
          </w:p>
          <w:p w14:paraId="1575AA1D">
            <w:pPr>
              <w:pStyle w:val="2"/>
              <w:rPr>
                <w:rFonts w:hint="eastAsia"/>
              </w:rPr>
            </w:pPr>
          </w:p>
          <w:p w14:paraId="1D3ADA5F">
            <w:pPr>
              <w:rPr>
                <w:rFonts w:hint="eastAsia"/>
              </w:rPr>
            </w:pPr>
          </w:p>
          <w:p w14:paraId="4940E0C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0" w:beforeAutospacing="1" w:after="100" w:afterAutospacing="1"/>
              <w:ind w:firstLine="3990" w:firstLineChars="1900"/>
              <w:jc w:val="left"/>
              <w:textAlignment w:val="baseline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 xml:space="preserve">审批人：             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 xml:space="preserve">               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 xml:space="preserve"> 日期：  　 年    月    日</w:t>
            </w:r>
          </w:p>
        </w:tc>
      </w:tr>
      <w:tr w14:paraId="5B9D37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1" w:hRule="atLeast"/>
          <w:jc w:val="center"/>
        </w:trPr>
        <w:tc>
          <w:tcPr>
            <w:tcW w:w="110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0802B60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0" w:beforeAutospacing="1" w:after="100" w:afterAutospacing="1"/>
              <w:jc w:val="left"/>
              <w:textAlignment w:val="baseline"/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省分行（辖行）</w:t>
            </w:r>
            <w:r>
              <w:rPr>
                <w:rFonts w:hint="eastAsia" w:ascii="宋体" w:hAnsi="宋体" w:cs="宋体"/>
                <w:b/>
                <w:snapToGrid w:val="0"/>
                <w:color w:val="000000"/>
                <w:kern w:val="0"/>
                <w:szCs w:val="21"/>
                <w:highlight w:val="none"/>
              </w:rPr>
              <w:t>分管行长审批意见：</w:t>
            </w:r>
          </w:p>
          <w:p w14:paraId="092FC32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0" w:beforeAutospacing="1" w:after="100" w:afterAutospacing="1"/>
              <w:ind w:firstLine="3360" w:firstLineChars="1600"/>
              <w:jc w:val="left"/>
              <w:textAlignment w:val="baseline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pPr>
          </w:p>
          <w:p w14:paraId="59A37825">
            <w:pPr>
              <w:pStyle w:val="2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pPr>
          </w:p>
          <w:p w14:paraId="5B5FFF65">
            <w:pP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pPr>
          </w:p>
          <w:p w14:paraId="4E5A23FF">
            <w:pPr>
              <w:pStyle w:val="2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pPr>
          </w:p>
          <w:p w14:paraId="5FD459E3">
            <w:pP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</w:pPr>
          </w:p>
          <w:p w14:paraId="15835491">
            <w:pPr>
              <w:pStyle w:val="2"/>
              <w:rPr>
                <w:rFonts w:hint="eastAsia"/>
                <w:lang w:val="en-US" w:eastAsia="zh-CN"/>
              </w:rPr>
            </w:pPr>
          </w:p>
          <w:p w14:paraId="6084C2B8">
            <w:pPr>
              <w:pStyle w:val="2"/>
              <w:rPr>
                <w:rFonts w:hint="eastAsia"/>
                <w:lang w:val="en-US" w:eastAsia="zh-CN"/>
              </w:rPr>
            </w:pPr>
          </w:p>
          <w:p w14:paraId="220DDAE1">
            <w:commentRangeStart w:id="21"/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00" w:beforeAutospacing="1" w:after="100" w:afterAutospacing="1"/>
              <w:ind w:firstLine="3360" w:firstLineChars="1600"/>
              <w:jc w:val="left"/>
              <w:textAlignment w:val="baseline"/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>分管行长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 xml:space="preserve">：           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  <w:lang w:val="en-US" w:eastAsia="zh-CN"/>
              </w:rPr>
              <w:t xml:space="preserve">               </w:t>
            </w:r>
            <w:r>
              <w:rPr>
                <w:rFonts w:hint="eastAsia" w:ascii="宋体" w:hAnsi="宋体" w:cs="宋体"/>
                <w:snapToGrid w:val="0"/>
                <w:color w:val="000000"/>
                <w:kern w:val="0"/>
                <w:szCs w:val="21"/>
                <w:highlight w:val="none"/>
              </w:rPr>
              <w:t xml:space="preserve"> 日期：  　 年    月    日</w:t>
            </w:r>
            <w:commentRangeEnd w:id="21"/>
            <w:r>
              <w:rPr>
                <w:rStyle w:val="CommentReference"/>
              </w:rPr>
              <w:commentReference w:id="21"/>
            </w:r>
          </w:p>
        </w:tc>
      </w:tr>
    </w:tbl>
    <w:p w14:paraId="1437A6E2">
      <w:pPr>
        <w:rPr>
          <w:rFonts w:ascii="宋体" w:hAnsi="宋体" w:cs="宋体"/>
          <w:sz w:val="28"/>
          <w:szCs w:val="36"/>
        </w:rPr>
      </w:pPr>
    </w:p>
    <w:sectPr>
      <w:footerReference r:id="rId3" w:type="default"/>
      <w:pgSz w:w="11907" w:h="16839"/>
      <w:pgMar w:top="1431" w:right="1640" w:bottom="400" w:left="1600" w:header="0" w:footer="0" w:gutter="0"/>
      <w:lnNumType w:countBy="0" w:distance="360"/>
      <w:cols w:space="720" w:num="1"/>
      <w:docGrid w:type="lines" w:linePitch="312" w:charSpace="0"/>
    </w:sectPr>
  </w:body>
</w:document>
</file>

<file path=word/comments.xml><?xml version="1.0" encoding="utf-8"?>
<w:comments xmlns:w="http://schemas.openxmlformats.org/wordprocessingml/2006/main">
  <w:comment w:id="0" w:author="信贷报告 Agent" w:date="2026-04-07T11:46:22Z" w:initials="Agent">
    <w:p>
      <w:r>
        <w:rPr>
          <w:rStyle w:val="CommentReference"/>
        </w:rPr>
        <w:annotationRef/>
      </w:r>
      <w:r>
        <w:t xml:space="preserve">该处“申报单位”仍为空白，请人工确认。</w:t>
      </w:r>
    </w:p>
  </w:comment>
  <w:comment w:id="1" w:author="信贷报告 Agent" w:date="2026-04-07T11:46:22Z" w:initials="Agent">
    <w:p>
      <w:r>
        <w:rPr>
          <w:rStyle w:val="CommentReference"/>
        </w:rPr>
        <w:annotationRef/>
      </w:r>
      <w:r>
        <w:t xml:space="preserve">该处“小类）”仍为空白，请人工确认。</w:t>
      </w:r>
    </w:p>
  </w:comment>
  <w:comment w:id="2" w:author="信贷报告 Agent" w:date="2026-04-07T11:46:22Z" w:initials="Agent">
    <w:p>
      <w:r>
        <w:rPr>
          <w:rStyle w:val="CommentReference"/>
        </w:rPr>
        <w:annotationRef/>
      </w:r>
      <w:r>
        <w:t xml:space="preserve">该处“绿通标识”仍为空白，请人工确认。</w:t>
      </w:r>
    </w:p>
  </w:comment>
  <w:comment w:id="3" w:author="信贷报告 Agent" w:date="2026-04-07T11:46:22Z" w:initials="Agent">
    <w:p>
      <w:r>
        <w:rPr>
          <w:rStyle w:val="CommentReference"/>
        </w:rPr>
        <w:annotationRef/>
      </w:r>
      <w:r>
        <w:t xml:space="preserve">该处“注册资本”仍为空白，请人工确认。</w:t>
      </w:r>
    </w:p>
  </w:comment>
  <w:comment w:id="4" w:author="信贷报告 Agent" w:date="2026-04-07T11:46:22Z" w:initials="Agent">
    <w:p>
      <w:r>
        <w:rPr>
          <w:rStyle w:val="CommentReference"/>
        </w:rPr>
        <w:annotationRef/>
      </w:r>
      <w:r>
        <w:t xml:space="preserve">该处“持股比例”仍为空白，请人工确认。</w:t>
      </w:r>
    </w:p>
  </w:comment>
  <w:comment w:id="5" w:author="信贷报告 Agent" w:date="2026-04-07T11:46:22Z" w:initials="Agent">
    <w:p>
      <w:r>
        <w:rPr>
          <w:rStyle w:val="CommentReference"/>
        </w:rPr>
        <w:annotationRef/>
      </w:r>
      <w:r>
        <w:t xml:space="preserve">该处“过往两年企业股权变动情况及变动原因”仍为空白，请人工确认。</w:t>
      </w:r>
    </w:p>
  </w:comment>
  <w:comment w:id="6" w:author="信贷报告 Agent" w:date="2026-04-07T11:46:22Z" w:initials="Agent">
    <w:p>
      <w:r>
        <w:rPr>
          <w:rStyle w:val="CommentReference"/>
        </w:rPr>
        <w:annotationRef/>
      </w:r>
      <w:r>
        <w:t xml:space="preserve">该处“合计在”仍为空白，请人工确认。</w:t>
      </w:r>
    </w:p>
  </w:comment>
  <w:comment w:id="7" w:author="信贷报告 Agent" w:date="2026-04-07T11:46:22Z" w:initials="Agent">
    <w:p>
      <w:r>
        <w:rPr>
          <w:rStyle w:val="CommentReference"/>
        </w:rPr>
        <w:annotationRef/>
      </w:r>
      <w:r>
        <w:t xml:space="preserve">该处“主要上游（前五大）”仍为空白，请人工确认。</w:t>
      </w:r>
    </w:p>
  </w:comment>
  <w:comment w:id="8" w:author="信贷报告 Agent" w:date="2026-04-07T11:46:22Z" w:initials="Agent">
    <w:p>
      <w:r>
        <w:rPr>
          <w:rStyle w:val="CommentReference"/>
        </w:rPr>
        <w:annotationRef/>
      </w:r>
      <w:r>
        <w:t xml:space="preserve">该处“主要下游（前五大）”仍为空白，请人工确认。</w:t>
      </w:r>
    </w:p>
  </w:comment>
  <w:comment w:id="9" w:author="信贷报告 Agent" w:date="2026-04-07T11:46:22Z" w:initials="Agent">
    <w:p>
      <w:r>
        <w:rPr>
          <w:rStyle w:val="CommentReference"/>
        </w:rPr>
        <w:annotationRef/>
      </w:r>
      <w:r>
        <w:t xml:space="preserve">该处“最新在手订单列表”仍为空白，请人工确认。</w:t>
      </w:r>
    </w:p>
  </w:comment>
  <w:comment w:id="10" w:author="信贷报告 Agent" w:date="2026-04-07T11:46:22Z" w:initials="Agent">
    <w:p>
      <w:r>
        <w:rPr>
          <w:rStyle w:val="CommentReference"/>
        </w:rPr>
        <w:annotationRef/>
      </w:r>
      <w:r>
        <w:t xml:space="preserve">该处“（若有）对外担保情况”仍为空白，请人工确认。</w:t>
      </w:r>
    </w:p>
  </w:comment>
  <w:comment w:id="11" w:author="信贷报告 Agent" w:date="2026-04-07T11:46:22Z" w:initials="Agent">
    <w:p>
      <w:r>
        <w:rPr>
          <w:rStyle w:val="CommentReference"/>
        </w:rPr>
        <w:annotationRef/>
      </w:r>
      <w:r>
        <w:t xml:space="preserve">该处“3.实控人配偶情况： 陈____ ，中国”仍为空白，请人工确认。</w:t>
      </w:r>
    </w:p>
  </w:comment>
  <w:comment w:id="12" w:author="信贷报告 Agent" w:date="2026-04-07T11:46:22Z" w:initials="Agent">
    <w:p>
      <w:r>
        <w:rPr>
          <w:rStyle w:val="CommentReference"/>
        </w:rPr>
        <w:annotationRef/>
      </w:r>
      <w:r>
        <w:t xml:space="preserve">该处“企业营运资金需求”仍为空白，请人工确认。</w:t>
      </w:r>
    </w:p>
  </w:comment>
  <w:comment w:id="13" w:author="信贷报告 Agent" w:date="2026-04-07T11:46:22Z" w:initials="Agent">
    <w:p>
      <w:r>
        <w:rPr>
          <w:rStyle w:val="CommentReference"/>
        </w:rPr>
        <w:annotationRef/>
      </w:r>
      <w:r>
        <w:t xml:space="preserve">该处“变动原因”仍为空白，请人工确认。</w:t>
      </w:r>
    </w:p>
  </w:comment>
  <w:comment w:id="14" w:author="信贷报告 Agent" w:date="2026-04-07T11:46:22Z" w:initials="Agent">
    <w:p>
      <w:r>
        <w:rPr>
          <w:rStyle w:val="CommentReference"/>
        </w:rPr>
        <w:annotationRef/>
      </w:r>
      <w:r>
        <w:t xml:space="preserve">该处“研发团队领头人均是从事”仍为空白，请人工确认。</w:t>
      </w:r>
    </w:p>
  </w:comment>
  <w:comment w:id="15" w:author="信贷报告 Agent" w:date="2026-04-07T11:46:22Z" w:initials="Agent">
    <w:p>
      <w:r>
        <w:rPr>
          <w:rStyle w:val="CommentReference"/>
        </w:rPr>
        <w:annotationRef/>
      </w:r>
      <w:r>
        <w:t xml:space="preserve">该处“2.申报授信方案： 拟申请给予借款人授信”仍为空白，请人工确认。</w:t>
      </w:r>
    </w:p>
  </w:comment>
  <w:comment w:id="16" w:author="信贷报告 Agent" w:date="2026-04-07T11:46:22Z" w:initials="Agent">
    <w:p>
      <w:r>
        <w:rPr>
          <w:rStyle w:val="CommentReference"/>
        </w:rPr>
        <w:annotationRef/>
      </w:r>
      <w:r>
        <w:t xml:space="preserve">该处“客户经理”仍为空白，请人工确认。</w:t>
      </w:r>
    </w:p>
  </w:comment>
  <w:comment w:id="17" w:author="信贷报告 Agent" w:date="2026-04-07T11:46:22Z" w:initials="Agent">
    <w:p>
      <w:r>
        <w:rPr>
          <w:rStyle w:val="CommentReference"/>
        </w:rPr>
        <w:annotationRef/>
      </w:r>
      <w:r>
        <w:t xml:space="preserve">该处“共同调查人”仍为空白，请人工确认。</w:t>
      </w:r>
    </w:p>
  </w:comment>
  <w:comment w:id="18" w:author="信贷报告 Agent" w:date="2026-04-07T11:46:22Z" w:initials="Agent">
    <w:p>
      <w:r>
        <w:rPr>
          <w:rStyle w:val="CommentReference"/>
        </w:rPr>
        <w:annotationRef/>
      </w:r>
      <w:r>
        <w:t xml:space="preserve">该处“二级支行行长”仍为空白，请人工确认。</w:t>
      </w:r>
    </w:p>
  </w:comment>
  <w:comment w:id="19" w:author="信贷报告 Agent" w:date="2026-04-07T11:46:22Z" w:initials="Agent">
    <w:p>
      <w:r>
        <w:rPr>
          <w:rStyle w:val="CommentReference"/>
        </w:rPr>
        <w:annotationRef/>
      </w:r>
      <w:r>
        <w:t xml:space="preserve">该处“分管行长”仍为空白，请人工确认。</w:t>
      </w:r>
    </w:p>
  </w:comment>
  <w:comment w:id="20" w:author="信贷报告 Agent" w:date="2026-04-07T11:46:22Z" w:initials="Agent">
    <w:p>
      <w:r>
        <w:rPr>
          <w:rStyle w:val="CommentReference"/>
        </w:rPr>
        <w:annotationRef/>
      </w:r>
      <w:r>
        <w:t xml:space="preserve">该处“行长”仍为空白，请人工确认。</w:t>
      </w:r>
    </w:p>
  </w:comment>
  <w:comment w:id="21" w:author="信贷报告 Agent" w:date="2026-04-07T11:46:22Z" w:initials="Agent">
    <w:p>
      <w:r>
        <w:rPr>
          <w:rStyle w:val="CommentReference"/>
        </w:rPr>
        <w:annotationRef/>
      </w:r>
      <w:r>
        <w:t xml:space="preserve">该处“分管行长”仍为空白，请人工确认。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 2">
    <w:panose1 w:val="05020102010507070707"/>
    <w:charset w:val="02"/>
    <w:family w:val="auto"/>
    <w:pitch w:val="default"/>
    <w:sig w:usb0="00000000" w:usb1="00000000" w:usb2="00000000" w:usb3="00000000" w:csb0="8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方正仿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国标宋体">
    <w:altName w:val="宋体"/>
    <w:panose1 w:val="02000500000000000000"/>
    <w:charset w:val="86"/>
    <w:family w:val="auto"/>
    <w:pitch w:val="default"/>
    <w:sig w:usb0="00000001" w:usb1="28000000" w:usb2="00000000" w:usb3="00000000" w:csb0="00060007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D670D4">
    <w:pPr>
      <w:spacing w:line="14" w:lineRule="auto"/>
      <w:rPr>
        <w:rFonts w:ascii="Times New Roman"/>
        <w:sz w:val="2"/>
      </w:rPr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F7F6F59"/>
    <w:multiLevelType w:val="singleLevel"/>
    <w:tmpl w:val="6F7F6F59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5E3714"/>
    <w:rsid w:val="00764A8B"/>
    <w:rsid w:val="00A166EE"/>
    <w:rsid w:val="00D90AA0"/>
    <w:rsid w:val="06DB1BB4"/>
    <w:rsid w:val="07B27654"/>
    <w:rsid w:val="07E763E4"/>
    <w:rsid w:val="0BC762E6"/>
    <w:rsid w:val="0D954BD9"/>
    <w:rsid w:val="0EC97A27"/>
    <w:rsid w:val="12E93877"/>
    <w:rsid w:val="14953789"/>
    <w:rsid w:val="158201C9"/>
    <w:rsid w:val="1637656C"/>
    <w:rsid w:val="171C0C53"/>
    <w:rsid w:val="173EF8C1"/>
    <w:rsid w:val="177A55D7"/>
    <w:rsid w:val="17F40B37"/>
    <w:rsid w:val="17FB581B"/>
    <w:rsid w:val="18324D87"/>
    <w:rsid w:val="18D0254B"/>
    <w:rsid w:val="1BFF4D91"/>
    <w:rsid w:val="1C1C6F93"/>
    <w:rsid w:val="1D96A11F"/>
    <w:rsid w:val="1FAF8FBB"/>
    <w:rsid w:val="1FF1A6AF"/>
    <w:rsid w:val="1FF6DC3C"/>
    <w:rsid w:val="1FFF045A"/>
    <w:rsid w:val="27EE74B0"/>
    <w:rsid w:val="28C699E3"/>
    <w:rsid w:val="2A8FE461"/>
    <w:rsid w:val="2B7B0304"/>
    <w:rsid w:val="2BB6058D"/>
    <w:rsid w:val="2C9E0B69"/>
    <w:rsid w:val="2D0614F6"/>
    <w:rsid w:val="2FFB9424"/>
    <w:rsid w:val="30D04E4D"/>
    <w:rsid w:val="30DB0B5F"/>
    <w:rsid w:val="30F1FCF6"/>
    <w:rsid w:val="313D566B"/>
    <w:rsid w:val="33F81E92"/>
    <w:rsid w:val="34864AAC"/>
    <w:rsid w:val="35A5DC4D"/>
    <w:rsid w:val="36846A8F"/>
    <w:rsid w:val="373BBE7D"/>
    <w:rsid w:val="37759545"/>
    <w:rsid w:val="3793C324"/>
    <w:rsid w:val="37E93666"/>
    <w:rsid w:val="38D27C6C"/>
    <w:rsid w:val="39BA7E3D"/>
    <w:rsid w:val="3A1D799F"/>
    <w:rsid w:val="3BDEE4E1"/>
    <w:rsid w:val="3BFAC4BE"/>
    <w:rsid w:val="3BFDBDB4"/>
    <w:rsid w:val="3C0F569F"/>
    <w:rsid w:val="3D57611A"/>
    <w:rsid w:val="3DED5217"/>
    <w:rsid w:val="3DFA07B6"/>
    <w:rsid w:val="3E74B328"/>
    <w:rsid w:val="3F270550"/>
    <w:rsid w:val="3F70FCFD"/>
    <w:rsid w:val="3F7F609F"/>
    <w:rsid w:val="3FBBC75F"/>
    <w:rsid w:val="3FBCBD91"/>
    <w:rsid w:val="3FCDCA15"/>
    <w:rsid w:val="3FDBDE28"/>
    <w:rsid w:val="3FDD5086"/>
    <w:rsid w:val="3FEF1A08"/>
    <w:rsid w:val="43CB5B47"/>
    <w:rsid w:val="4457223E"/>
    <w:rsid w:val="45FDF073"/>
    <w:rsid w:val="47F3ED6F"/>
    <w:rsid w:val="497B672A"/>
    <w:rsid w:val="49B9018B"/>
    <w:rsid w:val="4FD5188D"/>
    <w:rsid w:val="501609F4"/>
    <w:rsid w:val="50627984"/>
    <w:rsid w:val="50DB1139"/>
    <w:rsid w:val="514C4929"/>
    <w:rsid w:val="537E3442"/>
    <w:rsid w:val="53B7A129"/>
    <w:rsid w:val="57523C46"/>
    <w:rsid w:val="57630E24"/>
    <w:rsid w:val="577FF43F"/>
    <w:rsid w:val="579FB2CC"/>
    <w:rsid w:val="57AF1F58"/>
    <w:rsid w:val="57BCB87C"/>
    <w:rsid w:val="57BE9DA5"/>
    <w:rsid w:val="57FA609C"/>
    <w:rsid w:val="57FF7902"/>
    <w:rsid w:val="588340F0"/>
    <w:rsid w:val="5A066DAE"/>
    <w:rsid w:val="5B7467F5"/>
    <w:rsid w:val="5BF472D2"/>
    <w:rsid w:val="5EE3BF08"/>
    <w:rsid w:val="5EE549C7"/>
    <w:rsid w:val="5EFC0AD9"/>
    <w:rsid w:val="5FCF9DAA"/>
    <w:rsid w:val="61F4646E"/>
    <w:rsid w:val="65793A8D"/>
    <w:rsid w:val="66BFA5C4"/>
    <w:rsid w:val="67CDF47D"/>
    <w:rsid w:val="67FE7F83"/>
    <w:rsid w:val="6877E72C"/>
    <w:rsid w:val="69CF1561"/>
    <w:rsid w:val="6A1D064D"/>
    <w:rsid w:val="6BBB34A1"/>
    <w:rsid w:val="6BEF2A7E"/>
    <w:rsid w:val="6D6E0EB8"/>
    <w:rsid w:val="6D9376D1"/>
    <w:rsid w:val="6E5AA136"/>
    <w:rsid w:val="6E6728B5"/>
    <w:rsid w:val="6E82A079"/>
    <w:rsid w:val="6F7EF780"/>
    <w:rsid w:val="6FBD494C"/>
    <w:rsid w:val="6FDE41E7"/>
    <w:rsid w:val="70603282"/>
    <w:rsid w:val="72AD7DE9"/>
    <w:rsid w:val="73FC0773"/>
    <w:rsid w:val="746F82C4"/>
    <w:rsid w:val="749F6B6E"/>
    <w:rsid w:val="74CD1A79"/>
    <w:rsid w:val="74EB867B"/>
    <w:rsid w:val="75025FC3"/>
    <w:rsid w:val="75096B37"/>
    <w:rsid w:val="76A35668"/>
    <w:rsid w:val="76BF2927"/>
    <w:rsid w:val="77CFD1B9"/>
    <w:rsid w:val="77E53724"/>
    <w:rsid w:val="77F6BA3B"/>
    <w:rsid w:val="77FA78CD"/>
    <w:rsid w:val="791FC5D3"/>
    <w:rsid w:val="79CC6043"/>
    <w:rsid w:val="79EAB1FE"/>
    <w:rsid w:val="7AF60429"/>
    <w:rsid w:val="7B37416B"/>
    <w:rsid w:val="7B6F21EA"/>
    <w:rsid w:val="7B7D0DE6"/>
    <w:rsid w:val="7B7F9DFF"/>
    <w:rsid w:val="7BB4D559"/>
    <w:rsid w:val="7BB76175"/>
    <w:rsid w:val="7BBEA13F"/>
    <w:rsid w:val="7BF2C9AF"/>
    <w:rsid w:val="7BF5200F"/>
    <w:rsid w:val="7BFC5776"/>
    <w:rsid w:val="7BFEF90D"/>
    <w:rsid w:val="7BFF90D8"/>
    <w:rsid w:val="7C9DAEF5"/>
    <w:rsid w:val="7CAB857A"/>
    <w:rsid w:val="7D1F8653"/>
    <w:rsid w:val="7D6DD25B"/>
    <w:rsid w:val="7D796FD0"/>
    <w:rsid w:val="7DABF984"/>
    <w:rsid w:val="7DD46EE1"/>
    <w:rsid w:val="7DE71A8A"/>
    <w:rsid w:val="7DFB02C7"/>
    <w:rsid w:val="7DFDE312"/>
    <w:rsid w:val="7E5A887A"/>
    <w:rsid w:val="7E75556D"/>
    <w:rsid w:val="7E7F7EC3"/>
    <w:rsid w:val="7E97E85B"/>
    <w:rsid w:val="7EB7A5BA"/>
    <w:rsid w:val="7EDB0311"/>
    <w:rsid w:val="7F0B3013"/>
    <w:rsid w:val="7F19CC3F"/>
    <w:rsid w:val="7F6F5D1E"/>
    <w:rsid w:val="7F75CA29"/>
    <w:rsid w:val="7FB7E507"/>
    <w:rsid w:val="7FBB8417"/>
    <w:rsid w:val="7FD59CA6"/>
    <w:rsid w:val="7FDE79A3"/>
    <w:rsid w:val="7FDF599D"/>
    <w:rsid w:val="7FE209B4"/>
    <w:rsid w:val="7FFB0597"/>
    <w:rsid w:val="7FFB9568"/>
    <w:rsid w:val="7FFDF2AF"/>
    <w:rsid w:val="7FFE13F7"/>
    <w:rsid w:val="7FFE3B48"/>
    <w:rsid w:val="7FFE6769"/>
    <w:rsid w:val="7FFF4144"/>
    <w:rsid w:val="7FFFA5E9"/>
    <w:rsid w:val="7FFFAB0E"/>
    <w:rsid w:val="9AFDC22D"/>
    <w:rsid w:val="9B7F6633"/>
    <w:rsid w:val="9BF7D46E"/>
    <w:rsid w:val="9BFE7F78"/>
    <w:rsid w:val="9DF6EE3C"/>
    <w:rsid w:val="9F3BFD3A"/>
    <w:rsid w:val="9F6E9328"/>
    <w:rsid w:val="9FCF6C0F"/>
    <w:rsid w:val="A2BBC82A"/>
    <w:rsid w:val="A95F5463"/>
    <w:rsid w:val="ADDF2F43"/>
    <w:rsid w:val="AEBEA1C7"/>
    <w:rsid w:val="AF2B76F3"/>
    <w:rsid w:val="AFFF0EDA"/>
    <w:rsid w:val="B1CAA8EA"/>
    <w:rsid w:val="B37DFDC9"/>
    <w:rsid w:val="B3F7B7F6"/>
    <w:rsid w:val="B6FBF6E5"/>
    <w:rsid w:val="B7CE9CFB"/>
    <w:rsid w:val="B7EEA521"/>
    <w:rsid w:val="B7FB75CC"/>
    <w:rsid w:val="B91E3CE8"/>
    <w:rsid w:val="BBBFF6CE"/>
    <w:rsid w:val="BBDD8E60"/>
    <w:rsid w:val="BBFA39B1"/>
    <w:rsid w:val="BD56C7D7"/>
    <w:rsid w:val="BDB645ED"/>
    <w:rsid w:val="BDE59C8C"/>
    <w:rsid w:val="BDFD2BFC"/>
    <w:rsid w:val="BFBBF616"/>
    <w:rsid w:val="BFBF4B23"/>
    <w:rsid w:val="BFC2706C"/>
    <w:rsid w:val="BFEFDE76"/>
    <w:rsid w:val="BFF80A83"/>
    <w:rsid w:val="BFFF826B"/>
    <w:rsid w:val="BFFFCF0C"/>
    <w:rsid w:val="CAFFF224"/>
    <w:rsid w:val="CBE30829"/>
    <w:rsid w:val="CEEB168C"/>
    <w:rsid w:val="CFB58096"/>
    <w:rsid w:val="CFFD9B9B"/>
    <w:rsid w:val="D4BDD89C"/>
    <w:rsid w:val="D8CF4985"/>
    <w:rsid w:val="DA9FAEA0"/>
    <w:rsid w:val="DBBF06B3"/>
    <w:rsid w:val="DBFADF63"/>
    <w:rsid w:val="DC97FE40"/>
    <w:rsid w:val="DD5D61C1"/>
    <w:rsid w:val="DEBE507F"/>
    <w:rsid w:val="DF7BF9BB"/>
    <w:rsid w:val="DFAF5187"/>
    <w:rsid w:val="E536D225"/>
    <w:rsid w:val="E68FEED7"/>
    <w:rsid w:val="E7BF4536"/>
    <w:rsid w:val="E7FB50B7"/>
    <w:rsid w:val="E90C9038"/>
    <w:rsid w:val="EBBB1A7C"/>
    <w:rsid w:val="EBFF4E77"/>
    <w:rsid w:val="EF571E55"/>
    <w:rsid w:val="F0F318BB"/>
    <w:rsid w:val="F1FEDC16"/>
    <w:rsid w:val="F29B5B29"/>
    <w:rsid w:val="F3B721E5"/>
    <w:rsid w:val="F5BFFC75"/>
    <w:rsid w:val="F5FBF463"/>
    <w:rsid w:val="F5FFEF68"/>
    <w:rsid w:val="F6B6CB5F"/>
    <w:rsid w:val="F6F79D67"/>
    <w:rsid w:val="F6FF59A5"/>
    <w:rsid w:val="F7F55AE5"/>
    <w:rsid w:val="F7F9CB77"/>
    <w:rsid w:val="F7FA6CF9"/>
    <w:rsid w:val="F7FDCC31"/>
    <w:rsid w:val="F7FE7A3C"/>
    <w:rsid w:val="F7FF210A"/>
    <w:rsid w:val="F87AE0FA"/>
    <w:rsid w:val="F8B3ED8C"/>
    <w:rsid w:val="F97E36E3"/>
    <w:rsid w:val="F9BFE6BB"/>
    <w:rsid w:val="FA9BE760"/>
    <w:rsid w:val="FB0EA37A"/>
    <w:rsid w:val="FBABD93E"/>
    <w:rsid w:val="FBAF2E00"/>
    <w:rsid w:val="FBB70D30"/>
    <w:rsid w:val="FBBD53CF"/>
    <w:rsid w:val="FBBFB228"/>
    <w:rsid w:val="FC7BB9D5"/>
    <w:rsid w:val="FC8E76F0"/>
    <w:rsid w:val="FCCFCD11"/>
    <w:rsid w:val="FD735184"/>
    <w:rsid w:val="FD7E90A0"/>
    <w:rsid w:val="FD7F50C5"/>
    <w:rsid w:val="FDDDBF61"/>
    <w:rsid w:val="FDFFAC37"/>
    <w:rsid w:val="FEFCB2C5"/>
    <w:rsid w:val="FEFD0F1C"/>
    <w:rsid w:val="FF55AB7A"/>
    <w:rsid w:val="FF577926"/>
    <w:rsid w:val="FF5AEF6E"/>
    <w:rsid w:val="FF7F287B"/>
    <w:rsid w:val="FFB799BA"/>
    <w:rsid w:val="FFBF0732"/>
    <w:rsid w:val="FFBF5853"/>
    <w:rsid w:val="FFC78ACE"/>
    <w:rsid w:val="FFD6396D"/>
    <w:rsid w:val="FFDB324A"/>
    <w:rsid w:val="FFDB57F9"/>
    <w:rsid w:val="FFDDB20A"/>
    <w:rsid w:val="FFE69971"/>
    <w:rsid w:val="FFE7A732"/>
    <w:rsid w:val="FFF6BA21"/>
    <w:rsid w:val="FFF6BA63"/>
    <w:rsid w:val="FFF6DEE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1" w:semiHidden="0" w:name="heading 1"/>
    <w:lsdException w:qFormat="1" w:uiPriority="9" w:semiHidden="0" w:name="heading 2"/>
    <w:lsdException w:qFormat="1" w:uiPriority="9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iPriority="39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iPriority="99" w:semiHidden="0" w:name="Normal Indent"/>
    <w:lsdException w:unhideWhenUsed="0" w:uiPriority="0" w:semiHidden="0" w:name="footnote text"/>
    <w:lsdException w:qFormat="1" w:uiPriority="99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kern w:val="2"/>
      <w:sz w:val="21"/>
      <w:szCs w:val="24"/>
      <w:lang w:val="en-US" w:eastAsia="zh-CN" w:bidi="ar-SA"/>
    </w:rPr>
  </w:style>
  <w:style w:type="paragraph" w:styleId="3">
    <w:name w:val="heading 1"/>
    <w:basedOn w:val="1"/>
    <w:next w:val="1"/>
    <w:qFormat/>
    <w:uiPriority w:val="1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4">
    <w:name w:val="heading 2"/>
    <w:basedOn w:val="1"/>
    <w:next w:val="1"/>
    <w:unhideWhenUsed/>
    <w:qFormat/>
    <w:uiPriority w:val="9"/>
    <w:pPr>
      <w:keepNext/>
      <w:spacing w:before="240" w:after="60"/>
      <w:outlineLvl w:val="1"/>
    </w:pPr>
    <w:rPr>
      <w:rFonts w:ascii="Cambria" w:hAnsi="Cambria" w:eastAsia="宋体"/>
      <w:b/>
      <w:bCs/>
      <w:i/>
      <w:iCs/>
      <w:sz w:val="28"/>
      <w:szCs w:val="28"/>
    </w:rPr>
  </w:style>
  <w:style w:type="paragraph" w:styleId="2">
    <w:name w:val="heading 3"/>
    <w:basedOn w:val="1"/>
    <w:next w:val="1"/>
    <w:unhideWhenUsed/>
    <w:qFormat/>
    <w:uiPriority w:val="9"/>
    <w:pPr>
      <w:keepNext/>
      <w:spacing w:before="240" w:after="60"/>
      <w:outlineLvl w:val="2"/>
    </w:pPr>
    <w:rPr>
      <w:rFonts w:ascii="Cambria" w:hAnsi="Cambria" w:eastAsia="宋体"/>
      <w:b/>
      <w:bCs/>
      <w:sz w:val="26"/>
      <w:szCs w:val="26"/>
    </w:rPr>
  </w:style>
  <w:style w:type="character" w:default="1" w:styleId="15">
    <w:name w:val="Default Paragraph Font"/>
    <w:semiHidden/>
    <w:uiPriority w:val="0"/>
  </w:style>
  <w:style w:type="table" w:default="1" w:styleId="13">
    <w:name w:val="Normal Table"/>
    <w:semiHidden/>
    <w:uiPriority w:val="0"/>
    <w:tblPr>
      <w:tblStyle w:val="13"/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Indent"/>
    <w:basedOn w:val="1"/>
    <w:next w:val="1"/>
    <w:unhideWhenUsed/>
    <w:qFormat/>
    <w:uiPriority w:val="99"/>
    <w:pPr>
      <w:ind w:firstLine="420" w:firstLineChars="200"/>
    </w:pPr>
  </w:style>
  <w:style w:type="paragraph" w:styleId="6">
    <w:name w:val="annotation text"/>
    <w:basedOn w:val="1"/>
    <w:unhideWhenUsed/>
    <w:qFormat/>
    <w:uiPriority w:val="99"/>
    <w:pPr>
      <w:jc w:val="left"/>
    </w:pPr>
  </w:style>
  <w:style w:type="paragraph" w:styleId="7">
    <w:name w:val="Body Text"/>
    <w:basedOn w:val="1"/>
    <w:next w:val="8"/>
    <w:qFormat/>
    <w:uiPriority w:val="0"/>
    <w:rPr>
      <w:rFonts w:ascii="华文中宋" w:hAnsi="华文中宋" w:eastAsia="华文中宋"/>
      <w:sz w:val="24"/>
    </w:rPr>
  </w:style>
  <w:style w:type="paragraph" w:styleId="8">
    <w:name w:val="Body Text Indent"/>
    <w:basedOn w:val="1"/>
    <w:qFormat/>
    <w:uiPriority w:val="0"/>
    <w:pPr>
      <w:ind w:firstLine="560" w:firstLineChars="200"/>
    </w:pPr>
    <w:rPr>
      <w:rFonts w:ascii="Times New Roman" w:hAnsi="Times New Roman" w:eastAsia="宋体" w:cs="Times New Roman"/>
      <w:sz w:val="28"/>
      <w:szCs w:val="24"/>
    </w:rPr>
  </w:style>
  <w:style w:type="paragraph" w:styleId="9">
    <w:name w:val="footer"/>
    <w:basedOn w:val="1"/>
    <w:link w:val="16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0">
    <w:name w:val="header"/>
    <w:basedOn w:val="1"/>
    <w:link w:val="17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1">
    <w:name w:val="toc 1"/>
    <w:basedOn w:val="1"/>
    <w:next w:val="1"/>
    <w:unhideWhenUsed/>
    <w:qFormat/>
    <w:uiPriority w:val="39"/>
    <w:pPr>
      <w:widowControl/>
      <w:spacing w:after="100" w:line="259" w:lineRule="auto"/>
      <w:jc w:val="left"/>
    </w:pPr>
    <w:rPr>
      <w:rFonts w:cs="Times New Roman"/>
      <w:kern w:val="0"/>
      <w:sz w:val="22"/>
    </w:rPr>
  </w:style>
  <w:style w:type="paragraph" w:styleId="12">
    <w:name w:val="Normal (Web)"/>
    <w:basedOn w:val="1"/>
    <w:unhideWhenUsed/>
    <w:qFormat/>
    <w:uiPriority w:val="99"/>
    <w:pPr>
      <w:spacing w:before="100" w:beforeAutospacing="1" w:after="100" w:afterAutospacing="1"/>
    </w:pPr>
    <w:rPr>
      <w:rFonts w:hint="eastAsia" w:ascii="宋体" w:hAnsi="宋体" w:eastAsia="宋体"/>
    </w:rPr>
  </w:style>
  <w:style w:type="table" w:styleId="14">
    <w:name w:val="Table Grid"/>
    <w:qFormat/>
    <w:uiPriority w:val="59"/>
    <w:rPr>
      <w:lang w:val="en-US" w:eastAsia="zh-CN" w:bidi="ar-SA"/>
    </w:rPr>
    <w:tblPr>
      <w:tblStyle w:val="13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6">
    <w:name w:val="页脚 Char"/>
    <w:basedOn w:val="15"/>
    <w:link w:val="9"/>
    <w:uiPriority w:val="0"/>
    <w:rPr>
      <w:kern w:val="2"/>
      <w:sz w:val="18"/>
      <w:szCs w:val="18"/>
    </w:rPr>
  </w:style>
  <w:style w:type="character" w:customStyle="1" w:styleId="17">
    <w:name w:val="页眉 Char"/>
    <w:basedOn w:val="15"/>
    <w:link w:val="10"/>
    <w:uiPriority w:val="0"/>
    <w:rPr>
      <w:kern w:val="2"/>
      <w:sz w:val="18"/>
      <w:szCs w:val="18"/>
    </w:rPr>
  </w:style>
  <w:style w:type="paragraph" w:customStyle="1" w:styleId="18">
    <w:name w:val="Default"/>
    <w:unhideWhenUsed/>
    <w:qFormat/>
    <w:uiPriority w:val="99"/>
    <w:pPr>
      <w:widowControl w:val="0"/>
      <w:autoSpaceDE w:val="0"/>
      <w:autoSpaceDN w:val="0"/>
      <w:adjustRightInd w:val="0"/>
    </w:pPr>
    <w:rPr>
      <w:rFonts w:hint="eastAsia" w:ascii="宋体" w:hAnsi="宋体" w:eastAsia="宋体" w:cs="Times New Roman"/>
      <w:color w:val="000000"/>
      <w:sz w:val="24"/>
      <w:szCs w:val="22"/>
      <w:lang w:val="en-US" w:eastAsia="zh-CN" w:bidi="ar-SA"/>
    </w:rPr>
  </w:style>
  <w:style w:type="paragraph" w:styleId="19">
    <w:name w:val="List Paragraph"/>
    <w:basedOn w:val="1"/>
    <w:qFormat/>
    <w:uiPriority w:val="34"/>
    <w:pPr>
      <w:ind w:firstLine="420" w:firstLineChars="200"/>
    </w:pPr>
  </w:style>
  <w:style w:type="character" w:customStyle="1" w:styleId="20">
    <w:name w:val="font21"/>
    <w:qFormat/>
    <w:uiPriority w:val="0"/>
    <w:rPr>
      <w:rFonts w:ascii="微软雅黑" w:hAnsi="微软雅黑" w:eastAsia="微软雅黑" w:cs="微软雅黑"/>
      <w:color w:val="000000"/>
      <w:sz w:val="22"/>
      <w:szCs w:val="22"/>
      <w:u w:val="none"/>
    </w:r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Comments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11</Pages>
  <Words>7635</Words>
  <Characters>8303</Characters>
  <Lines>1</Lines>
  <Paragraphs>1</Paragraphs>
  <TotalTime>5</TotalTime>
  <ScaleCrop>false</ScaleCrop>
  <LinksUpToDate>false</LinksUpToDate>
  <CharactersWithSpaces>10179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2022-01-27T09:10:00Z</dcterms:created>
  <dc:creator>bocsz</dc:creator>
  <cp:lastModifiedBy>Mr</cp:lastModifiedBy>
  <cp:lastPrinted>2025-12-06T01:27:47Z</cp:lastPrinted>
  <dcterms:modified xsi:type="dcterms:W3CDTF">2026-03-25T08:18:29Z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93653D5F18F94F03932E1DB54AB64C20_13</vt:lpwstr>
  </property>
</Properties>
</file>