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申报单位：福建中锐网络股份有限公司</w:t>
              <w:tab/>
              <w:tab/>
              <w:t>客户经理：                联系电话：</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commentReference w:id="0"/>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16956万元；上年度销售额 10010万元；上年度末员工人数 材料未提供相关信息。</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材料未提供相关信息】</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 12个月；授信期限： 1 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担保方式：500万抵押+500万信用；【上一期授信担保方式：  材料未提供相关信息】</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PD评级：6级【上一期授信评级：  材料未提供相关信息】</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材</w:t>
            </w:r>
            <w:r>
              <w:rPr>
                <w:rFonts w:hint="eastAsia" w:ascii="宋体" w:hAnsi="宋体" w:cs="宋体"/>
                <w:snapToGrid w:val="0"/>
                <w:color w:val="000000"/>
                <w:kern w:val="0"/>
                <w:szCs w:val="21"/>
                <w:highlight w:val="none"/>
                <w:u w:val="single"/>
              </w:rPr>
              <w:t>料</w:t>
            </w:r>
            <w:r>
              <w:rPr>
                <w:rFonts w:hint="eastAsia" w:ascii="宋体" w:hAnsi="宋体" w:cs="宋体"/>
                <w:snapToGrid w:val="0"/>
                <w:color w:val="000000"/>
                <w:kern w:val="0"/>
                <w:szCs w:val="21"/>
                <w:highlight w:val="none"/>
                <w:u w:val="single"/>
                <w:lang w:val="en-US" w:eastAsia="zh-CN"/>
              </w:rPr>
              <w:t>未</w:t>
            </w:r>
            <w:r>
              <w:rPr>
                <w:rFonts w:hint="eastAsia" w:ascii="宋体" w:hAnsi="宋体" w:cs="宋体"/>
                <w:snapToGrid w:val="0"/>
                <w:color w:val="000000"/>
                <w:kern w:val="0"/>
                <w:szCs w:val="21"/>
                <w:highlight w:val="none"/>
                <w:u w:val="single"/>
              </w:rPr>
              <w:t>提</w:t>
            </w:r>
            <w:r>
              <w:rPr>
                <w:rFonts w:hint="eastAsia" w:ascii="宋体" w:hAnsi="宋体" w:cs="宋体"/>
                <w:snapToGrid w:val="0"/>
                <w:color w:val="000000"/>
                <w:kern w:val="0"/>
                <w:szCs w:val="21"/>
                <w:highlight w:val="none"/>
              </w:rPr>
              <w:t>供</w:t>
            </w:r>
            <w:r>
              <w:rPr>
                <w:rFonts w:hint="eastAsia" w:ascii="宋体" w:hAnsi="宋体" w:cs="宋体"/>
                <w:snapToGrid w:val="0"/>
                <w:color w:val="000000"/>
                <w:kern w:val="0"/>
                <w:szCs w:val="21"/>
                <w:highlight w:val="none"/>
                <w:lang w:val="en-US" w:eastAsia="zh-CN"/>
              </w:rPr>
              <w:t>经</w:t>
            </w:r>
            <w:r>
              <w:rPr>
                <w:rFonts w:hint="eastAsia" w:ascii="宋体" w:hAnsi="宋体" w:cs="宋体"/>
                <w:snapToGrid w:val="0"/>
                <w:color w:val="000000"/>
                <w:kern w:val="0"/>
                <w:szCs w:val="21"/>
                <w:highlight w:val="none"/>
              </w:rPr>
              <w:t>营</w:t>
            </w:r>
            <w:r>
              <w:rPr>
                <w:rFonts w:hint="eastAsia" w:ascii="宋体" w:hAnsi="宋体" w:cs="宋体"/>
                <w:snapToGrid w:val="0"/>
                <w:color w:val="000000"/>
                <w:kern w:val="0"/>
                <w:szCs w:val="21"/>
                <w:highlight w:val="none"/>
                <w:lang w:val="en-US" w:eastAsia="zh-CN"/>
              </w:rPr>
              <w:t>场</w:t>
            </w:r>
            <w:r>
              <w:rPr>
                <w:rFonts w:hint="eastAsia" w:ascii="宋体" w:hAnsi="宋体" w:cs="宋体"/>
                <w:snapToGrid w:val="0"/>
                <w:color w:val="000000"/>
                <w:kern w:val="0"/>
                <w:szCs w:val="21"/>
                <w:highlight w:val="none"/>
              </w:rPr>
              <w:t>所</w:t>
            </w:r>
            <w:r>
              <w:rPr>
                <w:rFonts w:hint="eastAsia" w:ascii="宋体" w:hAnsi="宋体" w:cs="宋体"/>
                <w:snapToGrid w:val="0"/>
                <w:color w:val="000000"/>
                <w:kern w:val="0"/>
                <w:szCs w:val="21"/>
                <w:highlight w:val="none"/>
                <w:lang w:val="en-US" w:eastAsia="zh-CN"/>
              </w:rPr>
              <w:t>的</w:t>
            </w:r>
            <w:r>
              <w:rPr>
                <w:rFonts w:hint="eastAsia" w:ascii="宋体" w:hAnsi="宋体" w:cs="宋体"/>
                <w:snapToGrid w:val="0"/>
                <w:color w:val="000000"/>
                <w:kern w:val="0"/>
                <w:szCs w:val="21"/>
                <w:highlight w:val="none"/>
              </w:rPr>
              <w:t>具</w:t>
            </w:r>
            <w:r>
              <w:rPr>
                <w:rFonts w:hint="eastAsia" w:ascii="宋体" w:hAnsi="宋体" w:cs="宋体"/>
                <w:snapToGrid w:val="0"/>
                <w:color w:val="000000"/>
                <w:kern w:val="0"/>
                <w:szCs w:val="21"/>
                <w:highlight w:val="none"/>
                <w:lang w:val="en-US" w:eastAsia="zh-CN"/>
              </w:rPr>
              <w:t>体</w:t>
            </w:r>
            <w:r>
              <w:rPr>
                <w:rFonts w:hint="eastAsia" w:ascii="宋体" w:hAnsi="宋体" w:cs="宋体"/>
                <w:snapToGrid w:val="0"/>
                <w:color w:val="000000"/>
                <w:kern w:val="0"/>
                <w:szCs w:val="21"/>
                <w:highlight w:val="none"/>
              </w:rPr>
              <w:t>面</w:t>
            </w:r>
            <w:r>
              <w:rPr>
                <w:rFonts w:hint="eastAsia" w:ascii="宋体" w:hAnsi="宋体" w:cs="宋体"/>
                <w:snapToGrid w:val="0"/>
                <w:color w:val="000000"/>
                <w:kern w:val="0"/>
                <w:szCs w:val="21"/>
                <w:highlight w:val="none"/>
                <w:u w:val="single"/>
              </w:rPr>
              <w:t>积</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权属</w:t>
            </w:r>
            <w:r>
              <w:rPr>
                <w:rFonts w:hint="eastAsia" w:ascii="宋体" w:hAnsi="宋体" w:cs="宋体"/>
                <w:snapToGrid w:val="0"/>
                <w:color w:val="000000"/>
                <w:kern w:val="0"/>
                <w:szCs w:val="21"/>
                <w:highlight w:val="none"/>
                <w:u w:val="single"/>
                <w:lang w:eastAsia="zh-CN"/>
              </w:rPr>
              <w:t>及</w:t>
            </w:r>
            <w:r>
              <w:rPr>
                <w:rFonts w:hint="eastAsia" w:ascii="宋体" w:hAnsi="宋体" w:cs="宋体"/>
                <w:snapToGrid w:val="0"/>
                <w:color w:val="000000"/>
                <w:kern w:val="0"/>
                <w:szCs w:val="21"/>
                <w:highlight w:val="none"/>
                <w:u w:val="single"/>
                <w:lang w:val="en-US" w:eastAsia="zh-CN"/>
              </w:rPr>
              <w:t>抵</w:t>
            </w:r>
            <w:r>
              <w:rPr>
                <w:rFonts w:hint="eastAsia" w:ascii="宋体" w:hAnsi="宋体" w:cs="宋体"/>
                <w:snapToGrid w:val="0"/>
                <w:color w:val="000000"/>
                <w:kern w:val="0"/>
                <w:szCs w:val="21"/>
                <w:highlight w:val="none"/>
                <w:u w:val="single"/>
              </w:rPr>
              <w:t>押情</w:t>
            </w:r>
            <w:r>
              <w:rPr>
                <w:rFonts w:hint="eastAsia" w:ascii="宋体" w:hAnsi="宋体" w:cs="宋体"/>
                <w:snapToGrid w:val="0"/>
                <w:color w:val="000000"/>
                <w:kern w:val="0"/>
                <w:szCs w:val="21"/>
                <w:highlight w:val="none"/>
                <w:u w:val="single"/>
                <w:lang w:val="en-US" w:eastAsia="zh-CN"/>
              </w:rPr>
              <w:t>况</w:t>
            </w:r>
            <w:r>
              <w:rPr>
                <w:rFonts w:hint="eastAsia" w:ascii="宋体" w:hAnsi="宋体" w:cs="仿宋"/>
                <w:b w:val="0"/>
                <w:bCs/>
                <w:color w:val="auto"/>
                <w:kern w:val="2"/>
                <w:sz w:val="21"/>
                <w:szCs w:val="21"/>
                <w:highlight w:val="none"/>
                <w:u w:val="single"/>
                <w:lang w:val="en-US" w:eastAsia="zh-CN"/>
              </w:rPr>
              <w:t>。</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编号：____，有效期至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材料未提供借款人持有的食品生产许可证、建筑工程施工总承包一级等特定行业经营许可或资质信息。</w:t>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u w:val="single"/>
                <w:lang w:val="en-US" w:eastAsia="zh-CN"/>
              </w:rPr>
            </w:r>
            <w:r>
              <w:rPr>
                <w:rFonts w:hint="eastAsia" w:ascii="宋体" w:hAnsi="宋体" w:cs="宋体"/>
                <w:bCs/>
                <w:color w:val="auto"/>
                <w:sz w:val="21"/>
                <w:szCs w:val="21"/>
                <w:u w:val="single"/>
                <w:lang w:val="en-US" w:eastAsia="zh-CN"/>
              </w:rPr>
            </w:r>
            <w:r>
              <w:rPr>
                <w:rFonts w:hint="eastAsia" w:ascii="宋体" w:hAnsi="宋体" w:eastAsia="宋体" w:cs="宋体"/>
                <w:b/>
                <w:bCs/>
                <w:sz w:val="21"/>
                <w:szCs w:val="21"/>
                <w:highlight w:val="none"/>
                <w:u w:val="single"/>
                <w:lang w:val="en-US" w:eastAsia="zh-CN"/>
              </w:rPr>
            </w:r>
            <w:r>
              <w:rPr>
                <w:rFonts w:hint="eastAsia" w:ascii="宋体" w:hAnsi="宋体" w:eastAsia="宋体" w:cs="宋体"/>
                <w:b/>
                <w:bCs/>
                <w:sz w:val="21"/>
                <w:szCs w:val="21"/>
                <w:highlight w:val="none"/>
                <w:u w:val="none"/>
                <w:lang w:val="en-US" w:eastAsia="zh-CN"/>
              </w:rPr>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主营业务——智慧水利：中锐网络积极响应国家水利</w:t>
            </w:r>
            <w:r>
              <w:rPr>
                <w:rFonts w:hint="eastAsia" w:ascii="宋体" w:hAnsi="宋体" w:cs="宋体"/>
                <w:b/>
                <w:bCs/>
                <w:snapToGrid w:val="0"/>
                <w:kern w:val="0"/>
                <w:szCs w:val="21"/>
                <w:highlight w:val="none"/>
              </w:rPr>
              <w:t>政策，</w:t>
            </w:r>
            <w:r>
              <w:rPr>
                <w:rFonts w:hint="eastAsia" w:ascii="宋体" w:hAnsi="宋体" w:cs="宋体"/>
                <w:b/>
                <w:bCs/>
                <w:snapToGrid w:val="0"/>
                <w:kern w:val="0"/>
                <w:szCs w:val="21"/>
                <w:highlight w:val="none"/>
                <w:lang w:val="en-US" w:eastAsia="zh-CN"/>
              </w:rPr>
              <w:t>推出了一系列智慧水利解决方案，帮助客户落地水灾</w:t>
            </w:r>
            <w:r>
              <w:rPr>
                <w:rFonts w:hint="eastAsia" w:ascii="宋体" w:hAnsi="宋体" w:cs="宋体"/>
                <w:b/>
                <w:bCs/>
                <w:snapToGrid w:val="0"/>
                <w:kern w:val="0"/>
                <w:szCs w:val="21"/>
                <w:highlight w:val="none"/>
              </w:rPr>
              <w:t>害，水工程，水资源，水生态水环</w:t>
            </w:r>
            <w:r>
              <w:rPr>
                <w:rFonts w:hint="eastAsia" w:ascii="宋体" w:hAnsi="宋体" w:cs="宋体"/>
                <w:b/>
                <w:bCs/>
                <w:snapToGrid w:val="0"/>
                <w:kern w:val="0"/>
                <w:szCs w:val="21"/>
                <w:highlight w:val="none"/>
                <w:lang w:val="en-US" w:eastAsia="zh-CN"/>
              </w:rPr>
              <w:t>境，水监督，水政务等六大重点应</w:t>
            </w:r>
            <w:r>
              <w:rPr>
                <w:rFonts w:hint="eastAsia" w:ascii="宋体" w:hAnsi="宋体" w:cs="宋体"/>
                <w:b/>
                <w:bCs/>
                <w:snapToGrid w:val="0"/>
                <w:kern w:val="0"/>
                <w:szCs w:val="21"/>
                <w:highlight w:val="none"/>
              </w:rPr>
              <w:t>用</w:t>
              <w:br/>
              <w:t>主营业务——智慧教</w:t>
            </w:r>
            <w:r>
              <w:rPr>
                <w:rFonts w:hint="eastAsia" w:ascii="宋体" w:hAnsi="宋体" w:cs="宋体"/>
                <w:snapToGrid w:val="0"/>
                <w:color w:val="000000"/>
                <w:kern w:val="0"/>
                <w:szCs w:val="21"/>
                <w:highlight w:val="none"/>
              </w:rPr>
              <w:t>育：</w:t>
            </w:r>
            <w:r>
              <w:rPr>
                <w:rFonts w:hint="eastAsia" w:ascii="宋体" w:hAnsi="宋体" w:cs="宋体"/>
                <w:snapToGrid w:val="0"/>
                <w:kern w:val="0"/>
                <w:szCs w:val="21"/>
                <w:highlight w:val="none"/>
                <w:u w:val="single"/>
              </w:rPr>
              <w:t>中锐网络紧跟国家战略发展需求，聚焦网络、人工智能、智慧行业三大领域，推出数字人才培养</w:t>
            </w:r>
            <w:r>
              <w:rPr>
                <w:rFonts w:hint="eastAsia" w:ascii="宋体" w:hAnsi="宋体" w:cs="宋体"/>
                <w:snapToGrid w:val="0"/>
                <w:kern w:val="0"/>
                <w:szCs w:val="21"/>
                <w:highlight w:val="none"/>
                <w:u w:val="single"/>
                <w:lang w:val="en-US" w:eastAsia="zh-CN"/>
              </w:rPr>
              <w:t>解决方案，将行业企业用人的需求导入院校人才培养体系，</w:t>
            </w:r>
            <w:r>
              <w:rPr>
                <w:rFonts w:hint="eastAsia" w:ascii="宋体" w:hAnsi="宋体" w:cs="宋体"/>
                <w:snapToGrid w:val="0"/>
                <w:kern w:val="0"/>
                <w:szCs w:val="21"/>
                <w:highlight w:val="none"/>
                <w:u w:val="single"/>
              </w:rPr>
              <w:t>实现产</w:t>
            </w:r>
            <w:r>
              <w:rPr>
                <w:rFonts w:hint="eastAsia" w:ascii="宋体" w:hAnsi="宋体" w:cs="宋体"/>
                <w:snapToGrid w:val="0"/>
                <w:color w:val="000000"/>
                <w:kern w:val="0"/>
                <w:szCs w:val="21"/>
                <w:highlight w:val="none"/>
                <w:u w:val="single"/>
              </w:rPr>
              <w:t>业与人才需求的无缝对接。</w:t>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材料未提供上年度末社保人数。法定代表人为黄祖海。</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材料未提供股权穿透后实际控制人黄祖海的具体持股比例。</w:t>
            </w:r>
            <w:r>
              <w:rPr>
                <w:rFonts w:hint="eastAsia" w:ascii="宋体" w:hAnsi="宋体" w:cs="宋体"/>
                <w:snapToGrid w:val="0"/>
                <w:kern w:val="0"/>
                <w:szCs w:val="21"/>
                <w:highlight w:val="none"/>
                <w:u w:val="single"/>
                <w:lang w:val="en-US" w:eastAsia="zh-CN"/>
              </w:rPr>
            </w:r>
          </w:p>
          <w:p w14:paraId="360105F5">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3"/>
            <w:r>
              <w:rPr>
                <w:rStyle w:val="CommentReference"/>
              </w:rPr>
              <w:commentReference w:id="3"/>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上</w:t>
            </w:r>
            <w:r>
              <w:rPr>
                <w:rFonts w:hint="eastAsia" w:ascii="宋体" w:hAnsi="宋体" w:cs="宋体"/>
                <w:b/>
                <w:bCs/>
                <w:snapToGrid w:val="0"/>
                <w:color w:val="000000"/>
                <w:kern w:val="0"/>
                <w:szCs w:val="21"/>
              </w:rPr>
              <w:t>游供应商主要</w:t>
            </w:r>
            <w:r>
              <w:rPr>
                <w:rFonts w:hint="eastAsia" w:ascii="宋体" w:hAnsi="宋体" w:cs="宋体"/>
                <w:b w:val="0"/>
                <w:bCs w:val="0"/>
                <w:snapToGrid w:val="0"/>
                <w:color w:val="000000"/>
                <w:kern w:val="0"/>
                <w:szCs w:val="21"/>
                <w:highlight w:val="yellow"/>
                <w:lang w:eastAsia="zh-CN"/>
              </w:rPr>
              <w:t>包</w:t>
            </w:r>
            <w:r>
              <w:rPr>
                <w:rFonts w:hint="eastAsia" w:ascii="宋体" w:hAnsi="宋体" w:cs="宋体"/>
                <w:b w:val="0"/>
                <w:bCs w:val="0"/>
                <w:snapToGrid w:val="0"/>
                <w:color w:val="000000"/>
                <w:kern w:val="0"/>
                <w:szCs w:val="21"/>
                <w:highlight w:val="yellow"/>
                <w:lang w:val="en-US" w:eastAsia="zh-CN"/>
              </w:rPr>
              <w:t>括：锐捷网络股份有限公司、北京星链南天科技有限公司、</w:t>
            </w:r>
            <w:r>
              <w:rPr>
                <w:rFonts w:hint="eastAsia" w:ascii="宋体" w:hAnsi="宋体" w:cs="宋体"/>
                <w:b w:val="0"/>
                <w:bCs w:val="0"/>
                <w:snapToGrid w:val="0"/>
                <w:color w:val="000000"/>
                <w:kern w:val="0"/>
                <w:szCs w:val="21"/>
                <w:highlight w:val="yellow"/>
                <w:lang w:eastAsia="zh-CN"/>
              </w:rPr>
              <w:t>广</w:t>
            </w:r>
            <w:r>
              <w:rPr>
                <w:rFonts w:hint="eastAsia" w:ascii="宋体" w:hAnsi="宋体" w:cs="宋体"/>
                <w:b w:val="0"/>
                <w:bCs w:val="0"/>
                <w:snapToGrid w:val="0"/>
                <w:color w:val="000000"/>
                <w:kern w:val="0"/>
                <w:szCs w:val="21"/>
              </w:rPr>
              <w:t>州</w:t>
            </w:r>
            <w:r>
              <w:rPr>
                <w:rFonts w:hint="eastAsia" w:ascii="宋体" w:hAnsi="宋体" w:cs="宋体"/>
                <w:b w:val="0"/>
                <w:bCs w:val="0"/>
                <w:snapToGrid w:val="0"/>
                <w:kern w:val="0"/>
                <w:szCs w:val="21"/>
                <w:u w:val="single"/>
                <w:lang w:eastAsia="zh-CN"/>
              </w:rPr>
              <w:t>浩</w:t>
            </w:r>
            <w:r>
              <w:rPr>
                <w:rFonts w:hint="eastAsia" w:ascii="宋体" w:hAnsi="宋体" w:cs="宋体"/>
                <w:b w:val="0"/>
                <w:bCs w:val="0"/>
                <w:snapToGrid w:val="0"/>
                <w:kern w:val="0"/>
                <w:szCs w:val="21"/>
                <w:u w:val="single"/>
                <w:lang w:val="en-US" w:eastAsia="zh-CN"/>
              </w:rPr>
              <w:t>瀚星图信息技术有限公司、新天科技股份有限公司、精导信息技术有限公司司等。下游客户主要包括：</w:t>
            </w:r>
            <w:r>
              <w:rPr>
                <w:rFonts w:hint="eastAsia" w:ascii="宋体" w:hAnsi="宋体" w:cs="宋体"/>
                <w:snapToGrid w:val="0"/>
                <w:kern w:val="0"/>
                <w:szCs w:val="21"/>
                <w:u w:val="single"/>
              </w:rPr>
              <w:t>涵江</w:t>
            </w:r>
            <w:r>
              <w:rPr>
                <w:rFonts w:hint="eastAsia" w:ascii="宋体" w:hAnsi="宋体" w:cs="宋体"/>
                <w:snapToGrid w:val="0"/>
                <w:kern w:val="0"/>
                <w:szCs w:val="21"/>
                <w:u w:val="single"/>
                <w:lang w:val="en-US" w:eastAsia="zh-CN"/>
              </w:rPr>
              <w:t>水利局、福建省翔远电子科技有限公司、三明水利水电工</w:t>
            </w:r>
            <w:r>
              <w:rPr>
                <w:rFonts w:hint="eastAsia" w:ascii="宋体" w:hAnsi="宋体" w:cs="宋体"/>
                <w:snapToGrid w:val="0"/>
                <w:kern w:val="0"/>
                <w:szCs w:val="21"/>
                <w:u w:val="single"/>
              </w:rPr>
              <w:t>程有限公司顺昌分公司、福州市福清公路事业发展中心、济南展雄电子有限公司等。</w:t>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实地走访情</w:t>
            </w:r>
            <w:r>
              <w:rPr>
                <w:rFonts w:hint="eastAsia" w:ascii="宋体" w:hAnsi="宋体" w:cs="宋体"/>
                <w:b/>
                <w:bCs/>
                <w:snapToGrid w:val="0"/>
                <w:color w:val="000000"/>
                <w:kern w:val="0"/>
                <w:szCs w:val="21"/>
                <w:highlight w:val="none"/>
                <w:lang w:val="en-US" w:eastAsia="zh-CN"/>
              </w:rPr>
              <w:t>况：企业办公场所位于福州市马尾区罗星东</w:t>
            </w:r>
            <w:r>
              <w:rPr>
                <w:rFonts w:hint="eastAsia" w:ascii="宋体" w:hAnsi="宋体" w:cs="宋体"/>
                <w:b w:val="0"/>
                <w:bCs w:val="0"/>
                <w:snapToGrid w:val="0"/>
                <w:kern w:val="0"/>
                <w:szCs w:val="21"/>
                <w:highlight w:val="none"/>
                <w:u w:val="single"/>
                <w:lang w:val="en-US" w:eastAsia="zh-CN"/>
              </w:rPr>
              <w:t>路2号海峡经贸广场1#楼A615室，现场人员正常到岗，内部管理有序。企业主营业务为智慧水利与智慧教育解决方案的研发与销售，属于轻资产运营模式，现场未见传统生产车间及大量存货。根据2025年末财务</w:t>
            </w:r>
            <w:r>
              <w:rPr>
                <w:rFonts w:hint="eastAsia" w:ascii="宋体" w:hAnsi="宋体" w:cs="宋体"/>
                <w:b w:val="0"/>
                <w:bCs w:val="0"/>
                <w:snapToGrid w:val="0"/>
                <w:kern w:val="0"/>
                <w:szCs w:val="21"/>
                <w:highlight w:val="none"/>
                <w:u w:val="single"/>
              </w:rPr>
              <w:t>报表</w:t>
            </w:r>
            <w:r>
              <w:rPr>
                <w:rFonts w:hint="eastAsia" w:ascii="宋体" w:hAnsi="宋体" w:cs="宋体"/>
                <w:b w:val="0"/>
                <w:bCs w:val="0"/>
                <w:snapToGrid w:val="0"/>
                <w:color w:val="auto"/>
                <w:kern w:val="0"/>
                <w:szCs w:val="21"/>
                <w:highlight w:val="none"/>
                <w:u w:val="single"/>
                <w:lang w:eastAsia="zh-CN"/>
              </w:rPr>
              <w:t>，</w:t>
            </w:r>
            <w:r>
              <w:rPr>
                <w:rFonts w:hint="eastAsia" w:ascii="宋体" w:hAnsi="宋体" w:cs="宋体"/>
                <w:b w:val="0"/>
                <w:bCs w:val="0"/>
                <w:snapToGrid w:val="0"/>
                <w:color w:val="000000"/>
                <w:kern w:val="0"/>
                <w:szCs w:val="21"/>
                <w:highlight w:val="none"/>
                <w:u w:val="single"/>
                <w:lang w:val="en-US" w:eastAsia="zh-CN"/>
              </w:rPr>
              <w:t>其存货余额为2192万元，较年初的1166万元有所增长，主要系业务开展所需备货，与报表数据基本匹配。企业整体经营环境正常，未发现异常停工或管理混乱迹象。</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2025年12月31日 日，经531系统查询，借款人 2025 年 12 月   日提贷 0万元，到期日 2025 年 12 月   日，贷款采取自主支付方式发放，通过调取借款人账户流水，1. 0万元向 福建中锐网络股份有限公司 有限公司支付 福建中锐网络股份有限公司 货款（已提供发票）；2. 0万元转至工行同户名账户，穿透查看用于向 0 个人支付采购竹刨花原料款 0万元，其余用于支付税款；3.____万元元转至农行同户名账户(基本户），用于向37个员工支付工资款。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借款人需在授信期间内保持资产负债率不高于70%</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借款人需在授信期间内保持流动比率不低于1.2</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借款人需在授信期间内保持经营活动现金流量净额为正</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借款人需在授信期间内保持利息保障倍数不低于2</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4"/>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4"/>
            <w:r>
              <w:rPr>
                <w:rStyle w:val="CommentReference"/>
              </w:rPr>
              <w:commentReference w:id="4"/>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w:t>
            </w:r>
            <w:r>
              <w:rPr>
                <w:rFonts w:hint="eastAsia" w:ascii="宋体" w:hAnsi="宋体" w:cs="宋体"/>
                <w:snapToGrid w:val="0"/>
                <w:color w:val="000000"/>
                <w:kern w:val="0"/>
                <w:szCs w:val="21"/>
                <w:highlight w:val="none"/>
                <w:u w:val="single"/>
                <w:lang w:val="en-US" w:eastAsia="zh-CN"/>
              </w:rPr>
              <w:t>及实</w:t>
            </w:r>
            <w:r>
              <w:rPr>
                <w:rFonts w:hint="eastAsia" w:ascii="宋体" w:hAnsi="宋体" w:cs="宋体"/>
                <w:snapToGrid w:val="0"/>
                <w:color w:val="000000"/>
                <w:kern w:val="0"/>
                <w:szCs w:val="21"/>
                <w:highlight w:val="none"/>
                <w:u w:val="single"/>
              </w:rPr>
              <w:t>际</w:t>
            </w:r>
            <w:r>
              <w:rPr>
                <w:rFonts w:hint="eastAsia" w:ascii="宋体" w:hAnsi="宋体" w:cs="宋体"/>
                <w:snapToGrid w:val="0"/>
                <w:color w:val="000000"/>
                <w:kern w:val="0"/>
                <w:szCs w:val="21"/>
              </w:rPr>
              <w:t>控</w:t>
            </w:r>
            <w:r>
              <w:rPr>
                <w:rFonts w:hint="eastAsia" w:ascii="宋体" w:hAnsi="宋体" w:cs="宋体"/>
                <w:snapToGrid w:val="0"/>
                <w:color w:val="000000"/>
                <w:kern w:val="0"/>
                <w:szCs w:val="21"/>
                <w:u w:val="single"/>
                <w:lang w:eastAsia="zh-CN"/>
              </w:rPr>
              <w:t>制</w:t>
            </w:r>
            <w:r>
              <w:rPr>
                <w:rFonts w:hint="eastAsia" w:ascii="宋体" w:hAnsi="宋体" w:cs="宋体"/>
                <w:snapToGrid w:val="0"/>
                <w:color w:val="000000"/>
                <w:kern w:val="0"/>
                <w:szCs w:val="21"/>
                <w:lang w:eastAsia="zh-CN"/>
              </w:rPr>
              <w:t>人黄</w:t>
            </w:r>
            <w:r>
              <w:rPr>
                <w:rFonts w:hint="eastAsia" w:ascii="宋体" w:hAnsi="宋体" w:cs="宋体"/>
                <w:snapToGrid w:val="0"/>
                <w:color w:val="000000"/>
                <w:kern w:val="0"/>
                <w:szCs w:val="21"/>
                <w:u w:val="single"/>
                <w:lang w:eastAsia="zh-CN"/>
              </w:rPr>
              <w:t>祖</w:t>
            </w:r>
            <w:r>
              <w:rPr>
                <w:rFonts w:hint="eastAsia" w:ascii="宋体" w:hAnsi="宋体" w:cs="宋体"/>
                <w:snapToGrid w:val="0"/>
                <w:color w:val="000000"/>
                <w:kern w:val="0"/>
                <w:szCs w:val="21"/>
                <w:u w:val="single"/>
                <w:lang w:val="en-US" w:eastAsia="zh-CN"/>
              </w:rPr>
              <w:t>海</w:t>
            </w:r>
            <w:r>
              <w:rPr>
                <w:rFonts w:hint="eastAsia" w:ascii="宋体" w:hAnsi="宋体" w:cs="宋体"/>
                <w:snapToGrid w:val="0"/>
                <w:color w:val="000000"/>
                <w:kern w:val="0"/>
                <w:szCs w:val="21"/>
                <w:u w:val="single"/>
                <w:lang w:eastAsia="zh-CN"/>
              </w:rPr>
              <w:t>，</w:t>
            </w:r>
            <w:r>
              <w:rPr>
                <w:rFonts w:hint="eastAsia" w:ascii="宋体" w:hAnsi="宋体" w:cs="宋体"/>
                <w:snapToGrid w:val="0"/>
                <w:color w:val="000000"/>
                <w:kern w:val="0"/>
                <w:szCs w:val="21"/>
                <w:u w:val="single"/>
                <w:lang w:val="en-US" w:eastAsia="zh-CN"/>
              </w:rPr>
              <w:t>中国</w:t>
            </w:r>
            <w:r>
              <w:rPr>
                <w:rFonts w:hint="eastAsia" w:ascii="宋体" w:hAnsi="宋体" w:cs="宋体"/>
                <w:snapToGrid w:val="0"/>
                <w:color w:val="000000"/>
                <w:kern w:val="0"/>
                <w:szCs w:val="21"/>
                <w:lang w:eastAsia="zh-CN"/>
              </w:rPr>
              <w:t>国</w:t>
            </w:r>
            <w:r>
              <w:rPr>
                <w:rFonts w:hint="eastAsia" w:ascii="宋体" w:hAnsi="宋体" w:cs="宋体"/>
                <w:snapToGrid w:val="0"/>
                <w:color w:val="000000"/>
                <w:kern w:val="0"/>
                <w:szCs w:val="21"/>
                <w:u w:val="single"/>
                <w:lang w:eastAsia="zh-CN"/>
              </w:rPr>
              <w:t>籍，</w:t>
            </w:r>
            <w:r>
              <w:rPr>
                <w:rFonts w:hint="eastAsia" w:ascii="宋体" w:hAnsi="宋体" w:cs="宋体"/>
                <w:snapToGrid w:val="0"/>
                <w:color w:val="000000"/>
                <w:kern w:val="0"/>
                <w:szCs w:val="21"/>
                <w:lang w:eastAsia="zh-CN"/>
              </w:rPr>
              <w:t>湖</w:t>
            </w:r>
            <w:r>
              <w:rPr>
                <w:rFonts w:hint="eastAsia" w:ascii="宋体" w:hAnsi="宋体" w:cs="宋体"/>
                <w:snapToGrid w:val="0"/>
                <w:color w:val="000000"/>
                <w:kern w:val="0"/>
                <w:szCs w:val="21"/>
                <w:u w:val="single"/>
              </w:rPr>
              <w:t>南大学电</w:t>
            </w:r>
            <w:r>
              <w:rPr>
                <w:rFonts w:hint="eastAsia" w:ascii="宋体" w:hAnsi="宋体" w:cs="宋体"/>
                <w:snapToGrid w:val="0"/>
                <w:color w:val="000000"/>
                <w:kern w:val="0"/>
                <w:szCs w:val="21"/>
              </w:rPr>
              <w:t>子</w:t>
            </w:r>
            <w:r>
              <w:rPr>
                <w:rFonts w:hint="eastAsia" w:ascii="宋体" w:hAnsi="宋体" w:cs="宋体"/>
                <w:snapToGrid w:val="0"/>
                <w:color w:val="000000"/>
                <w:kern w:val="0"/>
                <w:szCs w:val="21"/>
                <w:u w:val="single"/>
                <w:lang w:eastAsia="zh-CN"/>
              </w:rPr>
              <w:t>商</w:t>
            </w:r>
            <w:r>
              <w:rPr>
                <w:rFonts w:hint="eastAsia" w:ascii="宋体" w:hAnsi="宋体" w:cs="宋体"/>
                <w:snapToGrid w:val="0"/>
                <w:color w:val="000000"/>
                <w:kern w:val="0"/>
                <w:szCs w:val="21"/>
              </w:rPr>
              <w:t>务专</w:t>
            </w:r>
            <w:r>
              <w:rPr>
                <w:rFonts w:hint="eastAsia" w:ascii="宋体" w:hAnsi="宋体" w:cs="宋体"/>
                <w:snapToGrid w:val="0"/>
                <w:kern w:val="0"/>
                <w:szCs w:val="21"/>
              </w:rPr>
              <w:t>业本科学历</w:t>
            </w:r>
            <w:r>
              <w:rPr>
                <w:rFonts w:hint="eastAsia" w:ascii="宋体" w:hAnsi="宋体" w:cs="宋体"/>
                <w:snapToGrid w:val="0"/>
                <w:kern w:val="0"/>
                <w:szCs w:val="21"/>
                <w:u w:val="single"/>
                <w:lang w:eastAsia="zh-CN"/>
              </w:rPr>
              <w:t>。</w:t>
            </w:r>
            <w:r>
              <w:rPr>
                <w:rFonts w:hint="eastAsia" w:ascii="宋体" w:hAnsi="宋体" w:cs="宋体"/>
                <w:bCs/>
                <w:snapToGrid w:val="0"/>
                <w:kern w:val="0"/>
                <w:szCs w:val="21"/>
                <w:highlight w:val="none"/>
                <w:u w:val="single"/>
                <w:lang w:val="en-US" w:eastAsia="zh-CN"/>
              </w:rPr>
              <w:t>其超过二十年的行业从</w:t>
            </w:r>
            <w:r>
              <w:rPr>
                <w:rFonts w:hint="eastAsia" w:ascii="宋体" w:hAnsi="宋体" w:cs="宋体"/>
                <w:snapToGrid w:val="0"/>
                <w:kern w:val="0"/>
                <w:szCs w:val="21"/>
                <w:u w:val="single"/>
                <w:lang w:eastAsia="zh-CN"/>
              </w:rPr>
              <w:t>业</w:t>
            </w:r>
            <w:r>
              <w:rPr>
                <w:rFonts w:hint="eastAsia" w:ascii="宋体" w:hAnsi="宋体" w:cs="宋体"/>
                <w:snapToGrid w:val="0"/>
                <w:kern w:val="0"/>
                <w:szCs w:val="21"/>
                <w:u w:val="single"/>
                <w:lang w:val="en-US" w:eastAsia="zh-CN"/>
              </w:rPr>
              <w:t>经历，特别是长期在技</w:t>
            </w:r>
            <w:r>
              <w:rPr>
                <w:rFonts w:hint="eastAsia" w:ascii="宋体" w:hAnsi="宋体" w:cs="宋体"/>
                <w:snapToGrid w:val="0"/>
                <w:color w:val="000000"/>
                <w:kern w:val="0"/>
                <w:szCs w:val="21"/>
                <w:highlight w:val="none"/>
                <w:u w:val="single"/>
              </w:rPr>
              <w:t>术管理及企业最高决策</w:t>
            </w:r>
            <w:r>
              <w:rPr>
                <w:rFonts w:hint="eastAsia" w:ascii="宋体" w:hAnsi="宋体" w:cs="宋体"/>
                <w:snapToGrid w:val="0"/>
                <w:color w:val="000000"/>
                <w:kern w:val="0"/>
                <w:szCs w:val="21"/>
                <w:highlight w:val="none"/>
                <w:u w:val="single"/>
                <w:lang w:val="en-US" w:eastAsia="zh-CN"/>
              </w:rPr>
              <w:t>岗</w:t>
            </w:r>
            <w:r>
              <w:rPr>
                <w:rFonts w:hint="eastAsia" w:ascii="宋体" w:hAnsi="宋体" w:cs="宋体"/>
                <w:snapToGrid w:val="0"/>
                <w:color w:val="000000"/>
                <w:kern w:val="0"/>
                <w:szCs w:val="21"/>
                <w:highlight w:val="none"/>
                <w:u w:val="single"/>
              </w:rPr>
              <w:t>位的任职，表明其对智慧水利、</w:t>
            </w:r>
            <w:r>
              <w:rPr>
                <w:rFonts w:hint="eastAsia" w:ascii="宋体" w:hAnsi="宋体" w:cs="宋体"/>
                <w:snapToGrid w:val="0"/>
                <w:color w:val="000000"/>
                <w:kern w:val="0"/>
                <w:szCs w:val="21"/>
                <w:highlight w:val="none"/>
                <w:u w:val="single"/>
                <w:lang w:val="en-US" w:eastAsia="zh-CN"/>
              </w:rPr>
              <w:t>智</w:t>
            </w:r>
            <w:r>
              <w:rPr>
                <w:rFonts w:hint="eastAsia" w:ascii="宋体" w:hAnsi="宋体" w:cs="宋体"/>
                <w:snapToGrid w:val="0"/>
                <w:color w:val="000000"/>
                <w:kern w:val="0"/>
                <w:szCs w:val="21"/>
                <w:highlight w:val="none"/>
                <w:u w:val="single"/>
              </w:rPr>
              <w:t>慧教育等公</w:t>
            </w:r>
            <w:r>
              <w:rPr>
                <w:rFonts w:hint="eastAsia" w:ascii="宋体" w:hAnsi="宋体" w:cs="宋体"/>
                <w:snapToGrid w:val="0"/>
                <w:color w:val="000000"/>
                <w:kern w:val="0"/>
                <w:szCs w:val="21"/>
                <w:highlight w:val="none"/>
                <w:u w:val="single"/>
                <w:lang w:eastAsia="zh-CN"/>
              </w:rPr>
              <w:t>司</w:t>
            </w:r>
            <w:r>
              <w:rPr>
                <w:rFonts w:hint="eastAsia" w:ascii="宋体" w:hAnsi="宋体" w:cs="宋体"/>
                <w:snapToGrid w:val="0"/>
                <w:color w:val="000000"/>
                <w:kern w:val="0"/>
                <w:szCs w:val="21"/>
                <w:highlight w:val="none"/>
                <w:u w:val="single"/>
              </w:rPr>
              <w:t>主营业务领域有</w:t>
            </w:r>
            <w:r>
              <w:rPr>
                <w:rFonts w:hint="eastAsia" w:ascii="宋体" w:hAnsi="宋体" w:cs="宋体"/>
                <w:snapToGrid w:val="0"/>
                <w:color w:val="000000"/>
                <w:kern w:val="0"/>
                <w:szCs w:val="21"/>
                <w:highlight w:val="none"/>
                <w:u w:val="single"/>
                <w:lang w:val="en-US" w:eastAsia="zh-CN"/>
              </w:rPr>
              <w:t>深</w:t>
            </w:r>
            <w:r>
              <w:rPr>
                <w:rFonts w:hint="eastAsia" w:ascii="宋体" w:hAnsi="宋体" w:cs="宋体"/>
                <w:snapToGrid w:val="0"/>
                <w:color w:val="000000"/>
                <w:kern w:val="0"/>
                <w:szCs w:val="21"/>
                <w:highlight w:val="none"/>
                <w:u w:val="single"/>
              </w:rPr>
              <w:t>刻理解，</w:t>
            </w:r>
            <w:r>
              <w:rPr>
                <w:rFonts w:hint="eastAsia" w:ascii="宋体" w:hAnsi="宋体" w:cs="宋体"/>
                <w:bCs/>
                <w:snapToGrid w:val="0"/>
                <w:kern w:val="0"/>
                <w:szCs w:val="21"/>
                <w:highlight w:val="none"/>
                <w:u w:val="single"/>
              </w:rPr>
              <w:t>具备领导公司持续经营与发展的能力。</w:t>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实控人黄祖海，湖南大学电子商务</w:t>
            </w:r>
            <w:r>
              <w:rPr>
                <w:rFonts w:hint="eastAsia" w:ascii="宋体" w:hAnsi="宋体" w:cs="宋体"/>
                <w:snapToGrid w:val="0"/>
                <w:color w:val="000000"/>
                <w:kern w:val="0"/>
                <w:szCs w:val="21"/>
                <w:highlight w:val="none"/>
                <w:u w:val="single"/>
                <w:lang w:val="en-US" w:eastAsia="zh-CN"/>
              </w:rPr>
              <w:t>专业本科学历。</w:t>
            </w:r>
            <w:r>
              <w:rPr>
                <w:rFonts w:hint="eastAsia" w:ascii="宋体" w:hAnsi="宋体" w:cs="宋体"/>
                <w:snapToGrid w:val="0"/>
                <w:color w:val="000000"/>
                <w:kern w:val="0"/>
                <w:szCs w:val="21"/>
                <w:highlight w:val="none"/>
                <w:u w:val="single"/>
              </w:rPr>
              <w:t>20</w:t>
            </w:r>
            <w:r>
              <w:rPr>
                <w:rFonts w:hint="eastAsia" w:ascii="宋体" w:hAnsi="宋体" w:cs="宋体"/>
                <w:b w:val="0"/>
                <w:bCs w:val="0"/>
                <w:snapToGrid w:val="0"/>
                <w:color w:val="000000"/>
                <w:kern w:val="0"/>
                <w:szCs w:val="21"/>
              </w:rPr>
              <w:t>00</w:t>
            </w:r>
            <w:r>
              <w:rPr>
                <w:rFonts w:hint="eastAsia" w:ascii="宋体" w:hAnsi="宋体" w:cs="宋体"/>
                <w:b w:val="0"/>
                <w:bCs w:val="0"/>
                <w:snapToGrid w:val="0"/>
                <w:color w:val="000000"/>
                <w:kern w:val="0"/>
                <w:szCs w:val="21"/>
                <w:u w:val="single"/>
                <w:lang w:eastAsia="zh-CN"/>
              </w:rPr>
              <w:t>年5月至2</w:t>
            </w:r>
            <w:r>
              <w:rPr>
                <w:rFonts w:hint="eastAsia" w:ascii="宋体" w:hAnsi="宋体" w:cs="宋体"/>
                <w:b w:val="0"/>
                <w:bCs w:val="0"/>
                <w:snapToGrid w:val="0"/>
                <w:color w:val="000000"/>
                <w:kern w:val="0"/>
                <w:szCs w:val="21"/>
                <w:lang w:eastAsia="zh-CN"/>
              </w:rPr>
              <w:t>001年12月</w:t>
            </w:r>
            <w:r>
              <w:rPr>
                <w:rFonts w:hint="eastAsia" w:ascii="宋体" w:hAnsi="宋体" w:cs="宋体"/>
                <w:snapToGrid w:val="0"/>
                <w:color w:val="000000"/>
                <w:kern w:val="0"/>
                <w:szCs w:val="21"/>
                <w:u w:val="single"/>
                <w:lang w:eastAsia="zh-CN"/>
              </w:rPr>
              <w:t>，</w:t>
            </w:r>
            <w:r>
              <w:rPr>
                <w:rFonts w:hint="eastAsia" w:ascii="宋体" w:hAnsi="宋体" w:cs="宋体"/>
                <w:snapToGrid w:val="0"/>
                <w:color w:val="000000"/>
                <w:kern w:val="0"/>
                <w:szCs w:val="21"/>
                <w:u w:val="single"/>
                <w:lang w:val="en-US" w:eastAsia="zh-CN"/>
              </w:rPr>
              <w:t>任福建实达</w:t>
            </w:r>
            <w:r>
              <w:rPr>
                <w:rFonts w:hint="eastAsia" w:ascii="宋体" w:hAnsi="宋体" w:cs="宋体"/>
                <w:snapToGrid w:val="0"/>
                <w:color w:val="000000"/>
                <w:kern w:val="0"/>
                <w:szCs w:val="21"/>
                <w:u w:val="single"/>
                <w:lang w:eastAsia="zh-CN"/>
              </w:rPr>
              <w:t>网络</w:t>
            </w:r>
            <w:r>
              <w:rPr>
                <w:rFonts w:hint="eastAsia" w:ascii="宋体" w:hAnsi="宋体" w:cs="宋体"/>
                <w:snapToGrid w:val="0"/>
                <w:color w:val="000000"/>
                <w:kern w:val="0"/>
                <w:szCs w:val="21"/>
                <w:u w:val="single"/>
                <w:lang w:val="en-US" w:eastAsia="zh-CN"/>
              </w:rPr>
              <w:t>科技有限公司技</w:t>
            </w:r>
            <w:r>
              <w:rPr>
                <w:rFonts w:hint="eastAsia" w:ascii="宋体" w:hAnsi="宋体" w:cs="宋体"/>
                <w:snapToGrid w:val="0"/>
                <w:color w:val="000000"/>
                <w:kern w:val="0"/>
                <w:szCs w:val="21"/>
                <w:lang w:eastAsia="zh-CN"/>
              </w:rPr>
              <w:t>术工</w:t>
            </w:r>
            <w:r>
              <w:rPr>
                <w:rFonts w:hint="eastAsia" w:ascii="宋体" w:hAnsi="宋体" w:cs="宋体"/>
                <w:snapToGrid w:val="0"/>
                <w:color w:val="000000"/>
                <w:kern w:val="0"/>
                <w:szCs w:val="21"/>
                <w:u w:val="single"/>
                <w:lang w:eastAsia="zh-CN"/>
              </w:rPr>
              <w:t>程师；2002年1月</w:t>
            </w:r>
            <w:r>
              <w:rPr>
                <w:rFonts w:hint="eastAsia" w:ascii="宋体" w:hAnsi="宋体" w:cs="宋体"/>
                <w:snapToGrid w:val="0"/>
                <w:color w:val="000000"/>
                <w:kern w:val="0"/>
                <w:szCs w:val="21"/>
                <w:lang w:eastAsia="zh-CN"/>
              </w:rPr>
              <w:t>至2003</w:t>
            </w:r>
            <w:r>
              <w:rPr>
                <w:rFonts w:hint="eastAsia" w:ascii="宋体" w:hAnsi="宋体" w:cs="宋体"/>
                <w:snapToGrid w:val="0"/>
                <w:color w:val="000000"/>
                <w:kern w:val="0"/>
                <w:szCs w:val="21"/>
                <w:u w:val="single"/>
              </w:rPr>
              <w:t>年1月，任福建实达网络科</w:t>
            </w:r>
            <w:r>
              <w:rPr>
                <w:rFonts w:hint="eastAsia" w:ascii="宋体" w:hAnsi="宋体" w:cs="宋体"/>
                <w:snapToGrid w:val="0"/>
                <w:color w:val="000000"/>
                <w:kern w:val="0"/>
                <w:szCs w:val="21"/>
              </w:rPr>
              <w:t>技有限公司</w:t>
            </w:r>
            <w:r>
              <w:rPr>
                <w:rFonts w:hint="eastAsia" w:ascii="宋体" w:hAnsi="宋体" w:cs="宋体"/>
                <w:snapToGrid w:val="0"/>
                <w:color w:val="000000"/>
                <w:kern w:val="0"/>
                <w:szCs w:val="21"/>
                <w:u w:val="single"/>
                <w:lang w:eastAsia="zh-CN"/>
              </w:rPr>
              <w:t>技术经理；</w:t>
            </w:r>
            <w:r>
              <w:rPr>
                <w:rFonts w:hint="eastAsia" w:ascii="宋体" w:hAnsi="宋体" w:cs="宋体"/>
                <w:snapToGrid w:val="0"/>
                <w:color w:val="000000"/>
                <w:kern w:val="0"/>
                <w:szCs w:val="21"/>
              </w:rPr>
              <w:t>2003年1月</w:t>
            </w:r>
            <w:r>
              <w:rPr>
                <w:rFonts w:hint="eastAsia" w:ascii="宋体" w:hAnsi="宋体" w:cs="宋体"/>
                <w:b w:val="0"/>
                <w:bCs w:val="0"/>
                <w:snapToGrid w:val="0"/>
                <w:color w:val="000000"/>
                <w:kern w:val="0"/>
                <w:szCs w:val="21"/>
              </w:rPr>
              <w:t>至2011年12月，任福建星网锐捷</w:t>
            </w:r>
            <w:r>
              <w:rPr>
                <w:rFonts w:hint="eastAsia" w:ascii="宋体" w:hAnsi="宋体" w:cs="宋体"/>
                <w:bCs/>
                <w:snapToGrid w:val="0"/>
                <w:kern w:val="0"/>
                <w:szCs w:val="21"/>
                <w:highlight w:val="none"/>
                <w:u w:val="single"/>
                <w:lang w:val="en-US" w:eastAsia="zh-CN"/>
              </w:rPr>
              <w:t>网络有限公司技术部总经理；2012年1月至2016年3月，任福建中锐网络科技有限公司法定代表人、执行董事兼总经理；2016年3月至今，任福建中锐网络股份有限公司董事长兼总裁。身份证号：350124197704201694.</w:t>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出租，出租方陈独熹公司/个人，年租金____万元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关联企业情况小结：材料未提供企业关联方信息，无法判断关联企业数量、经营状况及与借款企业的交易往来情况。</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材料未提供集团内关联销售信息，无法分析集团内部交易规模及对整体销售的影响。</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kern w:val="0"/>
                <w:szCs w:val="21"/>
                <w:highlight w:val="none"/>
                <w:u w:val="single"/>
              </w:rPr>
              <w:t>主营芯片设计，主要销售的芯片为28nm级，产品主要</w:t>
            </w:r>
            <w:r>
              <w:rPr>
                <w:rFonts w:hint="eastAsia" w:ascii="宋体" w:hAnsi="宋体" w:cs="宋体"/>
                <w:snapToGrid w:val="0"/>
                <w:kern w:val="0"/>
                <w:szCs w:val="21"/>
                <w:highlight w:val="none"/>
                <w:u w:val="single"/>
                <w:lang w:val="en-US" w:eastAsia="zh-CN"/>
              </w:rPr>
              <w:t>用于智慧水利、智慧教育</w:t>
            </w:r>
            <w:r>
              <w:rPr>
                <w:rFonts w:hint="eastAsia" w:ascii="宋体" w:hAnsi="宋体" w:cs="宋体"/>
                <w:snapToGrid w:val="0"/>
                <w:kern w:val="0"/>
                <w:szCs w:val="21"/>
                <w:highlight w:val="none"/>
                <w:u w:val="single"/>
              </w:rPr>
              <w:t>等。</w:t>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生产分析：企业为信息技术服务企业，主营业务为智慧水利与智慧教育解决方案的提供，不涉及传统生产制造环节。其经营模式主要为项目制，通过采购硬件设备、软件及技术服务，整合后向客户提供整体解决方案。根据2025年财务报表，企业存货期末余额为2192万元，较年初的1166万元增长87.95%，主要系为执行在手合同而备货。企业2023年至2025年营业收入分别为12130万元、8712万元和10010万元，呈现波动。2025年经营活动产生的现金流量净额为791万元，较2024年的-896万元由负转正，显示回款情况有所改善。总体来看，企业属于轻资产运营模式，经营活动的核心在于项目获取与执行能力，而非产能利用，其资产结构与业务模式相匹配。</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commentRangeStart w:id="5"/>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5"/>
            <w:r>
              <w:rPr>
                <w:rStyle w:val="CommentReference"/>
              </w:rPr>
              <w:commentReference w:id="5"/>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6"/>
            <w:r>
              <w:rPr>
                <w:rStyle w:val="CommentReference"/>
              </w:rPr>
              <w:commentReference w:id="6"/>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kern w:val="0"/>
                <w:szCs w:val="21"/>
                <w:highlight w:val="none"/>
                <w:u w:val="single"/>
              </w:rPr>
              <w:t>上游采购一般预付或现付，下游账期较长，主要下游通过转账、票据与借款</w:t>
            </w:r>
            <w:r>
              <w:rPr>
                <w:rFonts w:hint="eastAsia" w:ascii="宋体" w:hAnsi="宋体" w:cs="宋体"/>
                <w:snapToGrid w:val="0"/>
                <w:kern w:val="0"/>
                <w:szCs w:val="21"/>
                <w:highlight w:val="none"/>
                <w:u w:val="single"/>
                <w:lang w:val="en-US" w:eastAsia="zh-CN"/>
              </w:rPr>
              <w:t>人</w:t>
            </w:r>
            <w:r>
              <w:rPr>
                <w:rFonts w:hint="eastAsia" w:ascii="宋体" w:hAnsi="宋体" w:cs="宋体"/>
                <w:snapToGrid w:val="0"/>
                <w:kern w:val="0"/>
                <w:szCs w:val="21"/>
                <w:highlight w:val="none"/>
                <w:u w:val="single"/>
              </w:rPr>
              <w:t>进行结算。企业总体营运资金周转效率偏慢，一年周转约1次。</w:t>
            </w:r>
          </w:p>
          <w:p w14:paraId="6B640D2F">
            <w:commentRangeStart w:id="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commentRangeEnd w:id="7"/>
            <w:r>
              <w:rPr>
                <w:rStyle w:val="CommentReference"/>
              </w:rPr>
              <w:commentReference w:id="7"/>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commentRangeStart w:id="2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commentRangeEnd w:id="24"/>
                  <w:r>
                    <w:rPr>
                      <w:rStyle w:val="CommentReference"/>
                    </w:rPr>
                    <w:commentReference w:id="24"/>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财报销售收入与纳税申报表合计收入一致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纳税申报表合计收入与财报销售收入一致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纳税收入占财报销售收入比例为100%，数据一致</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企业近三年财务报告均</w:t>
            </w:r>
            <w:r>
              <w:rPr>
                <w:rFonts w:hint="eastAsia" w:ascii="宋体" w:hAnsi="宋体" w:cs="宋体"/>
                <w:snapToGrid w:val="0"/>
                <w:kern w:val="0"/>
                <w:szCs w:val="21"/>
                <w:highlight w:val="none"/>
                <w:u w:val="single"/>
                <w:lang w:eastAsia="zh-CN"/>
              </w:rPr>
              <w:t>由德赢（福建）会计师</w:t>
            </w:r>
            <w:r>
              <w:rPr>
                <w:rFonts w:hint="eastAsia" w:ascii="宋体" w:hAnsi="宋体" w:cs="宋体"/>
                <w:snapToGrid w:val="0"/>
                <w:kern w:val="0"/>
                <w:szCs w:val="21"/>
                <w:highlight w:val="none"/>
                <w:u w:val="single"/>
                <w:lang w:val="en-US" w:eastAsia="zh-CN"/>
              </w:rPr>
              <w:t>事务所（普通合伙）审计，</w:t>
            </w:r>
            <w:r>
              <w:rPr>
                <w:rFonts w:hint="eastAsia" w:ascii="宋体" w:hAnsi="宋体" w:cs="宋体"/>
                <w:snapToGrid w:val="0"/>
                <w:kern w:val="0"/>
                <w:szCs w:val="21"/>
                <w:highlight w:val="none"/>
                <w:u w:val="single"/>
                <w:lang w:eastAsia="zh-CN"/>
              </w:rPr>
              <w:t>并出具了标准无保留意见的审计报告。从财务表现看，公司2025年实现营业收入1.00亿元，</w:t>
            </w:r>
            <w:r>
              <w:rPr>
                <w:rFonts w:hint="eastAsia" w:ascii="宋体" w:hAnsi="宋体" w:cs="宋体"/>
                <w:snapToGrid w:val="0"/>
                <w:kern w:val="0"/>
                <w:szCs w:val="21"/>
              </w:rPr>
              <w:t>较2024年的0</w:t>
            </w:r>
            <w:r>
              <w:rPr>
                <w:rFonts w:hint="eastAsia" w:ascii="宋体" w:hAnsi="宋体" w:cs="宋体"/>
                <w:snapToGrid w:val="0"/>
                <w:color w:val="000000"/>
                <w:kern w:val="0"/>
                <w:szCs w:val="21"/>
                <w:lang w:eastAsia="zh-CN"/>
              </w:rPr>
              <w:t>.8</w:t>
            </w:r>
            <w:r>
              <w:rPr>
                <w:rFonts w:hint="eastAsia" w:ascii="宋体" w:hAnsi="宋体" w:cs="宋体"/>
                <w:snapToGrid w:val="0"/>
                <w:color w:val="000000"/>
                <w:kern w:val="0"/>
                <w:szCs w:val="21"/>
              </w:rPr>
              <w:t>7亿元有所增长，但较2023年的1.</w:t>
            </w:r>
            <w:r>
              <w:rPr>
                <w:rFonts w:hint="eastAsia" w:ascii="宋体" w:hAnsi="宋体" w:cs="宋体"/>
                <w:snapToGrid w:val="0"/>
                <w:color w:val="000000"/>
                <w:kern w:val="0"/>
                <w:szCs w:val="21"/>
                <w:lang w:eastAsia="zh-CN"/>
              </w:rPr>
              <w:t>21</w:t>
            </w:r>
            <w:r>
              <w:rPr>
                <w:rFonts w:hint="eastAsia" w:ascii="宋体" w:hAnsi="宋体" w:cs="宋体"/>
                <w:b w:val="0"/>
                <w:bCs w:val="0"/>
                <w:color w:val="auto"/>
                <w:kern w:val="2"/>
                <w:sz w:val="21"/>
                <w:szCs w:val="21"/>
                <w:highlight w:val="none"/>
                <w:lang w:val="en-US" w:eastAsia="zh-CN"/>
              </w:rPr>
              <w:t>亿元仍有一定差距，显示业务规模在经历2024年下滑后有所恢复。盈利能力方面，2025年实现净利润</w:t>
            </w:r>
            <w:r>
              <w:rPr>
                <w:rFonts w:hint="eastAsia" w:ascii="宋体" w:hAnsi="宋体" w:eastAsia="宋体" w:cs="宋体"/>
                <w:sz w:val="21"/>
                <w:szCs w:val="21"/>
                <w:highlight w:val="none"/>
                <w:lang w:val="en-US" w:eastAsia="zh-CN"/>
              </w:rPr>
              <w:t>494万元，高于2024年的329万元，但低于2023年的393万元，整体盈利水平尚可但波动</w:t>
            </w:r>
            <w:r>
              <w:rPr>
                <w:rFonts w:hint="eastAsia" w:ascii="宋体" w:hAnsi="宋体" w:cs="宋体"/>
                <w:b w:val="0"/>
                <w:bCs w:val="0"/>
                <w:color w:val="auto"/>
                <w:kern w:val="2"/>
                <w:sz w:val="21"/>
                <w:szCs w:val="21"/>
                <w:highlight w:val="none"/>
                <w:lang w:val="en-US" w:eastAsia="zh-CN"/>
              </w:rPr>
              <w:t>较大。偿债能力方面，截至2025年末，公司资产负债率为42.5%，负债水平适中；流动比率为1.8</w:t>
            </w:r>
            <w:r>
              <w:rPr>
                <w:rFonts w:hint="eastAsia" w:ascii="宋体" w:hAnsi="宋体" w:eastAsia="宋体" w:cs="宋体"/>
                <w:sz w:val="21"/>
                <w:szCs w:val="21"/>
                <w:highlight w:val="none"/>
                <w:lang w:val="en-US" w:eastAsia="zh-CN"/>
              </w:rPr>
              <w:t>2，短期偿债能力尚可。公司银行融资余</w:t>
            </w:r>
            <w:r>
              <w:rPr>
                <w:rFonts w:hint="eastAsia" w:ascii="宋体" w:hAnsi="宋体" w:cs="宋体"/>
                <w:b w:val="0"/>
                <w:bCs w:val="0"/>
                <w:color w:val="auto"/>
                <w:kern w:val="2"/>
                <w:sz w:val="21"/>
                <w:szCs w:val="21"/>
                <w:highlight w:val="none"/>
                <w:lang w:val="en-US" w:eastAsia="zh-CN"/>
              </w:rPr>
              <w:t>额为4730万元，均为短期借款，是其负债的主要构成部分。需关注的是，公司经营活动现金流在2024</w:t>
            </w:r>
            <w:r>
              <w:rPr>
                <w:rFonts w:hint="eastAsia" w:ascii="宋体" w:hAnsi="宋体" w:cs="宋体"/>
                <w:snapToGrid w:val="0"/>
                <w:color w:val="000000"/>
                <w:kern w:val="0"/>
                <w:szCs w:val="21"/>
              </w:rPr>
              <w:t>年为</w:t>
            </w:r>
            <w:r>
              <w:rPr>
                <w:rFonts w:hint="eastAsia" w:ascii="宋体" w:hAnsi="宋体" w:cs="宋体"/>
                <w:snapToGrid w:val="0"/>
                <w:color w:val="000000"/>
                <w:kern w:val="0"/>
                <w:szCs w:val="21"/>
                <w:lang w:eastAsia="zh-CN"/>
              </w:rPr>
              <w:t>净流出896万元，2025年转为净流入791万元，现金流状况有所改善但仍不稳定。总体来看，公司财务状况基本稳定，但营收与盈利的波动性以及现金流的不稳定性需在授信决策中予以关注。</w:t>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7430万元，主要构成及趋势变动情况： 企业2025年末应收账款为7430万元，较2024年末的9253万元下降19.7%，回款情况有所改善。但该科目自2022年以来持续快速增长，2023年、2024年同比增幅分别为44.1%和45.6%，当前余额仍处于较高水平。</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2774万元，主要构成及趋势变动情况： 2025年末其他应收款为2774万元，较2024年末的3522万元下降21.2%，呈回落趋势。但该科目余额仍显著高于2022年末的1432万元，占流动资产比重较高。</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2192万元，主要构成及趋势变动情况： 企业存货2025年末为2192万元，较2024年末的1166万元大幅增长88.0%，结束了此前连续两年（2023年2545万元、2022年5301万元）的下降趋势。本次增长的具体原因，依据现有材料无法明确。</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3123万元，主要构成及趋势变动情况： 长期投资期末余额3123万元，较年初2518万元增长605万元，增幅达24.0%，呈显著扩张趋势。该科目连续两年增长，2024年较2023年增长54.9%，2025年在此基础上继续攀升。</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1026万元，主要构成及趋势变动情况： 应付账款2025年末为1026万元，较2024年末的2333万元大幅下降56.0%，连续两年增长后出现显著回落。结合报表数据，其变动主要系对供应商结算支付所致，但材料未提供具体结算原因。</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168万元，主要构成及趋势变动情况： 企业2025年末其他应付款为168万元，较2024年末的648万元大幅下降480万元，降幅达74.1%，已回落至接近2023年水平。该科目余额在报告期内波动较大，由2022年的63万元快速增长后于本期末显著收缩。</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企业主营业务收入自2022年的21,198万元持续下滑至2024年的8,712万元，但2025年回升至10,10万元，同比增长14.9%。本次提供的财务报表未包含利润表，无法从财务数据层面分析收入变动的具体原因。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2025年净利率为4.9%，虽较2024年的3.8%有所改善，但营业收入从2022年的21,198万元下滑至2025年的10,10万元，收入规模收缩是盈利下滑的主因。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企业“固定资产”科目数据缺失，无法分析其投资变动情况。材料中仅列示了流动资产及部分非流动资产项目，未包含固定资产的期初与期末余额。因此，无法对2022至2025年期间的固定资产投资趋势进行量化分析。</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企业2025年末货币资金余额为286万元，较年初的506万元大幅减少43.57%，流动性显著减弱。同时，短期借款余额为4,730万元，虽较年初的4,990万元略有下降，但规模仍远高于货币资金，短期偿债压力突出。</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公司2025年经营活动现金流量净额为791万元，主要来源于销售商品、提供劳务收到的现金1.04亿元及其他经营活动现金流入。投资活动净流出586万元，主要用于支付投资款608万元。筹资活动净流出426万元，系偿还债务4546万元及支付利息等所致。综合来看，公司经营活动现金流为正，但投资与筹资活动均为净流出，导致期末现金及现金等价物较期初减少221万元至286万元。公司应收账款期末余额为7430万元，占流动资产比重较高，回收情况将直接影响未来经营性现金流入。材料未提供关于未来年度营收、成本及融资的详细预测，无法对后续现金流平衡状况进行量化评估。</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 xml:space="preserve">最近三年现金流量表分析：  2025年经营活动现金流量净额为791万元，投资活动现金流量净额为-586万元，筹资活动现金流量净额为-426万元。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 收入下滑趋势在2025年得到扭转并恢复增长，同时毛利率在经历波动后于近两年稳定在较高水平，显示盈利能力的改善与巩固。毛利率标准差处于可控范围，表明盈利质量趋于稳定。收入、毛利与净利润需联动分析，重点关注利润兑现与毛利波动是否匹配。</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货币资金对短期借款的保障能力持续大幅减弱，已处于极低水平。尽管流动比率逐年改善且整体负债水平呈下降趋势，但即期偿债压力因现金储备不足而显著增大。偿债能力由杠杆水平与流动性共同决定，需同步观察资产负债率和短债覆盖能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应收账款周转效率持续恶化，回款能力显著下降。存货管理波动剧烈，存在库存积压风险。运营效率需重点跟踪应收账款周转与收入扩张的匹配程度。</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现金流数据缺失，无法评估其质量与连续性。经营现金流当前表现为无法判断，需关注现金回笼与利润质量是否一致。若经营现金流波动较大，应强化订单回款、存货占用与资金调度管理。</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远超警戒线，表明客户回款能力严重不足，信用风险显著升高。货币资金对短期借款的覆盖能力急剧恶化至极低水平，企业面临严峻的短期偿债压力。尽管资产负债率呈下降趋势，但严重的营运效率低下与流动性枯竭已构成重大风险。</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材料未提供企业对外担保及被追偿记录的相关信息。企业整体资产负债率为42.5%，流动比率为1.82，显示其财务结构相对稳健，短期偿债能力尚可。结合其2025年实现营业收入10010万元、净利润494万元的经营表现，企业具备一定的内生偿债能力。</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8"/>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8"/>
            <w:r>
              <w:rPr>
                <w:rStyle w:val="CommentReference"/>
              </w:rPr>
              <w:commentReference w:id="8"/>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76CE32AE">
            <w:commentRangeStart w:id="9"/>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9"/>
            <w:r>
              <w:rPr>
                <w:rStyle w:val="CommentReference"/>
              </w:rPr>
              <w:commentReference w:id="9"/>
            </w:r>
          </w:p>
          <w:p w14:paraId="4355488A">
            <w:commentRangeStart w:id="10"/>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0"/>
            <w:r>
              <w:rPr>
                <w:rStyle w:val="CommentReference"/>
              </w:rPr>
              <w:commentReference w:id="10"/>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上游供</w:t>
            </w:r>
            <w:r>
              <w:rPr>
                <w:rFonts w:hint="eastAsia" w:ascii="宋体" w:hAnsi="宋体" w:cs="宋体"/>
                <w:b/>
                <w:bCs/>
                <w:snapToGrid w:val="0"/>
                <w:color w:val="000000"/>
                <w:kern w:val="0"/>
                <w:szCs w:val="21"/>
                <w:highlight w:val="none"/>
              </w:rPr>
              <w:t>应</w:t>
            </w:r>
            <w:r>
              <w:rPr>
                <w:rFonts w:hint="eastAsia" w:ascii="宋体" w:hAnsi="宋体" w:cs="宋体"/>
                <w:b/>
                <w:bCs/>
                <w:snapToGrid w:val="0"/>
                <w:color w:val="000000"/>
                <w:kern w:val="0"/>
                <w:szCs w:val="21"/>
                <w:highlight w:val="none"/>
                <w:lang w:val="en-US" w:eastAsia="zh-CN"/>
              </w:rPr>
              <w:t>商</w:t>
            </w:r>
            <w:r>
              <w:rPr>
                <w:rFonts w:hint="eastAsia" w:ascii="宋体" w:hAnsi="宋体" w:cs="宋体"/>
                <w:b/>
                <w:bCs/>
                <w:snapToGrid w:val="0"/>
                <w:color w:val="000000"/>
                <w:kern w:val="0"/>
                <w:szCs w:val="21"/>
                <w:highlight w:val="none"/>
              </w:rPr>
              <w:t>主</w:t>
            </w:r>
            <w:r>
              <w:rPr>
                <w:rFonts w:hint="eastAsia" w:ascii="宋体" w:hAnsi="宋体" w:eastAsia="宋体" w:cs="宋体"/>
                <w:kern w:val="2"/>
                <w:sz w:val="21"/>
                <w:szCs w:val="21"/>
                <w:highlight w:val="none"/>
                <w:u w:val="single"/>
                <w:lang w:val="en-US" w:eastAsia="zh-CN"/>
              </w:rPr>
              <w:t>要包括：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5424B92B">
            <w:commentRangeStart w:id="1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____</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commentRangeEnd w:id="11"/>
            <w:r>
              <w:rPr>
                <w:rStyle w:val="CommentReference"/>
              </w:rPr>
              <w:commentReference w:id="11"/>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12"/>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12"/>
            <w:r>
              <w:rPr>
                <w:rStyle w:val="CommentReference"/>
              </w:rPr>
              <w:commentReference w:id="12"/>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w:t>
            </w:r>
            <w:r>
              <w:rPr>
                <w:rFonts w:hint="eastAsia" w:ascii="宋体" w:hAnsi="宋体" w:cs="宋体"/>
                <w:b/>
                <w:bCs w:val="0"/>
                <w:kern w:val="2"/>
                <w:sz w:val="21"/>
                <w:szCs w:val="21"/>
                <w:highlight w:val="none"/>
                <w:lang w:val="en-US" w:eastAsia="zh-CN" w:bidi="ar-SA"/>
              </w:rPr>
              <w:t>3.</w:t>
            </w:r>
            <w:r>
              <w:rPr>
                <w:rFonts w:hint="eastAsia" w:ascii="宋体" w:hAnsi="宋体" w:eastAsia="宋体" w:cs="宋体"/>
                <w:b/>
                <w:bCs w:val="0"/>
                <w:kern w:val="2"/>
                <w:sz w:val="21"/>
                <w:szCs w:val="21"/>
                <w:highlight w:val="none"/>
                <w:lang w:val="en-US" w:eastAsia="zh-CN" w:bidi="ar-SA"/>
              </w:rPr>
              <w:t>专利情况</w:t>
            </w:r>
            <w:r>
              <w:rPr>
                <w:rFonts w:hint="eastAsia" w:ascii="宋体" w:hAnsi="宋体" w:cs="宋体"/>
                <w:b/>
                <w:bCs/>
                <w:snapToGrid w:val="0"/>
                <w:kern w:val="0"/>
                <w:szCs w:val="21"/>
                <w:highlight w:val="none"/>
              </w:rPr>
              <w:t>：</w:t>
            </w:r>
            <w:r>
              <w:rPr>
                <w:rFonts w:hint="eastAsia" w:ascii="宋体" w:hAnsi="宋体" w:cs="宋体"/>
                <w:b w:val="0"/>
                <w:bCs/>
                <w:kern w:val="2"/>
                <w:sz w:val="21"/>
                <w:szCs w:val="21"/>
                <w:highlight w:val="none"/>
                <w:u w:val="single"/>
                <w:lang w:val="en-US" w:eastAsia="zh-CN" w:bidi="ar-SA"/>
              </w:rPr>
              <w:t>企业拥有发明专利X项、实用专利X项，权属清晰，不存在瑕疵及涉诉情况，具体情况如下表所示</w:t>
            </w:r>
            <w:r>
              <w:rPr>
                <w:rFonts w:hint="eastAsia" w:ascii="宋体" w:hAnsi="宋体" w:cs="宋体"/>
                <w:b w:val="0"/>
                <w:bCs/>
                <w:kern w:val="2"/>
                <w:sz w:val="21"/>
                <w:szCs w:val="21"/>
                <w:highlight w:val="none"/>
                <w:u w:val="none"/>
                <w:lang w:val="en-US" w:eastAsia="zh-CN" w:bidi="ar-SA"/>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截至目前</w:t>
            </w:r>
            <w:r>
              <w:rPr>
                <w:rFonts w:hint="eastAsia" w:ascii="宋体" w:hAnsi="宋体" w:cs="宋体"/>
                <w:b w:val="0"/>
                <w:bCs w:val="0"/>
                <w:snapToGrid w:val="0"/>
                <w:color w:val="auto"/>
                <w:kern w:val="0"/>
                <w:szCs w:val="21"/>
                <w:highlight w:val="none"/>
              </w:rPr>
              <w:t>，</w:t>
            </w:r>
            <w:r>
              <w:rPr>
                <w:rFonts w:hint="eastAsia" w:ascii="宋体" w:hAnsi="宋体" w:cs="宋体"/>
                <w:b w:val="0"/>
                <w:bCs w:val="0"/>
                <w:snapToGrid w:val="0"/>
                <w:color w:val="auto"/>
                <w:kern w:val="0"/>
                <w:szCs w:val="21"/>
                <w:highlight w:val="none"/>
                <w:lang w:eastAsia="zh-CN"/>
              </w:rPr>
              <w:t>企</w:t>
            </w:r>
            <w:r>
              <w:rPr>
                <w:rFonts w:hint="eastAsia" w:ascii="宋体" w:hAnsi="宋体" w:cs="宋体"/>
                <w:b w:val="0"/>
                <w:bCs w:val="0"/>
                <w:snapToGrid w:val="0"/>
                <w:color w:val="auto"/>
                <w:kern w:val="0"/>
                <w:szCs w:val="21"/>
                <w:highlight w:val="none"/>
                <w:lang w:val="en-US" w:eastAsia="zh-CN"/>
              </w:rPr>
              <w:t>业在我行日均存款材料未提供相关信息，对公有效户材料未提供相关信息，全年结算量</w:t>
            </w:r>
            <w:r>
              <w:rPr>
                <w:rFonts w:hint="eastAsia" w:ascii="宋体" w:hAnsi="宋体" w:cs="宋体"/>
                <w:b/>
                <w:bCs/>
                <w:snapToGrid w:val="0"/>
                <w:color w:val="auto"/>
                <w:kern w:val="0"/>
                <w:szCs w:val="21"/>
                <w:highlight w:val="none"/>
                <w:lang w:eastAsia="zh-CN"/>
              </w:rPr>
              <w:t>材</w:t>
            </w:r>
            <w:r>
              <w:rPr>
                <w:rFonts w:hint="eastAsia" w:ascii="宋体" w:hAnsi="宋体" w:cs="宋体"/>
                <w:b/>
                <w:bCs/>
                <w:snapToGrid w:val="0"/>
                <w:kern w:val="0"/>
                <w:szCs w:val="21"/>
                <w:highlight w:val="none"/>
              </w:rPr>
              <w:t>料</w:t>
            </w:r>
            <w:r>
              <w:rPr>
                <w:rFonts w:hint="eastAsia" w:ascii="宋体" w:hAnsi="宋体" w:cs="宋体"/>
                <w:b w:val="0"/>
                <w:bCs w:val="0"/>
                <w:snapToGrid w:val="0"/>
                <w:kern w:val="0"/>
                <w:szCs w:val="21"/>
                <w:highlight w:val="none"/>
                <w:u w:val="single"/>
                <w:lang w:val="en-US" w:eastAsia="zh-CN"/>
              </w:rPr>
              <w:t>未提供相关</w:t>
            </w:r>
            <w:r>
              <w:rPr>
                <w:rFonts w:hint="eastAsia" w:ascii="宋体" w:hAnsi="宋体" w:cs="宋体"/>
                <w:snapToGrid w:val="0"/>
                <w:kern w:val="0"/>
                <w:szCs w:val="21"/>
                <w:highlight w:val="none"/>
                <w:u w:val="single"/>
              </w:rPr>
              <w:t>信息，员工代发签约</w:t>
            </w:r>
            <w:r>
              <w:rPr>
                <w:rFonts w:hint="eastAsia" w:ascii="宋体" w:hAnsi="宋体" w:cs="宋体"/>
                <w:snapToGrid w:val="0"/>
                <w:kern w:val="0"/>
                <w:szCs w:val="21"/>
                <w:highlight w:val="none"/>
                <w:u w:val="single"/>
                <w:lang w:val="en-US" w:eastAsia="zh-CN"/>
              </w:rPr>
              <w:t>及发薪</w:t>
            </w:r>
            <w:r>
              <w:rPr>
                <w:rFonts w:hint="eastAsia" w:ascii="宋体" w:hAnsi="宋体" w:cs="宋体"/>
                <w:snapToGrid w:val="0"/>
                <w:kern w:val="0"/>
                <w:szCs w:val="21"/>
                <w:highlight w:val="none"/>
                <w:u w:val="single"/>
              </w:rPr>
              <w:t>量材料</w:t>
            </w:r>
            <w:r>
              <w:rPr>
                <w:rFonts w:hint="eastAsia" w:ascii="宋体" w:hAnsi="宋体" w:cs="宋体"/>
                <w:snapToGrid w:val="0"/>
                <w:kern w:val="0"/>
                <w:szCs w:val="21"/>
                <w:highlight w:val="none"/>
                <w:u w:val="single"/>
                <w:lang w:val="en-US" w:eastAsia="zh-CN"/>
              </w:rPr>
              <w:t>未提供相关信</w:t>
            </w:r>
            <w:r>
              <w:rPr>
                <w:rFonts w:hint="eastAsia" w:ascii="宋体" w:hAnsi="宋体" w:cs="宋体"/>
                <w:snapToGrid w:val="0"/>
                <w:kern w:val="0"/>
                <w:szCs w:val="21"/>
                <w:highlight w:val="none"/>
                <w:u w:val="single"/>
              </w:rPr>
              <w:t>息</w:t>
            </w:r>
            <w:r>
              <w:rPr>
                <w:rFonts w:hint="eastAsia" w:ascii="宋体" w:hAnsi="宋体" w:cs="宋体"/>
                <w:snapToGrid w:val="0"/>
                <w:kern w:val="0"/>
                <w:szCs w:val="21"/>
                <w:highlight w:val="none"/>
                <w:u w:val="single"/>
                <w:lang w:val="en-US" w:eastAsia="zh-CN"/>
              </w:rPr>
              <w:t>。</w:t>
            </w:r>
            <w:r>
              <w:rPr>
                <w:rFonts w:hint="eastAsia" w:ascii="宋体" w:hAnsi="宋体" w:cs="宋体"/>
                <w:snapToGrid w:val="0"/>
                <w:kern w:val="0"/>
                <w:szCs w:val="21"/>
                <w:highlight w:val="none"/>
                <w:u w:val="single"/>
              </w:rPr>
              <w:t>企业在</w:t>
            </w:r>
            <w:r>
              <w:rPr>
                <w:rFonts w:hint="eastAsia" w:ascii="宋体" w:hAnsi="宋体" w:cs="宋体"/>
                <w:snapToGrid w:val="0"/>
                <w:kern w:val="0"/>
                <w:szCs w:val="21"/>
                <w:highlight w:val="none"/>
                <w:u w:val="single"/>
                <w:lang w:val="en-US" w:eastAsia="zh-CN"/>
              </w:rPr>
              <w:t>我行的综</w:t>
            </w:r>
            <w:r>
              <w:rPr>
                <w:rFonts w:hint="eastAsia" w:ascii="宋体" w:hAnsi="宋体" w:cs="宋体"/>
                <w:snapToGrid w:val="0"/>
                <w:kern w:val="0"/>
                <w:szCs w:val="21"/>
                <w:highlight w:val="none"/>
                <w:u w:val="single"/>
              </w:rPr>
              <w:t>合</w:t>
            </w:r>
            <w:r>
              <w:rPr>
                <w:rFonts w:hint="eastAsia" w:ascii="宋体" w:hAnsi="宋体" w:cs="宋体"/>
                <w:snapToGrid w:val="0"/>
                <w:kern w:val="0"/>
                <w:szCs w:val="21"/>
                <w:highlight w:val="none"/>
                <w:u w:val="single"/>
                <w:lang w:val="en-US" w:eastAsia="zh-CN"/>
              </w:rPr>
              <w:t>业务合作</w:t>
            </w:r>
            <w:r>
              <w:rPr>
                <w:rFonts w:hint="eastAsia" w:ascii="宋体" w:hAnsi="宋体" w:cs="宋体"/>
                <w:snapToGrid w:val="0"/>
                <w:kern w:val="0"/>
                <w:szCs w:val="21"/>
                <w:highlight w:val="none"/>
                <w:u w:val="single"/>
              </w:rPr>
              <w:t>基础较</w:t>
            </w:r>
            <w:r>
              <w:rPr>
                <w:rFonts w:hint="eastAsia" w:ascii="宋体" w:hAnsi="宋体" w:cs="宋体"/>
                <w:snapToGrid w:val="0"/>
                <w:kern w:val="0"/>
                <w:szCs w:val="21"/>
                <w:highlight w:val="none"/>
                <w:u w:val="single"/>
                <w:lang w:val="en-US" w:eastAsia="zh-CN"/>
              </w:rPr>
              <w:t>为薄弱，</w:t>
            </w:r>
            <w:r>
              <w:rPr>
                <w:rFonts w:hint="eastAsia" w:ascii="宋体" w:hAnsi="宋体" w:cs="宋体"/>
                <w:snapToGrid w:val="0"/>
                <w:kern w:val="0"/>
                <w:szCs w:val="21"/>
                <w:highlight w:val="none"/>
                <w:u w:val="single"/>
              </w:rPr>
              <w:t>未能形</w:t>
            </w:r>
            <w:r>
              <w:rPr>
                <w:rFonts w:hint="eastAsia" w:ascii="宋体" w:hAnsi="宋体" w:cs="宋体"/>
                <w:snapToGrid w:val="0"/>
                <w:kern w:val="0"/>
                <w:szCs w:val="21"/>
                <w:highlight w:val="none"/>
                <w:u w:val="single"/>
                <w:lang w:val="en-US" w:eastAsia="zh-CN"/>
              </w:rPr>
              <w:t>成稳定的存款沉淀和结算</w:t>
            </w:r>
            <w:r>
              <w:rPr>
                <w:rFonts w:hint="eastAsia" w:ascii="宋体" w:hAnsi="宋体" w:cs="宋体"/>
                <w:snapToGrid w:val="0"/>
                <w:kern w:val="0"/>
                <w:szCs w:val="21"/>
                <w:highlight w:val="none"/>
                <w:u w:val="single"/>
              </w:rPr>
              <w:t>流水，对银行综合收益贡献有限。</w:t>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预计企业在我行可实现日均存款约286万元（基于2025年末货币资金），全年结算量预计不低于1.48亿元（参考2025年经营活动现金流入小计）。企业下游客户包括涵江水利局等政府及国企单位，回款相对稳定，有助于形成持续结算流水。材料未提供企业员工总数及代发工资意向，因此代发签约及发薪量暂无法预估。企业目前短期借款余额为4730万元，融资需求明确，若授信获批，有助于我行成为其主要结算行，并带动对公有效户的稳定。整体来看，该笔业务可带来一定的存款沉淀与结算量，综合效益尚可。</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commentRangeStart w:id="1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3"/>
            <w:r>
              <w:rPr>
                <w:rStyle w:val="CommentReference"/>
              </w:rPr>
              <w:commentReference w:id="13"/>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1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commentRangeEnd w:id="14"/>
            <w:r>
              <w:rPr>
                <w:rStyle w:val="CommentReference"/>
              </w:rPr>
              <w:commentReference w:id="14"/>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commentRangeStart w:id="15"/>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5"/>
            <w:r>
              <w:rPr>
                <w:rStyle w:val="CommentReference"/>
              </w:rPr>
              <w:commentReference w:id="15"/>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2025年经营活动产生的现金流量净额为791万元，为正，表明公司主营业务具备一定的现金生成能力。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材料未提供抵质押物信息及其他渠道现金流分析。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5874C0C9">
            <w:commentRangeStart w:id="16"/>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2523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福州大学国家科技园8号楼的5层</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r>
                    <w:t>920</w:t>
                  </w: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r>
                    <w:t>100%</w:t>
                  </w: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①保证人基本信息：成立日期、注册资本及</w:t>
            </w:r>
            <w:r>
              <w:rPr>
                <w:rFonts w:hint="eastAsia" w:ascii="宋体" w:hAnsi="宋体" w:cs="宋体"/>
                <w:b w:val="0"/>
                <w:bCs/>
                <w:kern w:val="2"/>
                <w:sz w:val="21"/>
                <w:szCs w:val="21"/>
                <w:highlight w:val="none"/>
                <w:lang w:val="en-US" w:eastAsia="zh-CN"/>
              </w:rPr>
              <w:t>实收资本</w:t>
            </w:r>
            <w:r>
              <w:rPr>
                <w:rFonts w:hint="eastAsia" w:ascii="宋体" w:hAnsi="宋体" w:eastAsia="宋体" w:cs="宋体"/>
                <w:b w:val="0"/>
                <w:bCs/>
                <w:kern w:val="2"/>
                <w:sz w:val="21"/>
                <w:szCs w:val="21"/>
                <w:highlight w:val="none"/>
              </w:rPr>
              <w:t>、法人代表</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经营场所</w:t>
            </w:r>
            <w:r>
              <w:rPr>
                <w:rFonts w:hint="eastAsia" w:ascii="宋体" w:hAnsi="宋体" w:cs="宋体"/>
                <w:snapToGrid w:val="0"/>
                <w:color w:val="000000"/>
                <w:kern w:val="0"/>
                <w:szCs w:val="21"/>
                <w:highlight w:val="none"/>
                <w:lang w:val="en-US" w:eastAsia="zh-CN"/>
              </w:rPr>
              <w:t>（坐落地点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eastAsia="宋体" w:cs="宋体"/>
                <w:b w:val="0"/>
                <w:bCs/>
                <w:kern w:val="2"/>
                <w:sz w:val="21"/>
                <w:szCs w:val="21"/>
                <w:highlight w:val="none"/>
              </w:rPr>
              <w:t>；</w:t>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spacing w:val="0"/>
                <w:sz w:val="21"/>
                <w:szCs w:val="21"/>
                <w:highlight w:val="none"/>
                <w:lang w:val="en-US" w:eastAsia="zh-CN"/>
              </w:rPr>
              <w:t>最新担保</w:t>
            </w:r>
            <w:r>
              <w:rPr>
                <w:rFonts w:hint="eastAsia" w:ascii="宋体" w:hAnsi="宋体" w:eastAsia="宋体" w:cs="宋体"/>
                <w:i w:val="0"/>
                <w:iCs w:val="0"/>
                <w:caps w:val="0"/>
                <w:spacing w:val="0"/>
                <w:sz w:val="21"/>
                <w:szCs w:val="21"/>
                <w:highlight w:val="none"/>
              </w:rPr>
              <w:t>情况是否</w:t>
            </w:r>
            <w:r>
              <w:rPr>
                <w:rFonts w:hint="eastAsia" w:ascii="宋体" w:hAnsi="宋体" w:eastAsia="宋体" w:cs="宋体"/>
                <w:i w:val="0"/>
                <w:iCs w:val="0"/>
                <w:caps w:val="0"/>
                <w:spacing w:val="0"/>
                <w:sz w:val="21"/>
                <w:szCs w:val="21"/>
                <w:highlight w:val="none"/>
                <w:lang w:val="en-US" w:eastAsia="zh-CN"/>
              </w:rPr>
              <w:t>符合</w:t>
            </w:r>
            <w:r>
              <w:rPr>
                <w:rFonts w:hint="eastAsia" w:ascii="宋体" w:hAnsi="宋体" w:eastAsia="宋体" w:cs="宋体"/>
                <w:i w:val="0"/>
                <w:iCs w:val="0"/>
                <w:caps w:val="0"/>
                <w:spacing w:val="0"/>
                <w:sz w:val="21"/>
                <w:szCs w:val="21"/>
                <w:highlight w:val="none"/>
              </w:rPr>
              <w:t>要求（</w:t>
            </w:r>
            <w:r>
              <w:rPr>
                <w:rFonts w:hint="eastAsia" w:ascii="宋体" w:hAnsi="宋体" w:eastAsia="宋体" w:cs="宋体"/>
                <w:i w:val="0"/>
                <w:iCs w:val="0"/>
                <w:caps w:val="0"/>
                <w:spacing w:val="0"/>
                <w:sz w:val="21"/>
                <w:szCs w:val="21"/>
                <w:highlight w:val="none"/>
                <w:lang w:val="en-US" w:eastAsia="zh-CN"/>
              </w:rPr>
              <w:t>包括：</w:t>
            </w:r>
            <w:r>
              <w:rPr>
                <w:rFonts w:hint="eastAsia" w:ascii="宋体" w:hAnsi="宋体" w:eastAsia="宋体" w:cs="宋体"/>
                <w:i w:val="0"/>
                <w:iCs w:val="0"/>
                <w:caps w:val="0"/>
                <w:spacing w:val="0"/>
                <w:sz w:val="21"/>
                <w:szCs w:val="21"/>
                <w:highlight w:val="none"/>
              </w:rPr>
              <w:t>对外担保总额、我行担保余额、净资产和担保倍率等）</w:t>
            </w:r>
            <w:r>
              <w:rPr>
                <w:rFonts w:hint="eastAsia" w:ascii="宋体" w:hAnsi="宋体" w:eastAsia="宋体" w:cs="宋体"/>
                <w:i w:val="0"/>
                <w:iCs w:val="0"/>
                <w:caps w:val="0"/>
                <w:spacing w:val="0"/>
                <w:sz w:val="21"/>
                <w:szCs w:val="21"/>
                <w:highlight w:val="none"/>
                <w:lang w:eastAsia="zh-CN"/>
              </w:rPr>
              <w:t>，</w:t>
            </w:r>
            <w:r>
              <w:rPr>
                <w:rFonts w:hint="eastAsia" w:ascii="宋体" w:hAnsi="宋体" w:eastAsia="宋体" w:cs="宋体"/>
                <w:i w:val="0"/>
                <w:iCs w:val="0"/>
                <w:caps w:val="0"/>
                <w:spacing w:val="0"/>
                <w:sz w:val="21"/>
                <w:szCs w:val="21"/>
                <w:highlight w:val="none"/>
              </w:rPr>
              <w:t>本次担保</w:t>
            </w:r>
            <w:r>
              <w:rPr>
                <w:rFonts w:hint="eastAsia" w:ascii="宋体" w:hAnsi="宋体" w:eastAsia="宋体" w:cs="宋体"/>
                <w:i w:val="0"/>
                <w:iCs w:val="0"/>
                <w:caps w:val="0"/>
                <w:spacing w:val="0"/>
                <w:sz w:val="21"/>
                <w:szCs w:val="21"/>
                <w:highlight w:val="none"/>
                <w:lang w:val="en-US" w:eastAsia="zh-CN"/>
              </w:rPr>
              <w:t>是否符合</w:t>
            </w:r>
            <w:r>
              <w:rPr>
                <w:rFonts w:hint="eastAsia" w:ascii="宋体" w:hAnsi="宋体" w:eastAsia="宋体" w:cs="宋体"/>
                <w:i w:val="0"/>
                <w:iCs w:val="0"/>
                <w:caps w:val="0"/>
                <w:spacing w:val="0"/>
                <w:sz w:val="21"/>
                <w:szCs w:val="21"/>
                <w:highlight w:val="none"/>
              </w:rPr>
              <w:t>准入</w:t>
            </w:r>
            <w:r>
              <w:rPr>
                <w:rFonts w:hint="eastAsia" w:ascii="宋体" w:hAnsi="宋体" w:eastAsia="宋体" w:cs="宋体"/>
                <w:i w:val="0"/>
                <w:iCs w:val="0"/>
                <w:caps w:val="0"/>
                <w:spacing w:val="0"/>
                <w:sz w:val="21"/>
                <w:szCs w:val="21"/>
                <w:highlight w:val="none"/>
                <w:lang w:val="en-US" w:eastAsia="zh-CN"/>
              </w:rPr>
              <w:t>要求</w:t>
            </w:r>
            <w:r>
              <w:rPr>
                <w:rFonts w:hint="eastAsia" w:ascii="宋体" w:hAnsi="宋体" w:eastAsia="宋体" w:cs="宋体"/>
                <w:i w:val="0"/>
                <w:iCs w:val="0"/>
                <w:caps w:val="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本次授信申请为信用方式。企业资产负债率为42.5%，负债水平适中；流动比率为1.82，短期偿债能力尚可。企业2025年实现营业收入10010万元，净利润494万元，保持盈利。企业当前银行融资余额为4730万元，主要为短期借款。企业主营业务聚焦智慧水利与智慧教育，符合国家政策导向，其智慧水利解决方案在福建省内已有300余座水库应用案例，具备一定的市场基础和技术实力。实际控制人黄祖海在行业内从业经验超过20年，经营团队相对稳定。综合来看，企业基本面尚可，但考虑到其应收账款规模较大（2025年末为7430万元），对营运资金形成一定占用，且材料未提供可用于抵质押的资产信息，本次授信暂以信用方式申报。后续将重点关注其应收账款回收情况及经营活动现金流变化。</w:t>
            </w:r>
            <w:r>
              <w:rPr>
                <w:rFonts w:hint="eastAsia" w:ascii="宋体" w:hAnsi="宋体" w:eastAsia="宋体" w:cs="宋体"/>
                <w:b/>
                <w:sz w:val="21"/>
                <w:szCs w:val="21"/>
                <w:highlight w:val="none"/>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lang w:val="en-US" w:eastAsia="zh-CN"/>
              </w:rPr>
            </w:r>
            <w:r>
              <w:rPr>
                <w:rFonts w:hint="eastAsia" w:ascii="宋体" w:hAnsi="宋体" w:eastAsia="宋体" w:cs="宋体"/>
                <w:i w:val="0"/>
                <w:iCs w:val="0"/>
                <w:caps w:val="0"/>
                <w:spacing w:val="0"/>
                <w:kern w:val="2"/>
                <w:sz w:val="21"/>
                <w:szCs w:val="21"/>
                <w:highlight w:val="none"/>
                <w:lang w:val="en-US" w:eastAsia="zh-CN" w:bidi="ar-SA"/>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rPr>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十一</w:t>
            </w:r>
            <w:r>
              <w:rPr>
                <w:rFonts w:hint="eastAsia" w:ascii="宋体" w:hAnsi="宋体" w:cs="宋体"/>
                <w:b/>
                <w:bCs/>
                <w:snapToGrid w:val="0"/>
                <w:kern w:val="0"/>
                <w:szCs w:val="21"/>
                <w:highlight w:val="none"/>
              </w:rPr>
              <w:t>）经营单位授信申报</w:t>
            </w:r>
            <w:r>
              <w:rPr>
                <w:rFonts w:hint="eastAsia" w:ascii="宋体" w:hAnsi="宋体" w:cs="宋体"/>
                <w:b/>
                <w:bCs/>
                <w:snapToGrid w:val="0"/>
                <w:kern w:val="0"/>
                <w:szCs w:val="21"/>
                <w:highlight w:val="none"/>
                <w:lang w:val="en-US" w:eastAsia="zh-CN"/>
              </w:rPr>
              <w:t>结论及</w:t>
            </w:r>
            <w:r>
              <w:rPr>
                <w:rFonts w:hint="eastAsia" w:ascii="宋体" w:hAnsi="宋体" w:cs="宋体"/>
                <w:b/>
                <w:bCs/>
                <w:snapToGrid w:val="0"/>
                <w:kern w:val="0"/>
                <w:szCs w:val="21"/>
                <w:highlight w:val="none"/>
              </w:rPr>
              <w:t>方案：</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u w:val="single"/>
                <w:lang w:val="en-US" w:eastAsia="zh-CN"/>
              </w:rPr>
              <w:t>围绕“现金流、杠杆率、可持续、垒小户、配结算、强担保”六要素展开</w:t>
            </w:r>
            <w:r>
              <w:rPr>
                <w:rFonts w:hint="eastAsia" w:ascii="宋体" w:hAnsi="宋体" w:cs="宋体"/>
                <w:b/>
                <w:bCs/>
                <w:snapToGrid w:val="0"/>
                <w:kern w:val="0"/>
                <w:szCs w:val="21"/>
                <w:highlight w:val="none"/>
                <w:u w:val="single"/>
              </w:rPr>
              <w:t xml:space="preserve"> </w:t>
            </w:r>
            <w:r>
              <w:rPr>
                <w:rFonts w:hint="eastAsia" w:ascii="宋体" w:hAnsi="宋体" w:cs="宋体"/>
                <w:b/>
                <w:bCs/>
                <w:snapToGrid w:val="0"/>
                <w:kern w:val="0"/>
                <w:szCs w:val="21"/>
                <w:highlight w:val="none"/>
                <w:u w:val="single"/>
                <w:lang w:eastAsia="zh-CN"/>
              </w:rPr>
              <w:t>，</w:t>
            </w:r>
            <w:r>
              <w:rPr>
                <w:rFonts w:hint="eastAsia" w:ascii="宋体" w:hAnsi="宋体" w:cs="宋体"/>
                <w:b/>
                <w:bCs/>
                <w:snapToGrid w:val="0"/>
                <w:kern w:val="0"/>
                <w:szCs w:val="21"/>
                <w:highlight w:val="none"/>
                <w:u w:val="single"/>
                <w:lang w:val="en-US" w:eastAsia="zh-CN"/>
              </w:rPr>
              <w:t>基于“六要素”综合评判客户是否准入，如何设置合理授信方案及贷后管控措施）</w:t>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1882DF71">
            <w:commentRangeStart w:id="1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w:t>
            </w:r>
            <w:r>
              <w:rPr>
                <w:rFonts w:hint="eastAsia" w:ascii="宋体" w:hAnsi="宋体" w:eastAsia="宋体" w:cs="宋体"/>
                <w:snapToGrid w:val="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____行业多年的专业人员，公司可持续性发展趋势良好。</w:t>
            </w:r>
            <w:commentRangeEnd w:id="17"/>
            <w:r>
              <w:rPr>
                <w:rStyle w:val="CommentReference"/>
              </w:rPr>
              <w:commentReference w:id="17"/>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上</w:t>
            </w:r>
            <w:r>
              <w:rPr>
                <w:rFonts w:hint="eastAsia" w:ascii="宋体" w:hAnsi="宋体" w:eastAsia="宋体" w:cs="宋体"/>
                <w:b/>
                <w:bCs/>
                <w:snapToGrid w:val="0"/>
                <w:kern w:val="0"/>
                <w:szCs w:val="21"/>
                <w:highlight w:val="none"/>
                <w:u w:val="single"/>
                <w:lang w:val="en-US" w:eastAsia="zh-CN"/>
              </w:rPr>
              <w:t>游供应商主要包括：</w:t>
            </w:r>
            <w:r>
              <w:rPr>
                <w:rFonts w:hint="eastAsia" w:ascii="宋体" w:hAnsi="宋体" w:eastAsia="宋体" w:cs="宋体"/>
                <w:snapToGrid w:val="0"/>
                <w:kern w:val="0"/>
                <w:szCs w:val="21"/>
                <w:highlight w:val="none"/>
                <w:u w:val="single"/>
                <w:lang w:val="en-US" w:eastAsia="zh-CN"/>
              </w:rPr>
              <w:t>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w:t>
            </w:r>
            <w:r>
              <w:rPr>
                <w:rFonts w:hint="eastAsia" w:ascii="宋体" w:hAnsi="宋体" w:eastAsia="宋体" w:cs="宋体"/>
                <w:snapToGrid w:val="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8"/>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借款人授信敞口1000万元，____     。</w:t>
            </w:r>
            <w:r>
              <w:rPr>
                <w:rFonts w:hint="eastAsia" w:ascii="宋体" w:hAnsi="宋体" w:cs="宋体"/>
                <w:b/>
                <w:kern w:val="2"/>
                <w:sz w:val="21"/>
                <w:szCs w:val="21"/>
                <w:highlight w:val="none"/>
                <w:u w:val="single"/>
                <w:lang w:val="en-US" w:eastAsia="zh-CN"/>
              </w:rPr>
              <w:t xml:space="preserve"> </w:t>
            </w:r>
            <w:commentRangeEnd w:id="18"/>
            <w:r>
              <w:rPr>
                <w:rStyle w:val="CommentReference"/>
              </w:rPr>
              <w:commentReference w:id="18"/>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行长：                                              日期：</w:t>
            </w:r>
            <w:r>
              <w:rPr>
                <w:rFonts w:hint="eastAsia" w:ascii="宋体" w:hAnsi="宋体" w:cs="宋体"/>
                <w:snapToGrid w:val="0"/>
                <w:kern w:val="0"/>
                <w:szCs w:val="21"/>
                <w:u w:val="single"/>
              </w:rPr>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commentRangeEnd w:id="19"/>
            <w:r>
              <w:rPr>
                <w:rStyle w:val="CommentReference"/>
              </w:rPr>
              <w:commentReference w:id="19"/>
            </w:r>
          </w:p>
          <w:p w14:paraId="6AC425A6">
            <w:commentRangeStart w:id="20"/>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20"/>
            <w:r>
              <w:rPr>
                <w:rStyle w:val="CommentReference"/>
              </w:rPr>
              <w:commentReference w:id="20"/>
            </w:r>
          </w:p>
          <w:p w14:paraId="2FC82B07">
            <w:commentRangeStart w:id="21"/>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1"/>
            <w:r>
              <w:rPr>
                <w:rStyle w:val="CommentReference"/>
              </w:rPr>
              <w:commentReference w:id="21"/>
            </w:r>
          </w:p>
          <w:p w14:paraId="269107E9">
            <w:commentRangeStart w:id="22"/>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2"/>
            <w:r>
              <w:rPr>
                <w:rStyle w:val="CommentReference"/>
              </w:rPr>
              <w:commentReference w:id="22"/>
            </w:r>
          </w:p>
          <w:p w14:paraId="3096CC3B">
            <w:commentRangeStart w:id="23"/>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3"/>
            <w:r>
              <w:rPr>
                <w:rStyle w:val="CommentReference"/>
              </w:rPr>
              <w:commentReference w:id="23"/>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省分行（辖行）普惠部审查岗意见（可另附）：</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color w:val="000000"/>
                <w:kern w:val="0"/>
                <w:szCs w:val="21"/>
                <w:highlight w:val="none"/>
              </w:rPr>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审查员：                             日期：  　 年    月    日</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审批人：                             日期：  　 年    月    日</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                           日期：  　 年    月    日</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25"/>
            <w:r>
              <w:rPr>
                <w:rStyle w:val="CommentReference"/>
              </w:rPr>
              <w:commentReference w:id="25"/>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7T14:34:12Z" w:initials="Agent">
    <w:p>
      <w:r>
        <w:rPr>
          <w:rStyle w:val="CommentReference"/>
        </w:rPr>
        <w:annotationRef/>
      </w:r>
      <w:r>
        <w:t xml:space="preserve">该处“申报单位”仍为空白，请人工确认。</w:t>
      </w:r>
    </w:p>
  </w:comment>
  <w:comment w:id="1" w:author="信贷报告 Agent" w:date="2026-04-07T14:34:12Z" w:initials="Agent">
    <w:p>
      <w:r>
        <w:rPr>
          <w:rStyle w:val="CommentReference"/>
        </w:rPr>
        <w:annotationRef/>
      </w:r>
      <w:r>
        <w:t xml:space="preserve">该处“小类）”仍为空白，请人工确认。</w:t>
      </w:r>
    </w:p>
  </w:comment>
  <w:comment w:id="2" w:author="信贷报告 Agent" w:date="2026-04-07T14:34:12Z" w:initials="Agent">
    <w:p>
      <w:r>
        <w:rPr>
          <w:rStyle w:val="CommentReference"/>
        </w:rPr>
        <w:annotationRef/>
      </w:r>
      <w:r>
        <w:t xml:space="preserve">该处“绿通标识”仍为空白，请人工确认。</w:t>
      </w:r>
    </w:p>
  </w:comment>
  <w:comment w:id="3" w:author="信贷报告 Agent" w:date="2026-04-07T14:34:12Z" w:initials="Agent">
    <w:p>
      <w:r>
        <w:rPr>
          <w:rStyle w:val="CommentReference"/>
        </w:rPr>
        <w:annotationRef/>
      </w:r>
      <w:r>
        <w:t xml:space="preserve">该处“过往两年企业股权变动情况及变动原因”仍为空白，请人工确认。</w:t>
      </w:r>
    </w:p>
  </w:comment>
  <w:comment w:id="4" w:author="信贷报告 Agent" w:date="2026-04-07T14:34:12Z" w:initials="Agent">
    <w:p>
      <w:r>
        <w:rPr>
          <w:rStyle w:val="CommentReference"/>
        </w:rPr>
        <w:annotationRef/>
      </w:r>
      <w:r>
        <w:t xml:space="preserve">该处“分析原因”仍为空白，请人工确认。</w:t>
      </w:r>
    </w:p>
  </w:comment>
  <w:comment w:id="5" w:author="信贷报告 Agent" w:date="2026-04-07T14:34:12Z" w:initials="Agent">
    <w:p>
      <w:r>
        <w:rPr>
          <w:rStyle w:val="CommentReference"/>
        </w:rPr>
        <w:annotationRef/>
      </w:r>
      <w:r>
        <w:t xml:space="preserve">该处“主要上游（前五大）”仍为空白，请人工确认。</w:t>
      </w:r>
    </w:p>
  </w:comment>
  <w:comment w:id="6" w:author="信贷报告 Agent" w:date="2026-04-07T14:34:12Z" w:initials="Agent">
    <w:p>
      <w:r>
        <w:rPr>
          <w:rStyle w:val="CommentReference"/>
        </w:rPr>
        <w:annotationRef/>
      </w:r>
      <w:r>
        <w:t xml:space="preserve">该处“主要下游（前五大）”仍为空白，请人工确认。</w:t>
      </w:r>
    </w:p>
  </w:comment>
  <w:comment w:id="7" w:author="信贷报告 Agent" w:date="2026-04-07T14:34:12Z" w:initials="Agent">
    <w:p>
      <w:r>
        <w:rPr>
          <w:rStyle w:val="CommentReference"/>
        </w:rPr>
        <w:annotationRef/>
      </w:r>
      <w:r>
        <w:t xml:space="preserve">该处“最新在手订单列表”仍为空白，请人工确认。</w:t>
      </w:r>
    </w:p>
  </w:comment>
  <w:comment w:id="8" w:author="信贷报告 Agent" w:date="2026-04-07T14:34:12Z" w:initials="Agent">
    <w:p>
      <w:r>
        <w:rPr>
          <w:rStyle w:val="CommentReference"/>
        </w:rPr>
        <w:annotationRef/>
      </w:r>
      <w:r>
        <w:t xml:space="preserve">该处“反馈中长期借款还款计划及还款资金安排情况”仍为空白，请人工确认。</w:t>
      </w:r>
    </w:p>
  </w:comment>
  <w:comment w:id="9" w:author="信贷报告 Agent" w:date="2026-04-07T14:34:12Z" w:initials="Agent">
    <w:p>
      <w:r>
        <w:rPr>
          <w:rStyle w:val="CommentReference"/>
        </w:rPr>
        <w:annotationRef/>
      </w:r>
      <w:r>
        <w:t xml:space="preserve">该处“（若有）对外担保情况”仍为空白，请人工确认。</w:t>
      </w:r>
    </w:p>
  </w:comment>
  <w:comment w:id="10" w:author="信贷报告 Agent" w:date="2026-04-07T14:34:12Z" w:initials="Agent">
    <w:p>
      <w:r>
        <w:rPr>
          <w:rStyle w:val="CommentReference"/>
        </w:rPr>
        <w:annotationRef/>
      </w:r>
      <w:r>
        <w:t xml:space="preserve">该处“（若有）不良记录情况”仍为空白，请人工确认。</w:t>
      </w:r>
    </w:p>
  </w:comment>
  <w:comment w:id="11" w:author="信贷报告 Agent" w:date="2026-04-07T14:34:12Z" w:initials="Agent">
    <w:p>
      <w:r>
        <w:rPr>
          <w:rStyle w:val="CommentReference"/>
        </w:rPr>
        <w:annotationRef/>
      </w:r>
      <w:r>
        <w:t xml:space="preserve">该处“3.实控人配偶情况： 陈____ ，中国”仍为空白，请人工确认。</w:t>
      </w:r>
    </w:p>
  </w:comment>
  <w:comment w:id="12" w:author="信贷报告 Agent" w:date="2026-04-07T14:34:12Z" w:initials="Agent">
    <w:p>
      <w:r>
        <w:rPr>
          <w:rStyle w:val="CommentReference"/>
        </w:rPr>
        <w:annotationRef/>
      </w:r>
      <w:r>
        <w:t xml:space="preserve">该处“科技型企业评分”仍为空白，请人工确认。</w:t>
      </w:r>
    </w:p>
  </w:comment>
  <w:comment w:id="13" w:author="信贷报告 Agent" w:date="2026-04-07T14:34:12Z" w:initials="Agent">
    <w:p>
      <w:r>
        <w:rPr>
          <w:rStyle w:val="CommentReference"/>
        </w:rPr>
        <w:annotationRef/>
      </w:r>
      <w:r>
        <w:t xml:space="preserve">该处“请补充分析原因”仍为空白，请人工确认。</w:t>
      </w:r>
    </w:p>
  </w:comment>
  <w:comment w:id="14" w:author="信贷报告 Agent" w:date="2026-04-07T14:34:12Z" w:initials="Agent">
    <w:p>
      <w:r>
        <w:rPr>
          <w:rStyle w:val="CommentReference"/>
        </w:rPr>
        <w:annotationRef/>
      </w:r>
      <w:r>
        <w:t xml:space="preserve">该处“企业营运资金需求”仍为空白，请人工确认。</w:t>
      </w:r>
    </w:p>
  </w:comment>
  <w:comment w:id="15" w:author="信贷报告 Agent" w:date="2026-04-07T14:34:12Z" w:initials="Agent">
    <w:p>
      <w:r>
        <w:rPr>
          <w:rStyle w:val="CommentReference"/>
        </w:rPr>
        <w:annotationRef/>
      </w:r>
      <w:r>
        <w:t xml:space="preserve">该处“请补充说明”仍为空白，请人工确认。</w:t>
      </w:r>
    </w:p>
  </w:comment>
  <w:comment w:id="16" w:author="信贷报告 Agent" w:date="2026-04-07T14:34:12Z" w:initials="Agent">
    <w:p>
      <w:r>
        <w:rPr>
          <w:rStyle w:val="CommentReference"/>
        </w:rPr>
        <w:annotationRef/>
      </w:r>
      <w:r>
        <w:t xml:space="preserve">该处“变动原因”仍为空白，请人工确认。</w:t>
      </w:r>
    </w:p>
  </w:comment>
  <w:comment w:id="17" w:author="信贷报告 Agent" w:date="2026-04-07T14:34:12Z" w:initials="Agent">
    <w:p>
      <w:r>
        <w:rPr>
          <w:rStyle w:val="CommentReference"/>
        </w:rPr>
        <w:annotationRef/>
      </w:r>
      <w:r>
        <w:t xml:space="preserve">该处“研发团队领头人均是从事”仍为空白，请人工确认。</w:t>
      </w:r>
    </w:p>
  </w:comment>
  <w:comment w:id="18" w:author="信贷报告 Agent" w:date="2026-04-07T14:34:12Z" w:initials="Agent">
    <w:p>
      <w:r>
        <w:rPr>
          <w:rStyle w:val="CommentReference"/>
        </w:rPr>
        <w:annotationRef/>
      </w:r>
      <w:r>
        <w:t xml:space="preserve">该处“2.申报授信方案： 拟申请给予借款人授信”仍为空白，请人工确认。</w:t>
      </w:r>
    </w:p>
  </w:comment>
  <w:comment w:id="19" w:author="信贷报告 Agent" w:date="2026-04-07T14:34:12Z" w:initials="Agent">
    <w:p>
      <w:r>
        <w:rPr>
          <w:rStyle w:val="CommentReference"/>
        </w:rPr>
        <w:annotationRef/>
      </w:r>
      <w:r>
        <w:t xml:space="preserve">该处“行长”仍为空白，请人工确认。</w:t>
      </w:r>
    </w:p>
  </w:comment>
  <w:comment w:id="20" w:author="信贷报告 Agent" w:date="2026-04-07T14:34:12Z" w:initials="Agent">
    <w:p>
      <w:r>
        <w:rPr>
          <w:rStyle w:val="CommentReference"/>
        </w:rPr>
        <w:annotationRef/>
      </w:r>
      <w:r>
        <w:t xml:space="preserve">该处“共同调查人”仍为空白，请人工确认。</w:t>
      </w:r>
    </w:p>
  </w:comment>
  <w:comment w:id="21" w:author="信贷报告 Agent" w:date="2026-04-07T14:34:12Z" w:initials="Agent">
    <w:p>
      <w:r>
        <w:rPr>
          <w:rStyle w:val="CommentReference"/>
        </w:rPr>
        <w:annotationRef/>
      </w:r>
      <w:r>
        <w:t xml:space="preserve">该处“二级支行行长”仍为空白，请人工确认。</w:t>
      </w:r>
    </w:p>
  </w:comment>
  <w:comment w:id="22" w:author="信贷报告 Agent" w:date="2026-04-07T14:34:12Z" w:initials="Agent">
    <w:p>
      <w:r>
        <w:rPr>
          <w:rStyle w:val="CommentReference"/>
        </w:rPr>
        <w:annotationRef/>
      </w:r>
      <w:r>
        <w:t xml:space="preserve">该处“分管行长”仍为空白，请人工确认。</w:t>
      </w:r>
    </w:p>
  </w:comment>
  <w:comment w:id="23" w:author="信贷报告 Agent" w:date="2026-04-07T14:34:12Z" w:initials="Agent">
    <w:p>
      <w:r>
        <w:rPr>
          <w:rStyle w:val="CommentReference"/>
        </w:rPr>
        <w:annotationRef/>
      </w:r>
      <w:r>
        <w:t xml:space="preserve">该处“行长”仍为空白，请人工确认。</w:t>
      </w:r>
    </w:p>
  </w:comment>
  <w:comment w:id="24" w:author="信贷报告 Agent" w:date="2026-04-07T14:34:12Z" w:initials="Agent">
    <w:p>
      <w:r>
        <w:rPr>
          <w:rStyle w:val="CommentReference"/>
        </w:rPr>
        <w:annotationRef/>
      </w:r>
      <w:r>
        <w:t xml:space="preserve">该处“中船重工第”仍为空白，请人工确认。</w:t>
      </w:r>
    </w:p>
  </w:comment>
  <w:comment w:id="25" w:author="信贷报告 Agent" w:date="2026-04-07T14:34:12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