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5B943">
      <w:pPr>
        <w:rPr>
          <w:rFonts w:hint="eastAsia" w:ascii="宋体" w:hAnsi="宋体" w:cs="宋体"/>
          <w:sz w:val="28"/>
          <w:szCs w:val="36"/>
        </w:rPr>
      </w:pPr>
      <w:bookmarkStart w:id="0" w:name="_GoBack"/>
      <w:bookmarkEnd w:id="0"/>
      <w:r>
        <w:rPr>
          <w:rFonts w:hint="eastAsia" w:ascii="宋体" w:hAnsi="宋体" w:cs="宋体"/>
          <w:sz w:val="28"/>
          <w:szCs w:val="36"/>
        </w:rPr>
        <w:t>附件1：</w:t>
      </w:r>
    </w:p>
    <w:tbl>
      <w:tblPr>
        <w:tblStyle w:val="13"/>
        <w:tblW w:w="110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4"/>
      </w:tblGrid>
      <w:tr w14:paraId="5B7C5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8" w:hRule="atLeast"/>
          <w:jc w:val="center"/>
        </w:trPr>
        <w:tc>
          <w:tcPr>
            <w:tcW w:w="11064" w:type="dxa"/>
            <w:noWrap w:val="0"/>
            <w:vAlign w:val="top"/>
          </w:tcPr>
          <w:p w14:paraId="0E4D79E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eastAsia="zh-CN"/>
              </w:rPr>
              <w:t>福建省分行普惠法人授信申报及审查审批意见表（2025新版）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</w:r>
          </w:p>
        </w:tc>
      </w:tr>
      <w:tr w14:paraId="4CC12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1" w:hRule="atLeast"/>
          <w:jc w:val="center"/>
        </w:trPr>
        <w:tc>
          <w:tcPr>
            <w:tcW w:w="11064" w:type="dxa"/>
            <w:noWrap w:val="0"/>
            <w:vAlign w:val="top"/>
          </w:tcPr>
          <w:p w14:paraId="4CF78940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highlight w:val="none"/>
                <w:lang w:val="en-US" w:eastAsia="zh-CN" w:bidi="ar-SA"/>
              </w:rPr>
              <w:t>客户名称：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 xml:space="preserve"> 福建中锐网络股份有限公司 </w:t>
            </w:r>
          </w:p>
          <w:p w14:paraId="54CB5F37">
            <w:pPr>
              <w:spacing w:line="240" w:lineRule="auto"/>
              <w:jc w:val="both"/>
              <w:outlineLvl w:val="0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集团名称（如涉及）：</w:t>
            </w:r>
          </w:p>
          <w:p w14:paraId="0C2EFAED">
            <w:commentRangeStart w:id="0"/>
            <w:pPr>
              <w:pStyle w:val="11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申报单位：福建中锐网络股份有限公司</w:t>
              <w:tab/>
              <w:tab/>
              <w:t>客户经理：                联系电话：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377792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授信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方案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：□新客户</w:t>
            </w:r>
          </w:p>
          <w:p w14:paraId="2DA73A3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054" w:firstLineChars="5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存量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客户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原有额度批复日期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☑维持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增加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□减少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授信方案调整</w:t>
            </w:r>
          </w:p>
          <w:p w14:paraId="68968EB1">
            <w:commentRangeStart w:id="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lang w:eastAsia="zh-CN"/>
              </w:rPr>
              <w:t>国标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行业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门类-大类-中类-小类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</w:t>
            </w:r>
            <w:commentRangeEnd w:id="1"/>
            <w:r>
              <w:rPr>
                <w:rStyle w:val="CommentReference"/>
              </w:rPr>
              <w:commentReference w:id="1"/>
            </w:r>
          </w:p>
          <w:p w14:paraId="3E70D6A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规模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划型：□微型 ☑小型 □中型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所属客群：☑支持类 □审慎类 □禁止类</w:t>
            </w:r>
          </w:p>
          <w:p w14:paraId="007D55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划型要素：上年度资产总额 18575万元；上年度销售额 8712万元；上年度末员工人数 材料未提供相关信息。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</w:p>
          <w:p w14:paraId="14F4997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环境、社会和治理风险分类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（ESG评价）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A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B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C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（如涉及A/B类,须在其他负面信息栏反馈ESG风险评价）</w:t>
            </w:r>
          </w:p>
          <w:p w14:paraId="6953AC5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反洗钱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风险等级：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低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一般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较高（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须在其他负面信息栏说明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高（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不得准入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</w:t>
            </w:r>
          </w:p>
          <w:p w14:paraId="11732687">
            <w:commentRangeStart w:id="2"/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绿通标识：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 w14:paraId="0D71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  <w:jc w:val="center"/>
        </w:trPr>
        <w:tc>
          <w:tcPr>
            <w:tcW w:w="11064" w:type="dxa"/>
            <w:noWrap w:val="0"/>
            <w:vAlign w:val="top"/>
          </w:tcPr>
          <w:p w14:paraId="663E39A1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申报额度： 1000万元；申报敞口 1000万元；【上一期授信敞口（若有）：  材料未提供相关信息】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</w:p>
          <w:p w14:paraId="2F13B6BC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业务品种：一般短期流动资金贷款；业务期限： 12个月；授信期限： 1 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</w:p>
          <w:p w14:paraId="1D0618AE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担保方式：500万抵押+500万信用；【上一期授信担保方式：  材料未提供相关信息】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</w:r>
          </w:p>
          <w:p w14:paraId="119CF21D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PD评级：6级【上一期授信评级： 材料未提供相关信息】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</w:p>
        </w:tc>
      </w:tr>
      <w:tr w14:paraId="20545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E904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一、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经营单位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尽调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情况</w:t>
            </w:r>
          </w:p>
          <w:p w14:paraId="46AC6F1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（一）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简介</w:t>
            </w:r>
          </w:p>
          <w:p w14:paraId="7159615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1.借款人概况：</w:t>
            </w:r>
          </w:p>
          <w:p w14:paraId="1B564A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料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经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营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的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面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积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权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（自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租用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）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及抵押情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4986ECC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已取得资质情况：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不涉及；</w:t>
            </w:r>
          </w:p>
          <w:p w14:paraId="44CF5D8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排污许可证（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编号：____，有效期至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排污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登记回执；</w:t>
            </w:r>
          </w:p>
          <w:p w14:paraId="6CDB29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材料未提供企业持有的重要资质或许可证信息，无法评估其业务准入合规性及行业竞争力。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none"/>
                <w:lang w:val="en-US" w:eastAsia="zh-CN"/>
              </w:rPr>
            </w:r>
          </w:p>
          <w:p w14:paraId="1931416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主营业务——智慧水利：中锐网络积极响应国家水利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政策，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推出了一系列智慧水利解决方案，帮助客户落地水灾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害，水工程，水资源，水生态水环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境，水监督，水政务等六大重点应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用</w:t>
              <w:br/>
              <w:t>主营业务——智慧教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育：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中锐网络紧跟国家战略发展需求，聚焦网络、人工智能、智慧行业三大领域，推出数字人才培养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解决方案，将行业企业用人的需求导入院校人才培养体系，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实现产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业与人才需求的无缝对接。</w:t>
            </w:r>
          </w:p>
          <w:p w14:paraId="0959F8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材料未提供上年度末社保人数。法定代表人为黄祖海。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</w:p>
          <w:p w14:paraId="5EAD39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310" w:firstLineChars="11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材料未提供管理经理或二级支行行长信息及日期。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</w:p>
          <w:tbl>
            <w:tblPr>
              <w:tblStyle w:val="13"/>
              <w:tblW w:w="0" w:type="auto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2001"/>
              <w:gridCol w:w="1161"/>
              <w:gridCol w:w="1266"/>
              <w:gridCol w:w="1056"/>
            </w:tblGrid>
            <w:tr w14:paraId="547A40D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C988E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股东名称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9C2DCE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认缴出资额/持股数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6B1A0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出资比例%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0840E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实际出资额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C9420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出资形式</w:t>
                  </w:r>
                </w:p>
              </w:tc>
            </w:tr>
            <w:tr w14:paraId="7696C81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0A32E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福建中锐汉鼎信息技术有限公司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13A18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B77F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A03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733E0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货币</w:t>
                  </w:r>
                </w:p>
              </w:tc>
            </w:tr>
            <w:tr w14:paraId="7D9AFE7B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DC01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福建中锐教育科技有限公司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C2931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4B16B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D149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243B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货币</w:t>
                  </w:r>
                </w:p>
              </w:tc>
            </w:tr>
            <w:tr w14:paraId="0CAD9291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6D3D5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北京中锐青云科技有限公司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ED70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4D4B4D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F5A7A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5ECBB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货币</w:t>
                  </w:r>
                </w:p>
              </w:tc>
            </w:tr>
            <w:tr w14:paraId="4764A2B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F9140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厦门中锐软件科技有限公司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FFA91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09DF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F9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EA9D7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货币</w:t>
                  </w:r>
                </w:p>
              </w:tc>
            </w:tr>
            <w:tr w14:paraId="5DDC6E5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C28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合计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9EC9B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16400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CDD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7C8042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16400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7000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货币</w:t>
                  </w:r>
                </w:p>
              </w:tc>
            </w:tr>
          </w:tbl>
          <w:p w14:paraId="247BBB4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材料未提供股权穿透后实际控制人黄祖海的具体持股比例，无法判断其控制权的稳定性。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360105F5">
            <w:commentRangeStart w:id="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过往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两年企业股权变动情况及变动原因：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  <w:t xml:space="preserve">                                              </w:t>
            </w:r>
            <w:commentRangeEnd w:id="3"/>
            <w:r>
              <w:rPr>
                <w:rStyle w:val="CommentReference"/>
              </w:rPr>
              <w:commentReference w:id="3"/>
            </w:r>
          </w:p>
          <w:p w14:paraId="176872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上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游供应商主要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包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val="en-US" w:eastAsia="zh-CN"/>
              </w:rPr>
              <w:t>括：锐捷网络股份有限公司、北京星链南天科技有限公司、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广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州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eastAsia="zh-CN"/>
              </w:rPr>
              <w:t>浩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val="en-US" w:eastAsia="zh-CN"/>
              </w:rPr>
              <w:t>瀚星图信息技术有限公司、新天科技股份有限公司、精导信息技术有限公司司等。下游客户主要包括：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涵江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水利局、福建省翔远电子科技有限公司、三明水利水电工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程有限公司顺昌分公司、福州市福清公路事业发展中心、济南展雄电子有限公司等。</w:t>
            </w:r>
          </w:p>
          <w:p w14:paraId="566E66D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实地走访情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况：企业办公场所位于福州市马尾区罗星东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路2号海峡经贸广场1#楼A615室，现场办公人员正常到岗，内部管理有序。企业主营业务为智慧水利与智慧教育解决方案的研发与销售，属于轻资产运营模式，无传统生产车间。根据2025年末财务报表，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</w:rPr>
              <w:t>存货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u w:val="single"/>
                <w:lang w:eastAsia="zh-CN"/>
              </w:rPr>
              <w:t>余额为21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92万元，较年初的1166万元有所增长，主要系为项目备货所致，与当期业务开展情况相匹配。企业整体经营场所运转正常，未发现异常停工或管理混乱迹象。</w:t>
            </w:r>
          </w:p>
          <w:p w14:paraId="654EDA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历年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股权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融资情况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为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科技型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企业，请填列下表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：</w:t>
            </w:r>
          </w:p>
          <w:tbl>
            <w:tblPr>
              <w:tblStyle w:val="13"/>
              <w:tblW w:w="1017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6"/>
              <w:gridCol w:w="1204"/>
              <w:gridCol w:w="1359"/>
              <w:gridCol w:w="1950"/>
              <w:gridCol w:w="1919"/>
              <w:gridCol w:w="1934"/>
            </w:tblGrid>
            <w:tr w14:paraId="0D296E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1B84801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股权融资时间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BD7A175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融资金额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5164D28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投资机构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68B551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融资阶段</w:t>
                  </w:r>
                </w:p>
                <w:p w14:paraId="195126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天使轮/A/B/C…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7B83BEBC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投后估值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073CE05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是否存在对赌条款（若有，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说明）</w:t>
                  </w:r>
                </w:p>
              </w:tc>
            </w:tr>
            <w:tr w14:paraId="3A4E89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281CA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2025年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6AC1320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1246261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北京中锐青云科技有限公司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404C0D8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天使轮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8888B5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2134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5CC0F5B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kern w:val="0"/>
                      <w:sz w:val="15"/>
                      <w:szCs w:val="15"/>
                      <w:highlight w:val="none"/>
                      <w:lang w:val="en-US" w:eastAsia="zh-CN"/>
                    </w:rPr>
                    <w:t>若企业反馈“无”，建议出具书面声明并加盖公章</w:t>
                  </w:r>
                </w:p>
              </w:tc>
            </w:tr>
            <w:tr w14:paraId="4F7BE8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E1732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2025年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EE82F0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03794F9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北京中锐青云科技有限公司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1D8A8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天使轮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7F9A247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2134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06E34A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有（须于</w:t>
                  </w: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2026年上市）</w:t>
                  </w:r>
                </w:p>
              </w:tc>
            </w:tr>
            <w:tr w14:paraId="070419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5F72E7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3E6223B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3BE6215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95331A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ACFD4B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7932EC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3A5E6995">
            <w:pPr>
              <w:pStyle w:val="11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>材料未提供与我行历史授信合作的具体信息，无法评估存量客户的合作历史及信用记录。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r>
          </w:p>
          <w:p w14:paraId="2F0C5C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材料未提供上一期授后要求的落实情况，无法判断企业过往对授信条件的履约情况。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0"/>
              <w:gridCol w:w="1776"/>
              <w:gridCol w:w="2709"/>
              <w:gridCol w:w="5643"/>
            </w:tblGrid>
            <w:tr w14:paraId="653C90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82" w:hRule="atLeast"/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D7B72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贷款提用情况</w:t>
                  </w:r>
                </w:p>
              </w:tc>
              <w:tc>
                <w:tcPr>
                  <w:tcW w:w="0" w:type="auto"/>
                  <w:gridSpan w:val="3"/>
                  <w:noWrap w:val="0"/>
                  <w:vAlign w:val="top"/>
                </w:tcPr>
                <w:p w14:paraId="42C95E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left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截至 2025 年 12 月 2025年12月31日 日，经531系统查询，借款人 2025 年 12 月   日提贷 0万元，到期日 2025 年 12 月   日，贷款采取自主支付方式发放，通过调取借款人账户流水，1. 0万元向 福建中锐网络股份有限公司 有限公司支付 福建中锐网络股份有限公司 货款（已提供发票）；2. 0万元转至工行同户名账户，穿透查看用于向 0 个人支付采购竹刨花原料款 0万元，其余用于支付税款；3.____万元元转至农行同户名账户(基本户），用于向37个员工支付工资款。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</w:p>
              </w:tc>
            </w:tr>
            <w:tr w14:paraId="648601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48F914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F0BB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881E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6C64F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5632D3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69A80B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9AF0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CD28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借款人需提供2024年度审计报告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7BFCE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4D8D3F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72EE11F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5DB165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452237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借款人需提供2024年度纳税申报表及完税证明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1AB5E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已提供2024年度审计报告、增值税及附加税申报表、税收完税证明</w:t>
                  </w:r>
                </w:p>
              </w:tc>
            </w:tr>
            <w:tr w14:paraId="0E3EFB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6BEB847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7B0CA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50D8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95866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1AD951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464EA3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0306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8067C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借款人需提供2025年度财务报表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00BC0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191E8E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2CA7FB3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C3DE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A667B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借款人需提供2025年度纳税申报表及完税证明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1CC8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已提供2025年12月财务报表、增值税及附加税申报表、税收完税证明</w:t>
                  </w:r>
                </w:p>
              </w:tc>
            </w:tr>
          </w:tbl>
          <w:p w14:paraId="77E9304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材料未提供531系统模块的风险信号提示及反馈信息，无法评估企业是否存在需关注的预警信号。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</w:p>
          <w:p w14:paraId="0893317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8.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其他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负面信息解释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包括但不限于ESG评价、诉讼、反洗钱“较高”风险等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 基于已读取材料，未见企业主动披露的诉讼、行政处罚、失信等重大负面事项；但ESG评价、反洗钱等级及司法监管外部检索结果不以当前材料为穷尽，仍需以行内系统和权威公开查询结果补充核验。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4FBC1882">
            <w:commentRangeStart w:id="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9.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若有）PD评级较上期下滑，分析原因：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                                      </w:t>
            </w:r>
            <w:commentRangeEnd w:id="4"/>
            <w:r>
              <w:rPr>
                <w:rStyle w:val="CommentReference"/>
              </w:rPr>
              <w:commentReference w:id="4"/>
            </w:r>
          </w:p>
          <w:p w14:paraId="51F4DBA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  <w:t>（二）法定代表人/实控人简介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</w:rPr>
              <w:t>（如果为同一人，仅需填写一次情况）</w:t>
            </w:r>
          </w:p>
          <w:p w14:paraId="43C74F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法定代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际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制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黄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海，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中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国国籍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南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大学电子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商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务专业本科学历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。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其长期、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稳定的行业背景及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管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理经验，为公司智慧水利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与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智慧教育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两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大主营业务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的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持续发展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</w:rPr>
              <w:t>提供了核心领导力保障。</w:t>
            </w:r>
          </w:p>
          <w:p w14:paraId="7D5D22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实控人黄祖海，湖南大学电子商务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专业本科学历。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20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00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年5月至2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lang w:eastAsia="zh-CN"/>
              </w:rPr>
              <w:t>001年12月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任福建实达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网络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科技有限公司技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术工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程师；2002年1月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至2003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年1月，任福建实达网络科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技有限公司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技术经理；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2003年1月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至2011年12月，任福建星网锐捷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网络有限公司技术部总经理；2012年1月至2016年3月，任福建中锐网络科技有限公司法定代表人、执行董事兼总经理；2016年3月至今，任福建中锐网络股份有限公司董事长兼总裁。身份证号：350124197704201694.</w:t>
            </w:r>
          </w:p>
          <w:p w14:paraId="63CD3B7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（三）借款人及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实控人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家庭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资产情况（房产、投资、金融资产等）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none" w:color="auto" w:sz="6" w:space="0"/>
                <w:left w:val="none" w:color="auto" w:sz="6" w:space="0"/>
                <w:bottom w:val="none" w:color="auto" w:sz="6" w:space="0"/>
                <w:right w:val="none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25"/>
              <w:gridCol w:w="606"/>
              <w:gridCol w:w="606"/>
              <w:gridCol w:w="676"/>
              <w:gridCol w:w="786"/>
              <w:gridCol w:w="856"/>
              <w:gridCol w:w="3202"/>
              <w:gridCol w:w="1799"/>
              <w:gridCol w:w="676"/>
              <w:gridCol w:w="716"/>
            </w:tblGrid>
            <w:tr w14:paraId="0CC3F11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9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2A661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1.借款人主要资产及投资情况</w:t>
                  </w:r>
                </w:p>
              </w:tc>
            </w:tr>
            <w:tr w14:paraId="3ABE0F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78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81EE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26718E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C79243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105D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BB4422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00A9990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0266A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4CEC630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CEC5E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账面或购置价</w:t>
                  </w:r>
                </w:p>
                <w:p w14:paraId="098E1974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720D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3113C9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08C2B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sz w:val="20"/>
                      <w:szCs w:val="20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B51E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47532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融资金额</w:t>
                  </w:r>
                </w:p>
                <w:p w14:paraId="51916BA7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253D73EB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1650F4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84CD5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99A6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A54D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9D08A3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660E4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DE70C6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根据外网（安居客），该楼盘二手均价价格约在8000元/平，总体价格约为112万元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B6C1C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出租，出租方陈独熹公司/个人，年租金____万元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49101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C86AC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69A90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4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417019C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26BBF5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D74C8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B3086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4A38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5E58D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64A0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025B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A7275F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AA8F9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0FE5A806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2080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  <w:tr w14:paraId="6ACFB5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BA3CE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2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.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实控人家庭资产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情况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（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实控人、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配偶及参与经营的子女）</w:t>
                  </w:r>
                </w:p>
              </w:tc>
            </w:tr>
            <w:tr w14:paraId="162B3B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61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C789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67A6449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75EAA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6E621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E7EE9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65CC15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6310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04F082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DC2FD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账面或购置价</w:t>
                  </w:r>
                </w:p>
                <w:p w14:paraId="356248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6EDA4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61E79B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FB69A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30FEE5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6FA3D6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融资金额</w:t>
                  </w:r>
                </w:p>
                <w:p w14:paraId="164851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4FAE6BD7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3EDA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23098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8B74C4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367E8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FE72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CA4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BF2F04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E8117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E4C4C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1AC12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26C6DFA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F7892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35397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2A06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2E430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0063D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2DF23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21519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D99A4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33AAB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1F17E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58BF039E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9A23E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</w:tbl>
          <w:p w14:paraId="59B7822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）关联企业情况</w:t>
            </w:r>
          </w:p>
          <w:p w14:paraId="75AADBA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材料未提供关联企业清单及关联交易情况，无法对借款人的关联方风险进行具体评估。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r>
          </w:p>
          <w:tbl>
            <w:tblPr>
              <w:tblStyle w:val="13"/>
              <w:tblW w:w="1083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4"/>
              <w:gridCol w:w="829"/>
              <w:gridCol w:w="829"/>
              <w:gridCol w:w="829"/>
              <w:gridCol w:w="767"/>
              <w:gridCol w:w="962"/>
              <w:gridCol w:w="1118"/>
              <w:gridCol w:w="1076"/>
              <w:gridCol w:w="1710"/>
              <w:gridCol w:w="1710"/>
            </w:tblGrid>
            <w:tr w14:paraId="7BABBF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61E59EF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企业名称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A8DFD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成立时间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5F14B6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股权结构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F5E7192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主营业务及产品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22D96D9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注册资本/实收资本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574875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年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</w:p>
                <w:p w14:paraId="5258BE36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业务收入</w:t>
                  </w: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33E0D49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上年</w:t>
                  </w:r>
                </w:p>
                <w:p w14:paraId="18AADDE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6C440AC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最新</w:t>
                  </w:r>
                </w:p>
                <w:p w14:paraId="337E6AA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融资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总敞口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A7091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与借款企业关联交易、资金往来情况（若有）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1A100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涉诉情况</w:t>
                  </w:r>
                </w:p>
              </w:tc>
            </w:tr>
            <w:tr w14:paraId="538B5A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4A7456A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008F3C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2018-1-11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A52BDE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73F808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智慧水利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BDE07B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73705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181CF02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-682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2A359A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7E3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1EF09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1B7B9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097D71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关联企业2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491492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2022-6-28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FB904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D8BB1E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智慧教育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FC6E26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1CAB3F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B5E1F5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-1275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029BCC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00C2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6DB45E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38721A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3B01D4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15781B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2020-9-23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83DF33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3D32FE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产教融合创新服务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5BB1E8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636D8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53A67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12B81FB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213.4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2969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2ED5D5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3FBDFEC">
            <w:pPr>
              <w:ind w:firstLine="422" w:firstLineChars="200"/>
              <w:jc w:val="left"/>
              <w:outlineLvl w:val="0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关联企业关系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  <w:t>可附图</w:t>
            </w:r>
          </w:p>
          <w:p w14:paraId="29070FDD">
            <w:pPr>
              <w:ind w:firstLine="422" w:firstLineChars="200"/>
              <w:jc w:val="left"/>
              <w:outlineLvl w:val="0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材料未提供关联企业清单及关联交易情况，无法对借款人的关联方风险进行具体评估。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</w:p>
          <w:p w14:paraId="0BB5025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2.集团合并财务数据（若有）：</w:t>
            </w:r>
          </w:p>
          <w:tbl>
            <w:tblPr>
              <w:tblStyle w:val="13"/>
              <w:tblW w:w="1035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1"/>
              <w:gridCol w:w="604"/>
              <w:gridCol w:w="606"/>
              <w:gridCol w:w="569"/>
              <w:gridCol w:w="409"/>
              <w:gridCol w:w="596"/>
              <w:gridCol w:w="607"/>
              <w:gridCol w:w="628"/>
              <w:gridCol w:w="563"/>
              <w:gridCol w:w="651"/>
              <w:gridCol w:w="661"/>
              <w:gridCol w:w="540"/>
              <w:gridCol w:w="639"/>
              <w:gridCol w:w="563"/>
              <w:gridCol w:w="540"/>
              <w:gridCol w:w="585"/>
              <w:gridCol w:w="728"/>
            </w:tblGrid>
            <w:tr w14:paraId="577A9A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77374A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年份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25FABD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E59333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4C97DC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负债率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4F2C01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流</w:t>
                  </w:r>
                </w:p>
                <w:p w14:paraId="438528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动</w:t>
                  </w:r>
                </w:p>
                <w:p w14:paraId="3A9DB61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CE2C4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业务</w:t>
                  </w:r>
                </w:p>
                <w:p w14:paraId="6ED6FC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收入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03AEF65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24263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5AC7A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货币资金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CBB32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应收</w:t>
                  </w:r>
                </w:p>
                <w:p w14:paraId="62F847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账款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38243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其他应收款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A846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存货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4FC420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固定资产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C33C2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银行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借款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1563B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应付账款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3F8F564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其他应付款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89461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</w:t>
                  </w:r>
                </w:p>
              </w:tc>
            </w:tr>
            <w:tr w14:paraId="0C4F67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C2566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22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B8485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17895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DC793F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8357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68F0FD6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53.29%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846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38B48A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21198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5A89F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30.55%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03466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983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58397B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1104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2D5538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4410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5E2A28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1432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8BC09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5301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6C0CA0E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161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050D7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7FA72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1490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69958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1C1A39D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-4373</w:t>
                  </w:r>
                </w:p>
              </w:tc>
            </w:tr>
            <w:tr w14:paraId="31F337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136E6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3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7708557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3C3794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9DA32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46B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1.57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0788FF1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3B2C72D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59348EA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037A573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1522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9E5BC4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6354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646E52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3621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74841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2545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0EC80B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256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C4B3E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14E01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1847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417F75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606928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269</w:t>
                  </w:r>
                </w:p>
              </w:tc>
            </w:tr>
            <w:tr w14:paraId="7D30D3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B8FEC8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FDE54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4795DE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0356396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281581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1.58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94EB8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7B9264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4DF8D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336EE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46EDC9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9253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458213F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3522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53FB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1166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6AD6F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92302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4990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0C41D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2333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70CE0EE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648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5CEA4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-896</w:t>
                  </w:r>
                </w:p>
              </w:tc>
            </w:tr>
            <w:tr w14:paraId="29EF8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498E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4.4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950C8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7DE9EE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D1D69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FFC58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497981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45E0AB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314635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DC32B0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30687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1B4ACC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E47DE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09936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1F60AC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666983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2933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4C161A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1DBB3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>
                  <w:r>
                    <w:t>2025年末(新增)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F1476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9E9FF2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320CB7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0699E2F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1.82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5C8C8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EC532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3A4C5A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7A1B60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286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D5CF8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7430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AF555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2774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06BCE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2192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34E406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7F40C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4730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965F46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1026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BD285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57D0B9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791</w:t>
                  </w:r>
                </w:p>
              </w:tc>
            </w:tr>
          </w:tbl>
          <w:p w14:paraId="55916AE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材料未提供关联企业清单及关联交易情况，无法对借款人的关联方风险进行具体评估。</w:t>
            </w:r>
          </w:p>
          <w:p w14:paraId="3CABD7D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材料未提供集团授信或关联授信情况，无法评估借款人在我行或他行的集团授信风险敞口。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</w:r>
          </w:p>
          <w:p w14:paraId="55356AD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五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主要经营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及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财务情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况</w:t>
            </w:r>
          </w:p>
          <w:p w14:paraId="4B2F20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产品（业务）及其市场应用：公司主营业务为智慧水利与智慧教育解决方案。在智慧水利领域，公司响应国家水利政策，提供涵盖水灾害、水工程、水资源、水生态水环境、水监督、水政务等六大重点应用的解决方案。在智慧教育领域，公司聚焦网络、人工智能、智慧行业，提供数字人才培养解决方案，旨在将企业用人需求导入院校人才培养体系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</w:p>
          <w:p w14:paraId="6F6BDB2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产品优势、企业核心竞争力：公司业务与国家智慧水利、产教融合等战略方向契合，具备一定的政策导向优势。在智慧教育领域，其“产业与人才需求无缝对接”的模式具有一定特色。材料未提供关于其技术壁垒、专利、行业资质或市场占有率等核心竞争力的具体信息，需关注其解决方案的实际落地能力与市场竞争力。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</w:p>
          <w:p w14:paraId="2C7F6A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生产、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销量、销售收入及结构占比情况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</w:t>
            </w:r>
          </w:p>
          <w:p w14:paraId="1C0B563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生产工艺流程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lang w:eastAsia="zh-CN"/>
              </w:rPr>
              <w:t>可附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流程图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7998D9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生产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val="en-US" w:eastAsia="zh-CN"/>
              </w:rPr>
              <w:t>分析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：企业主营业务为智慧水利与智慧教育解决方案的提供与实施，属于轻资产运营模式，不涉及传统制造业的生产环节。材料未提供关于生产设备、产能、产量、产能利用率及产销率的相关信息。企业2025年全年用电量数据未提供，无法进行能耗分析。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296"/>
              <w:gridCol w:w="2306"/>
              <w:gridCol w:w="1116"/>
              <w:gridCol w:w="1926"/>
              <w:gridCol w:w="756"/>
              <w:gridCol w:w="756"/>
            </w:tblGrid>
            <w:tr w14:paraId="2272FC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035E13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329B4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上年销量</w:t>
                  </w:r>
                </w:p>
                <w:p w14:paraId="6E40F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5A2F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上年销售额</w:t>
                  </w:r>
                </w:p>
                <w:p w14:paraId="7A435155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C467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993FA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3494D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4CBB54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0288490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5CA61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15DC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DEDD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E4AA5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E61B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710145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F88A6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FF873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92F76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FF852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2EE86A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B96FCC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557D6191">
            <w:pPr>
              <w:rPr>
                <w:rFonts w:hint="eastAsia"/>
              </w:rPr>
            </w:pP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96"/>
              <w:gridCol w:w="2306"/>
              <w:gridCol w:w="1566"/>
              <w:gridCol w:w="1926"/>
              <w:gridCol w:w="756"/>
              <w:gridCol w:w="756"/>
            </w:tblGrid>
            <w:tr w14:paraId="77BDBA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80F695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F1BD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销量</w:t>
                  </w:r>
                </w:p>
                <w:p w14:paraId="3A80B1C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1F97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销售额</w:t>
                  </w:r>
                </w:p>
                <w:p w14:paraId="7BEAC1A1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0CB24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14CD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2423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0B1B66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D27903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FC10C4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5EC27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55442A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87936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6BD186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3CAF74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EA9EF9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3E7760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28EA5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E5DC2D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CD620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F111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3FE5820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4.上下游情况：材料未提供关于公司具体上游供应商及下游客户名称、合作年限、集中度及结算方式等信息。68万元，占总资产比重较高，显示其对下游存在较大资金占用；应付账款余额为1026万元，规模相对较小。上下游具体情况不明是评估其经营稳定性和议价能力的主要障碍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</w:p>
          <w:p w14:paraId="7EA0A4A4">
            <w:commentRangeStart w:id="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行长：                                              日期：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commentRangeEnd w:id="5"/>
            <w:r>
              <w:rPr>
                <w:rStyle w:val="CommentReference"/>
              </w:rPr>
              <w:commentReference w:id="5"/>
            </w:r>
          </w:p>
          <w:tbl>
            <w:tblPr>
              <w:tblStyle w:val="13"/>
              <w:tblW w:w="1083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6"/>
              <w:gridCol w:w="990"/>
              <w:gridCol w:w="990"/>
              <w:gridCol w:w="1581"/>
              <w:gridCol w:w="1581"/>
              <w:gridCol w:w="1581"/>
              <w:gridCol w:w="820"/>
              <w:gridCol w:w="602"/>
              <w:gridCol w:w="844"/>
            </w:tblGrid>
            <w:tr w14:paraId="6D71D3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5" w:hRule="atLeast"/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07CB8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主要上游供应商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7B7AF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采购商品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61FE809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8FC57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CE418A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今年1-9月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1652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820" w:type="dxa"/>
                  <w:noWrap w:val="0"/>
                  <w:vAlign w:val="center"/>
                </w:tcPr>
                <w:p w14:paraId="7559CC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602" w:type="dxa"/>
                  <w:noWrap w:val="0"/>
                  <w:vAlign w:val="center"/>
                </w:tcPr>
                <w:p w14:paraId="5B6A1A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both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账期</w:t>
                  </w: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5352F17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38386E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434EF1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锐捷网络股份有限公司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4AADBB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4A79CB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5A3FE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BC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DBC20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1A8742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EEA51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868AB4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BE54F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EDFF2A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北京星链南天科技有限公司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3F6E0F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13167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021DF5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54D66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11C28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4033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69531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4699B0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2FA3B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6AAF6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广州浩瀚星图信息技术有限公司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5683B3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A4E72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21682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038C8B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E6654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2C8A5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762484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69082DC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363BF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5E798B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新天科技股份有限公司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2E7D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60E4E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5D06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2FCCF2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5FEB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27993BC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393FDD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0316E0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ACFFD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415A019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精导信息技术有限公司司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0A6AC47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4485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4FD45B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B78BF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F4286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37487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80E1D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519CC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272B26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35" w:type="dxa"/>
                  <w:gridSpan w:val="9"/>
                  <w:noWrap w:val="0"/>
                  <w:vAlign w:val="center"/>
                </w:tcPr>
                <w:p w14:paraId="784CC3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7A21CEAA">
            <w:commentRangeStart w:id="6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行长：                                              日期：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commentRangeEnd w:id="6"/>
            <w:r>
              <w:rPr>
                <w:rStyle w:val="CommentReference"/>
              </w:rPr>
              <w:commentReference w:id="6"/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5"/>
              <w:gridCol w:w="854"/>
              <w:gridCol w:w="1007"/>
              <w:gridCol w:w="1735"/>
              <w:gridCol w:w="1402"/>
              <w:gridCol w:w="2117"/>
              <w:gridCol w:w="854"/>
              <w:gridCol w:w="549"/>
              <w:gridCol w:w="855"/>
            </w:tblGrid>
            <w:tr w14:paraId="0D9B42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2DAD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主要下游销售客户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746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销售产品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2AD17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FC1E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上年销售额占比（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42E06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销售额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C08E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53E4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8DEFA5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期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5DA88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4FE17D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3F5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涵江水利局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08A8B9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31F2D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1CC87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544C2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DB3D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3E04C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41A9AB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7849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1F766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1CAA0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福建省翔远电子科技有限公司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7823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D1C03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C3AC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53E5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2A56D1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27A14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044C4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3F4D8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7BCCBA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F7CD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三明水利水电工程有限公司顺昌分公司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757D6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859D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47B9A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4E492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0FAA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B7943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6B6BC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FCBA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55B314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6037DE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福州市福清公路事业发展中心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CFD36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6271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AF40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6072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A1F0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E8F61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6016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8DCFD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641826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D7574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济南展雄电子有限公司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68CD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智慧教育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1C6EF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406A2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0FF03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15AB2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469F70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F1883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76838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1A7F9B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gridSpan w:val="9"/>
                  <w:noWrap w:val="0"/>
                  <w:vAlign w:val="center"/>
                </w:tcPr>
                <w:p w14:paraId="3DC2307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1A32ADF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经营账期：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上游采购一般预付或现付，下游账期较长，主要下游通过转账、票据与借款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进行结算。企业总体营运资金周转效率偏慢，一年周转约1次。</w:t>
            </w:r>
          </w:p>
          <w:p w14:paraId="6B640D2F">
            <w:commentRangeStart w:id="7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B05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行长：                                              日期：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r>
            <w:commentRangeEnd w:id="7"/>
            <w:r>
              <w:rPr>
                <w:rStyle w:val="CommentReference"/>
              </w:rPr>
              <w:commentReference w:id="7"/>
            </w:r>
          </w:p>
          <w:tbl>
            <w:tblPr>
              <w:tblStyle w:val="13"/>
              <w:tblW w:w="108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49"/>
              <w:gridCol w:w="1313"/>
              <w:gridCol w:w="1923"/>
              <w:gridCol w:w="1586"/>
              <w:gridCol w:w="1586"/>
              <w:gridCol w:w="1587"/>
            </w:tblGrid>
            <w:tr w14:paraId="67C2511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3FF9D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合同/公司名</w:t>
                  </w:r>
                </w:p>
              </w:tc>
              <w:tc>
                <w:tcPr>
                  <w:tcW w:w="605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8FFFB6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合同金额</w:t>
                  </w:r>
                </w:p>
              </w:tc>
              <w:tc>
                <w:tcPr>
                  <w:tcW w:w="886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55B20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签署日期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（期限）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399ECB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确认收入时间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A0B75B3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已履约金额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AF4BA7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已回款金额</w:t>
                  </w:r>
                </w:p>
              </w:tc>
            </w:tr>
            <w:tr w14:paraId="5A0C18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4CA16D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  <w:t>中船重工第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____研究所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3E12A3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2000</w:t>
                  </w: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1BB5F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2021.11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3年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6D8C3B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9C0847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19CC68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  <w:tr w14:paraId="0DF5A1E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7ED7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CFE999A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AC4847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B9B9C8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211F25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06F0D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52AF4E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D06383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7814C5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8F62E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0BA8AF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1123CC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B84F73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41E7C29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3F70B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2041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3305E5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1D0C40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B4BC41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9ECB4F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25C12B5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7C83A04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合计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2968ED9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F860DB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7B2D23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E9A82D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2ABD0C9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</w:tbl>
          <w:p w14:paraId="773D18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6.借款人主要财务指标情况：</w:t>
            </w:r>
          </w:p>
          <w:p w14:paraId="66F7E68A">
            <w:pPr>
              <w:ind w:firstLine="1265" w:firstLineChars="600"/>
              <w:rPr>
                <w:rFonts w:ascii="宋体" w:hAnsi="宋体" w:cs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①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财务真实性验证(税务数据验证)</w:t>
            </w:r>
          </w:p>
          <w:tbl>
            <w:tblPr>
              <w:tblStyle w:val="13"/>
              <w:tblW w:w="8416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10"/>
              <w:gridCol w:w="2013"/>
              <w:gridCol w:w="1851"/>
              <w:gridCol w:w="1842"/>
            </w:tblGrid>
            <w:tr w14:paraId="6A0249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66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0815214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DDF0B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7B84AABF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0D971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补充说明：（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比对财报与纳税申报表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数据，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如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不一致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eastAsia="zh-CN"/>
                    </w:rPr>
                    <w:t>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说明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原因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</w:tr>
            <w:tr w14:paraId="059ACE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48293595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财报销售收入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04E6F598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50897833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75EFDF00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财报销售收入与纳税申报表合计收入一致</w:t>
                  </w:r>
                </w:p>
              </w:tc>
            </w:tr>
            <w:tr w14:paraId="7BBC04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277A615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纳税申报表合计收入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54DDE5F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46F1C1CD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0F42C459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纳税申报表合计收入与财报销售收入一致</w:t>
                  </w:r>
                </w:p>
              </w:tc>
            </w:tr>
            <w:tr w14:paraId="38BD53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1D3E4A34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纳税收入占财报百分比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15ED0AEB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0F9A2572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8EEE174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纳税收入占财报销售收入比例为100%，数据一致</w:t>
                  </w:r>
                </w:p>
              </w:tc>
            </w:tr>
          </w:tbl>
          <w:p w14:paraId="4F09DCC3">
            <w:pPr>
              <w:ind w:firstLine="1265" w:firstLineChars="600"/>
              <w:rPr>
                <w:rFonts w:ascii="宋体" w:hAnsi="宋体"/>
                <w:b/>
                <w:bCs/>
                <w:color w:val="000000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②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财务真实性验证(银行流水验证)</w:t>
            </w:r>
          </w:p>
          <w:tbl>
            <w:tblPr>
              <w:tblStyle w:val="13"/>
              <w:tblW w:w="8440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1"/>
              <w:gridCol w:w="1234"/>
              <w:gridCol w:w="1292"/>
              <w:gridCol w:w="1570"/>
              <w:gridCol w:w="1806"/>
              <w:gridCol w:w="1407"/>
            </w:tblGrid>
            <w:tr w14:paraId="11782114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31FA079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开户行</w:t>
                  </w: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878002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户名</w:t>
                  </w: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2FBFFF72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账号</w:t>
                  </w: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49AB9F5F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与借款人关系</w:t>
                  </w: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6C31AF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时间段（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上一完整年度及本年度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6130E6B6">
                  <w:pPr>
                    <w:widowControl/>
                    <w:jc w:val="center"/>
                    <w:textAlignment w:val="center"/>
                    <w:rPr>
                      <w:rFonts w:hint="eastAsia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流入量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万元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</w:tr>
            <w:tr w14:paraId="122E3F19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1A095D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6B1B4B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05EED2B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6D92B1EA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1A09EB7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*年*月至*年*月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735CE75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8C924E5">
            <w:pPr>
              <w:rPr>
                <w:rFonts w:ascii="宋体" w:hAnsi="宋体" w:cs="宋体"/>
                <w:szCs w:val="21"/>
                <w:highlight w:val="none"/>
              </w:rPr>
            </w:pPr>
          </w:p>
          <w:tbl>
            <w:tblPr>
              <w:tblStyle w:val="13"/>
              <w:tblW w:w="8581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05"/>
              <w:gridCol w:w="5676"/>
            </w:tblGrid>
            <w:tr w14:paraId="6D32FE28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62A8CFE1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申请额度与半年流入量占比</w:t>
                  </w:r>
                </w:p>
              </w:tc>
              <w:tc>
                <w:tcPr>
                  <w:tcW w:w="5676" w:type="dxa"/>
                  <w:noWrap w:val="0"/>
                  <w:vAlign w:val="center"/>
                </w:tcPr>
                <w:p w14:paraId="6F7F608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CB13135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27B7886B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补充说明：</w:t>
                  </w:r>
                </w:p>
              </w:tc>
              <w:tc>
                <w:tcPr>
                  <w:tcW w:w="5676" w:type="dxa"/>
                  <w:noWrap w:val="0"/>
                  <w:vAlign w:val="top"/>
                </w:tcPr>
                <w:p w14:paraId="0E4A9046">
                  <w:pPr>
                    <w:jc w:val="left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sz w:val="18"/>
                      <w:szCs w:val="18"/>
                      <w:highlight w:val="none"/>
                      <w:lang w:eastAsia="zh-CN"/>
                    </w:rPr>
                    <w:t>公司已提供纳税申报表，不再提供流水佐证。</w:t>
                  </w:r>
                </w:p>
              </w:tc>
            </w:tr>
          </w:tbl>
          <w:p w14:paraId="06BC0FC0">
            <w:pPr>
              <w:ind w:firstLine="1265" w:firstLineChars="600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近三年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及最近一期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财务数据</w:t>
            </w:r>
          </w:p>
          <w:p w14:paraId="424A39D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企业近三年财务报告均由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德赢（福建）会计师事务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所（普通合伙）审计，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并出具了标准无保留意见的审计报告。从财务表现看，公司2025年实现营业收入1.00亿元，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较2024年的0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.8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7亿元有所增长，但净利润为494万元，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较2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024年的329万元虽有提升，整体盈利能力仍处于较低水平。资产结构方面，截至2025年末，公司总资产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为1.70亿元，其中流动资产占比77.3%，主要由应收账款（0.74亿元）和存货（0.22亿元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）构成，资产流动性尚可但存在一定回收风险。负债端，总负债为0.72亿元，其中短期借款为0.47亿元，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构成主要债务压力。公司资产负债率为42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.5%，负债水平适中；流动比率为1.82，短期偿债能力基本充足。经营活动现金流净额在2025年转为净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流入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791万元，但期末货币资金仅286万元，对即期债务的覆盖能力较弱。总体来看，公司经营规模较小，盈利水平有限，资产质量一般，短期偿债能力主要依赖于应收账款回收及银行融资的持续支持。</w:t>
            </w:r>
          </w:p>
          <w:tbl>
            <w:tblPr>
              <w:tblStyle w:val="13"/>
              <w:tblW w:w="4998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4"/>
              <w:gridCol w:w="714"/>
              <w:gridCol w:w="714"/>
              <w:gridCol w:w="714"/>
              <w:gridCol w:w="714"/>
              <w:gridCol w:w="714"/>
              <w:gridCol w:w="714"/>
            </w:tblGrid>
            <w:tr w14:paraId="79B810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E094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科目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2B6E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2022年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2AE5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2023年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D644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AE62D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2025</w:t>
                  </w:r>
                </w:p>
              </w:tc>
            </w:tr>
            <w:tr w14:paraId="30507B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77C41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8FDE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17895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B68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17940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44105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18575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6C44F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16956</w:t>
                  </w:r>
                </w:p>
              </w:tc>
            </w:tr>
            <w:tr w14:paraId="460A81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1C2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684F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14283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CC8C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14192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DD95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14708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6B727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13110</w:t>
                  </w:r>
                </w:p>
              </w:tc>
            </w:tr>
            <w:tr w14:paraId="4922B2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0D61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货币资金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7D4A4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1104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CD1E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A425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8ED8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  <w:r>
                    <w:t>286</w:t>
                  </w:r>
                </w:p>
              </w:tc>
            </w:tr>
            <w:tr w14:paraId="4F82D7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2402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910F4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B6ED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56D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0E974E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</w:tr>
            <w:tr w14:paraId="04C6C6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D9A1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F77F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4410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579F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6354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9F59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890A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7430</w:t>
                  </w:r>
                </w:p>
              </w:tc>
            </w:tr>
            <w:tr w14:paraId="1E3AAF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68C16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D914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2D83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E3446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A9421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428</w:t>
                  </w:r>
                </w:p>
              </w:tc>
            </w:tr>
            <w:tr w14:paraId="523821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2AF87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其它应收款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F8FC4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857E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3621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F00B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8917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2774</w:t>
                  </w:r>
                </w:p>
              </w:tc>
            </w:tr>
            <w:tr w14:paraId="29BCDB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CB0F1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ED94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5301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15C2D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64B65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1166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D5572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2192</w:t>
                  </w:r>
                </w:p>
              </w:tc>
            </w:tr>
            <w:tr w14:paraId="78BCE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4061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非流动资产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CFFB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3612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8B94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3748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1072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3868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B156F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3847</w:t>
                  </w:r>
                </w:p>
              </w:tc>
            </w:tr>
            <w:tr w14:paraId="204033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884FD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固定资产净值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B28E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4CFBD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9F87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4612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</w:t>
                  </w:r>
                </w:p>
              </w:tc>
            </w:tr>
            <w:tr w14:paraId="1985DD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E0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无形资产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C91CF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640A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B70D9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79E9C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156</w:t>
                  </w:r>
                </w:p>
              </w:tc>
            </w:tr>
            <w:tr w14:paraId="429CA1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D1D7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负债合计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071C3D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D3D28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6299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998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1B026A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EEDE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流动负债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3B2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B4C62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A3CB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D9C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374CA6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F0D8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短期借款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4B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F918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7E8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D206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4730</w:t>
                  </w:r>
                </w:p>
              </w:tc>
            </w:tr>
            <w:tr w14:paraId="54A724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0D81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212D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D2A57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4A764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BBE9D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0F1D27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5AC6E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FA54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6062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1847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E8A0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2333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BA1BAB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1026</w:t>
                  </w:r>
                </w:p>
              </w:tc>
            </w:tr>
            <w:tr w14:paraId="213ED6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7EB4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应付税金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33825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130E8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5098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59D10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6114BF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A05B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其它应交款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4762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BA16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FD5D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CEC7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26E17E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4206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长期借款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9AEC1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BACC52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EDF8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393A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7AD26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49BC5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股东权益合计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AD7E2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8357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39A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8927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2225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54E9B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9749</w:t>
                  </w:r>
                </w:p>
              </w:tc>
            </w:tr>
            <w:tr w14:paraId="038925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7E688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实收资本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79DE1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8D7F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C2EAC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6B903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</w:tr>
            <w:tr w14:paraId="0FEF6C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4AFA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资本公积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DAB6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773F3B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7146A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633E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</w:tr>
            <w:tr w14:paraId="0B87F3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6104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盈余公积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7553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E315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F353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6324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</w:tr>
            <w:tr w14:paraId="1FBCDE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213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未分配利润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46B43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8C18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DFA0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1625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AA2E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2119</w:t>
                  </w:r>
                </w:p>
              </w:tc>
            </w:tr>
            <w:tr w14:paraId="34FD1D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15A4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主营业务收入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2731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21198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93CA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12130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863C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8712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546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10010</w:t>
                  </w:r>
                </w:p>
              </w:tc>
            </w:tr>
            <w:tr w14:paraId="227B18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41A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减：主营业务成本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41A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14721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1E03F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8819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3C4D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21DC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6204</w:t>
                  </w:r>
                </w:p>
              </w:tc>
            </w:tr>
            <w:tr w14:paraId="01392C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F8FF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主营业务税金及附加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AC8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0A04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78AD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1F3E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E3CE8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DF94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7B40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D0CE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316BE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BB30A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181B2F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C261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D72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75C02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5086E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36A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7AE574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F15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管理费用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61226F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867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EB7F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6DD8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8607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1116</w:t>
                  </w:r>
                </w:p>
              </w:tc>
            </w:tr>
            <w:tr w14:paraId="6F9AF5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8920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财务费用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6121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A1E4D3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1250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D52E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167</w:t>
                  </w:r>
                </w:p>
              </w:tc>
            </w:tr>
            <w:tr w14:paraId="69670D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0223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55A93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1086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AD7AE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288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55AC4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476</w:t>
                  </w:r>
                </w:p>
              </w:tc>
            </w:tr>
            <w:tr w14:paraId="114767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348F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减：所得税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A171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08BC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B4B3C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BFE72D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0</w:t>
                  </w:r>
                </w:p>
              </w:tc>
            </w:tr>
            <w:tr w14:paraId="206070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9E66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0E3F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08285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393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7FA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D25A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494</w:t>
                  </w:r>
                </w:p>
              </w:tc>
            </w:tr>
            <w:tr w14:paraId="76AE6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602E3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资产负债率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A89A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53.29%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11C8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5726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416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42.5%</w:t>
                  </w:r>
                </w:p>
              </w:tc>
            </w:tr>
            <w:tr w14:paraId="591067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32ABD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C50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1.5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7084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93CE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74725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1.82</w:t>
                  </w:r>
                </w:p>
              </w:tc>
            </w:tr>
            <w:tr w14:paraId="7C1550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76D65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速动比率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2C65C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0.94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55BD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1B702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3EC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1.51</w:t>
                  </w:r>
                </w:p>
              </w:tc>
            </w:tr>
            <w:tr w14:paraId="67BDDE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82FD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E891A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B618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122D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5E3A4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271.0天</w:t>
                  </w:r>
                </w:p>
              </w:tc>
            </w:tr>
            <w:tr w14:paraId="20168D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8DDD1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07BDA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A64B8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105.0天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4FF0C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8ADE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129.0天</w:t>
                  </w:r>
                </w:p>
              </w:tc>
            </w:tr>
            <w:tr w14:paraId="1B87AC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9C5D4D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AA21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E6EF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23D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13F7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25.0天</w:t>
                  </w:r>
                </w:p>
              </w:tc>
            </w:tr>
            <w:tr w14:paraId="1C7AF0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DAD25D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应付帐款周转天数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7F33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37.0天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4961A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174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FFF56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60.0天</w:t>
                  </w:r>
                </w:p>
              </w:tc>
            </w:tr>
            <w:tr w14:paraId="70DC09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auto" w:sz="4" w:space="0"/>
                    <w:right w:val="single" w:color="000000" w:sz="8" w:space="0"/>
                  </w:tcBorders>
                  <w:noWrap w:val="0"/>
                  <w:vAlign w:val="top"/>
                </w:tcPr>
                <w:p w14:paraId="39931C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毛利润率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64878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30.55%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189D9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27.3%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43DB318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38.8%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B1CC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38.02%</w:t>
                  </w:r>
                </w:p>
              </w:tc>
            </w:tr>
            <w:tr w14:paraId="44BF05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E52E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净利润率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30245B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4.64%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26979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3.24%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5BBC0B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3.78%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4DA7C2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4.94%</w:t>
                  </w:r>
                </w:p>
              </w:tc>
            </w:tr>
          </w:tbl>
          <w:p w14:paraId="5CA02251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r>
          </w:p>
          <w:p w14:paraId="2D611363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（1）应收账款 7430万元，主要构成及趋势变动情况： 企业2025年末应收账款为7430万元，较2024年末的9253万元下降19.7%，回款情况有所改善。但该科目自2022年起连续三年快速增长，2025年余额仍显著高于2022年的4410万元。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A5EB4C5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（2）其他应收款 2774万元，主要构成及趋势变动情况： 其他应收款2025年末为2774万元，较2024年末的3522万元下降21.2%，呈回落趋势。该科目占流动资产比重为21.2%，占比较高，但材料未披露具体构成。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69763E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（3）存货 2192万元，主要构成及趋势变动情况： 企业存货在2023年大幅下降52.0%至2545万元后，于2024年继续下降54.2%至1166万元，但2025年末反弹至2192万元，同比大幅增长88.0%。2025年存货的增加主要系原材料及在产品增加所致，具体构成及变动原因依据现有材料无法进一步分析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DB2C09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（4）长期投资 3123万元，主要构成及趋势变动情况： 企业长期投资规模持续增长，2025年末达3123万元，较2024年末的2518万元增加605万元，增幅为24.0%。该科目自2022年以来呈上升趋势，但财务报表中未披露具体构成，无法判断其具体投向与风险。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88E94A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（5）应付账款 1026万元，主要构成及趋势变动情况： 应付账款期末余额为1026万元，较2024年末的2333万元大幅下降56.0%，主要系公司支付了前期采购款项所致。该科目连续两年快速增长后于2025年显著回落，需关注其与当期采购规模的匹配性。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881D75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（6）其他应付款 168万元，主要构成及趋势变动情况： 2025年末其他应付款为168万元，较2024年末的648万元大幅下降480万元，降幅达74.1%。该科目余额已回落至接近2023年水平，显示企业对外部非经营性往来款项的偿付压力显著减轻。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44264F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（7）主营业务收入变动原因： 企业主营业务收入自2022年的21,198万元持续下滑至2024年的8,712万元，但2025年回升至10,10万元，同比增长14.9%。然而，提供的财务报表材料中未包含利润表，无法从给定数据中分析收入变动的具体原因。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487F6E4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（8）盈利能力变动原因： 企业盈利能力持续承压，营业收入自2022年的21,198万元连续下滑至2024年的8,712万元，2025年虽小幅回升至10,10万元，但净利润仅为494万元，净利率为4.9%，虽较2024年的3.8%有所改善，但仍显著低于2022年水平。利润下滑主要系收入规模大幅收缩所致，但2025年收入止跌回升及净利率提升显示经营状况出现边际改善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247144C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9）固定资产投资变动情况：截至2025年末，公司固定资产账面价值为93万元，较年初的164万元减少71万元，降幅43.15%，主要系固定资产清理所致。在建工程、工程物资科目余额为零。现金流量表显示，2025年度公司购建固定资产、无形资产和其他长期资产支付的现金为零。材料未提供后续大额固定资产投入计划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7B09B5AD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10）其他变动较大的财务指标：①预付账款：期末余额428万元，较年初260万元增加168万元，增幅64.39%。变动原因材料未提供，需关注是否为特定项目预付款及合作方资质。②预收款项/合同负债：期末余额978万元，较年初890万元增加87万元，增幅9.82%，变动相对平稳。③存货：期末余额2192万元，较年初1166万元增加1026万元，增幅87.96%，变动显著。结合营业收入增长情况，需关注存货结构、库龄及是否存在滞销风险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0A792E2F">
            <w:pPr>
              <w:pStyle w:val="11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                                                                                          </w:t>
            </w:r>
          </w:p>
          <w:p w14:paraId="0368571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现金流分析：2025年度，公司经营活动现金流量净额为791万元，投资活动现金流量净额为-586万元（主要系支付投资款608万元），筹资活动现金流量净额为-426万元（主要系偿还债务4546万元及支付利息166万元）。全年现金及现金等价物净减少221万元，期末货币资金余额为286万元，较年初506万元大幅减少，流动性较为紧张。公司营业收入为10010万元，但销售商品、提供劳务收到的现金为10385万元，收现比约为1.04，回款情况尚可，但期末应收账款规模庞大，未来回款进度对现金流影响关键。结合4730万元的银行融资余额及有限的账面资金，公司偿债对经营回款及再融资的依赖度较高。材料未提供关于未来年度详细的现金流预测数据。</w:t>
            </w:r>
            <w:r>
              <w:rPr>
                <w:rFonts w:hint="eastAsia" w:ascii="宋体" w:hAnsi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</w:r>
          </w:p>
          <w:p w14:paraId="1ED229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default"/>
                <w:b/>
                <w:bCs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  <w:t xml:space="preserve">最近三年现金流量表分析：  2025年经营活动现金流量净额791万元，投资活动现金流量净额-586万元，筹资活动现金流量净额-426万元。 </w:t>
            </w:r>
            <w:r>
              <w:rPr>
                <w:rFonts w:hint="eastAsia"/>
                <w:b w:val="0"/>
                <w:bCs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</w:r>
            <w:r>
              <w:rPr>
                <w:rFonts w:hint="eastAsia"/>
                <w:b w:val="0"/>
                <w:bCs/>
                <w:snapToGrid w:val="0"/>
                <w:szCs w:val="21"/>
                <w:highlight w:val="none"/>
                <w:u w:val="none"/>
                <w:lang w:val="en-US" w:eastAsia="zh-CN"/>
              </w:rPr>
            </w:r>
          </w:p>
          <w:tbl>
            <w:tblPr>
              <w:tblStyle w:val="14"/>
              <w:tblW w:w="977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95"/>
              <w:gridCol w:w="2169"/>
              <w:gridCol w:w="2170"/>
              <w:gridCol w:w="2170"/>
              <w:gridCol w:w="2170"/>
            </w:tblGrid>
            <w:tr w14:paraId="5AAE26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center"/>
                </w:tcPr>
                <w:p w14:paraId="747825D3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2169" w:type="dxa"/>
                  <w:noWrap w:val="0"/>
                  <w:vAlign w:val="center"/>
                </w:tcPr>
                <w:p w14:paraId="7762C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07492A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446E87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筹资性现金流净额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51F625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现金及现金等价物</w:t>
                  </w:r>
                </w:p>
                <w:p w14:paraId="4208C6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净增加额</w:t>
                  </w:r>
                </w:p>
              </w:tc>
            </w:tr>
            <w:tr w14:paraId="5ADA16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179FC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1EC4F1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-4373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178538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-3747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2BC6B8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3182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5C01C05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-4938</w:t>
                  </w:r>
                </w:p>
              </w:tc>
            </w:tr>
            <w:tr w14:paraId="63BB17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480D00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081486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269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448FBC2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-716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71E028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864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7EA400B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418</w:t>
                  </w:r>
                </w:p>
              </w:tc>
            </w:tr>
            <w:tr w14:paraId="46267F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62D40D1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11A4EB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-896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AB9740F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-922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DB724E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802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CD2D0DD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-1015</w:t>
                  </w:r>
                </w:p>
              </w:tc>
            </w:tr>
          </w:tbl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总体财务情况小结： 收入下滑趋势在2025年得到扭转并恢复增长，同时毛利率在经历波动后于近两年稳定在较高水平，显示盈利能力的改善与巩固。毛利率标准差处于可控范围，表明盈利质量趋于稳定。收入、毛利与净利润需联动分析，重点关注利润兑现与毛利波动是否匹配。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企业短期偿债压力显著加剧，货币资金对短期债务的保障能力持续大幅削弱。尽管流动比率有所改善且资产负债率呈下降趋势，但核心流动性指标的急剧恶化表明企业面临严峻的即时支付风险。偿债能力由杠杆水平与流动性共同决定，需同步观察资产负债率和短债覆盖能力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应收账款回收效率持续恶化，周转天数显著延长，表明客户回款能力严重下降。存货管理波动剧烈，近期同比增速大幅反弹，可能面临库存积压风险。运营效率需重点跟踪应收账款周转与收入扩张的匹配程度。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现金流数据缺失，无法评估其质量与连续性。经营现金流当前表现为无法判断，需关注现金回笼与利润质量是否一致。若经营现金流波动较大，应强化订单回款、存货占用与资金调度管理。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应收账款周转天数持续恶化，已显著超过风险阈值，表明客户回款能力严重不足，信用风险急剧升高。货币资金对短期借款的覆盖率已降至极低水平，远低于安全阈值，企业面临严峻的短期偿债压力，流动性风险极高。当前已触发硬阈值预警：应收账款周转天数超过180天，回款风险偏高。</w:t>
            </w:r>
          </w:p>
          <w:p w14:paraId="13920AEA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六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融资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对外担保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/实控人征信情况</w:t>
            </w:r>
          </w:p>
          <w:p w14:paraId="69868171">
            <w:pPr>
              <w:pStyle w:val="9"/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1.融资及对外担保情况</w:t>
            </w:r>
          </w:p>
          <w:p w14:paraId="42E9A1DA">
            <w:pPr>
              <w:pStyle w:val="9"/>
              <w:numPr>
                <w:ilvl w:val="0"/>
                <w:numId w:val="0"/>
              </w:numPr>
              <w:ind w:firstLine="420" w:firstLineChars="200"/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根据企业提供的2025年财务报表，其短期借款余额为4730万元，占流动负债的65.6%，是公司最主要的融资来源。材料未提供各银行具体贷款余额的分布情况。公司无对外担保记录，亦无被追偿记录。</w:t>
            </w:r>
          </w:p>
          <w:tbl>
            <w:tblPr>
              <w:tblStyle w:val="13"/>
              <w:tblW w:w="4997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54"/>
              <w:gridCol w:w="818"/>
              <w:gridCol w:w="1354"/>
              <w:gridCol w:w="1354"/>
              <w:gridCol w:w="1623"/>
              <w:gridCol w:w="1623"/>
              <w:gridCol w:w="1357"/>
              <w:gridCol w:w="1358"/>
            </w:tblGrid>
            <w:tr w14:paraId="4797BF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65DDB32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融资机构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7D580C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品种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33EC5A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敞口额度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C4042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敞口余额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4FAC9F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业务起始日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51B014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业务到期日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8A8D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担保方式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BC95E0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五级分类</w:t>
                  </w:r>
                </w:p>
              </w:tc>
            </w:tr>
            <w:tr w14:paraId="430442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0A707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交通银行屏东支行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66676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146FD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7EE648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4D9921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2026.4.24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D9F514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EDBC60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902850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3E3562E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97FD3B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海峡银行-金山支行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CAF18F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流贷加担保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F8D95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2ACB83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7F50C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2026.10.15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5E539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黄祖海.陈其俤.福州市融资担保有限公司.福建恒运投资合伙企业（有限合伙）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07823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BE1FB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0DAE11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6BFAFED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厦门国际银行台江支行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279E3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74F717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D198F3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0FEBB9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2026.11.21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295822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476CA7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8E626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69C18A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9B3C0C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兴业银行-环球支行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9DA096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合计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FE8BDB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725CE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4048CA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2025.11.25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A17426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2026.11.25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F14E01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黄祖海.陈其俤.中锐汉鼎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72440E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</w:tbl>
          <w:p w14:paraId="17C0B0C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材料未提供中长期借款信息，因此无法分析其还款计划及资金安排。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73E83C3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（若有）固贷还款计划如下：建设银行项目贷款（配套项目均已建成，已有经营回款能力）</w:t>
            </w:r>
          </w:p>
          <w:p w14:paraId="547A6D1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2025年还款1188万元、2026年1926万元、2027年2430万元、2028年2330万元、2029年2500万元、2030年1637万元，按预测销售趋势及净利润水平来看，可足额归还相关项目贷款资金。</w:t>
            </w:r>
          </w:p>
          <w:p w14:paraId="76CE32AE">
            <w:commentRangeStart w:id="8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（若有）对外担保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</w:t>
            </w:r>
            <w:commentRangeEnd w:id="8"/>
            <w:r>
              <w:rPr>
                <w:rStyle w:val="CommentReference"/>
              </w:rPr>
              <w:commentReference w:id="8"/>
            </w:r>
          </w:p>
          <w:p w14:paraId="4355488A">
            <w:commentRangeStart w:id="9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（若有）不良记录情况: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 xml:space="preserve">                               </w:t>
            </w:r>
            <w:commentRangeEnd w:id="9"/>
            <w:r>
              <w:rPr>
                <w:rStyle w:val="CommentReference"/>
              </w:rPr>
              <w:commentReference w:id="9"/>
            </w:r>
          </w:p>
          <w:p w14:paraId="0BD0E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2" w:firstLineChars="200"/>
              <w:jc w:val="both"/>
              <w:textAlignment w:val="auto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上游供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应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商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要包括：锐捷网络股份有限公司、北京星链南天科技有限公司、广州浩瀚星图信息技术有限公司、新天科技股份有限公司、精导信息技术有限公司司等。下游客户主要包括：涵江水利局、福建省翔远电子科技有限公司、三明水利水电工程有限公司顺昌分公司、福州市福清公路事业发展中心、济南展雄电子有限公司等。</w:t>
            </w:r>
          </w:p>
          <w:p w14:paraId="5424B92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材料未提供借款人实际控制人黄祖海配偶的个人信息及征信情况。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</w:p>
          <w:p w14:paraId="27DBD94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（七）科技情况分析（科技型企业填写）</w:t>
            </w:r>
          </w:p>
          <w:p w14:paraId="0C37BEE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1.科技类型与评分</w:t>
            </w:r>
          </w:p>
          <w:p w14:paraId="4283556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科技型企业类型：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科技型中小企业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（第几轮，有效期至X年X月X日）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高新技术企业；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创新型中小企业；</w:t>
            </w:r>
          </w:p>
          <w:p w14:paraId="2E216E6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“专精特新”中小企业；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专精特新“小巨人”企业；</w:t>
            </w:r>
          </w:p>
          <w:p w14:paraId="0EFFAD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制造业单项冠军企业；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国家技术创新示范企业</w:t>
            </w:r>
          </w:p>
          <w:p w14:paraId="6C01223F">
            <w:commentRangeStart w:id="10"/>
            <w:pPr>
              <w:pStyle w:val="7"/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科技型企业评分：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分</w:t>
            </w:r>
            <w:commentRangeEnd w:id="10"/>
            <w:r>
              <w:rPr>
                <w:rStyle w:val="CommentReference"/>
              </w:rPr>
              <w:commentReference w:id="10"/>
            </w:r>
          </w:p>
          <w:p w14:paraId="787DC0F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※2.研发投入情况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</w:p>
          <w:p w14:paraId="460D4DDD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核心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人员是否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享有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股权激励：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是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否</w:t>
            </w:r>
          </w:p>
          <w:p w14:paraId="5EFD5548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②近三年研发投入占比及研发人员占比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76"/>
              <w:gridCol w:w="936"/>
              <w:gridCol w:w="2826"/>
              <w:gridCol w:w="1296"/>
              <w:gridCol w:w="1296"/>
              <w:gridCol w:w="1296"/>
            </w:tblGrid>
            <w:tr w14:paraId="20626E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9C2D4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07C17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AAB0030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研发费用占比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（研发费用/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营收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E82046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人数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FB8D1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研发人员占比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866DDBC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薪酬</w:t>
                  </w:r>
                </w:p>
              </w:tc>
            </w:tr>
            <w:tr w14:paraId="688772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98729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C3C1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1447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8C0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E90B8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18CF5F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359BA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7F546D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7AC7D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C67A1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895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94C0E2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7.4%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D783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888AD2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C524C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57F313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3857EE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5E657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1262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8BD3D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14.5%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69F17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00D3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38B5B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</w:tbl>
          <w:p w14:paraId="10018B81">
            <w:pPr>
              <w:pStyle w:val="9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3.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专利情况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single"/>
                <w:lang w:val="en-US" w:eastAsia="zh-CN" w:bidi="ar-SA"/>
              </w:rPr>
              <w:t>企业拥有发明专利X项、实用专利X项，权属清晰，不存在瑕疵及涉诉情况，具体情况如下表所示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47"/>
              <w:gridCol w:w="936"/>
              <w:gridCol w:w="576"/>
              <w:gridCol w:w="1116"/>
              <w:gridCol w:w="1836"/>
            </w:tblGrid>
            <w:tr w14:paraId="44A4E3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0CE879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发明/实用专利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7DF666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专利名称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FF5A45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证号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E23429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是否已质押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19F5CC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评估价值（如适用）</w:t>
                  </w:r>
                </w:p>
              </w:tc>
            </w:tr>
            <w:tr w14:paraId="3B0DEB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B7B87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6A3E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E463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设备故障的检测处理方法、装置和网络设备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99ABB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ZL201010512112.7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7B17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</w:tr>
            <w:tr w14:paraId="129195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EA10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A8A6BA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AF83B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数据缓存管理方法及装置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3AFA2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ZL201010601468.8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E53775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</w:tr>
            <w:tr w14:paraId="071BF1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1E9AF9B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6F39A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5581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一种Web远程docker容器桌面的方法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08A89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ZL201910907578.8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DC2EA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</w:tr>
          </w:tbl>
          <w:p w14:paraId="2935449F">
            <w:pPr>
              <w:pStyle w:val="9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662F63FD">
            <w:pPr>
              <w:pStyle w:val="9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八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）综合效益分析</w:t>
            </w:r>
          </w:p>
          <w:p w14:paraId="39908C0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截至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</w:rPr>
              <w:t>目前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企业在我行日均存款情况、对公有效户数量、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全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年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结算量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代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发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签约员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人数及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发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薪量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综合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效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益相关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据，材料未提供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相关信息，无法评估其对我行的业务贡献度。</w:t>
            </w:r>
          </w:p>
          <w:p w14:paraId="6148F89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预计企业在我行可实现日均存款约286万元（基于2025年末货币资金），全年结算量预计不低于1.48亿元（参考2025年经营活动现金流入小计）。企业下游客户包括水利局等政府单位及大中型企业，回款周期相对稳定，具备一定的资金沉淀基础。材料未提供企业员工总数及代发薪计划，因此代发签约人数及年度发薪量暂无法预估。企业在我行已有短期借款余额4730万元，本次授信有助于巩固银企合作关系，并带动结算存款等基础业务，综合效益可期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</w:p>
          <w:p w14:paraId="2461EA4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）借款原因及还款能力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分析</w:t>
            </w:r>
          </w:p>
          <w:p w14:paraId="6429D21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.借款原因说明：借款人2025年经营活动现金流净额为791万元，期末货币资金为286万元，较年初下降43.6%。公司应收账款及存货占用营运资金较多，2025年末应收账款为7,430万元，存货为2,192万元，合计占流动资产的73.4%。同时，公司2025年营业收入为10,10万元，同比增长14.9%，业务扩张对营运资金形成持续需求。为应对下游回款周期及业务增长带来的资金压力，公司需申请贷款补充流动资金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</w:p>
          <w:p w14:paraId="13F0D54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材料未提供申请中期流动资金贷款的具体原因及相关说明，无法分析其合理性。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</w:r>
          </w:p>
          <w:p w14:paraId="04F1C25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营运资金需求测算</w:t>
            </w:r>
          </w:p>
          <w:p w14:paraId="4655273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材料未提供用于测算营运资金需求的预测性财务数据，如销售收入增长率、经营性流动资产/负债周转率等，无法进行流动资金需求测算。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r>
          </w:p>
          <w:p w14:paraId="6E23948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（请附531系统测算表截图）</w:t>
            </w:r>
          </w:p>
          <w:p w14:paraId="64AA94E5">
            <w:pPr>
              <w:pStyle w:val="11"/>
              <w:rPr>
                <w:rFonts w:hint="eastAsia"/>
              </w:rPr>
            </w:pPr>
          </w:p>
          <w:p w14:paraId="1970A0F7">
            <w:commentRangeStart w:id="1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/>
                <w:highlight w:val="none"/>
                <w:u w:val="none"/>
                <w:lang w:val="en-US" w:eastAsia="zh-CN"/>
              </w:rPr>
            </w:pPr>
            <w:r>
              <w:rPr>
                <w:rFonts w:hint="eastAsia"/>
                <w:highlight w:val="none"/>
                <w:u w:val="none"/>
                <w:lang w:val="en-US" w:eastAsia="zh-CN"/>
              </w:rPr>
              <w:t>如上述测算过程存在数据调整，请补充说明：</w:t>
            </w:r>
            <w:r>
              <w:rPr>
                <w:rFonts w:hint="eastAsia"/>
                <w:highlight w:val="none"/>
                <w:u w:val="single"/>
                <w:lang w:val="en-US" w:eastAsia="zh-CN"/>
              </w:rPr>
              <w:t xml:space="preserve">                                         </w:t>
            </w:r>
            <w:r>
              <w:rPr>
                <w:rFonts w:hint="eastAsia"/>
                <w:highlight w:val="none"/>
                <w:u w:val="none"/>
                <w:lang w:val="en-US" w:eastAsia="zh-CN"/>
              </w:rPr>
              <w:t xml:space="preserve">  </w:t>
            </w:r>
            <w:commentRangeEnd w:id="11"/>
            <w:r>
              <w:rPr>
                <w:rStyle w:val="CommentReference"/>
              </w:rPr>
              <w:commentReference w:id="11"/>
            </w:r>
          </w:p>
          <w:p w14:paraId="3084A9F9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还款能力分析：</w:t>
            </w:r>
          </w:p>
          <w:p w14:paraId="135AE982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①第一还款来源（经营性现金流分析）： 2025年经营活动产生的现金流量净额为791万元，为正，表明公司主营业务具备一定的现金生成能力。 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r>
          </w:p>
          <w:p w14:paraId="0DEB130D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1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  ②第二还款来源（抵质押物变现能力分析及其他渠道现金流分析）：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材料未提供抵质押物信息及其他渠道现金流信息。 </w:t>
            </w:r>
          </w:p>
          <w:p w14:paraId="23BF48B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（注：若还款来源为股权融资款，需分析估值合理性、股权融资金额、当前进展、预计落地时间、投资方情况，并提供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val="en-US" w:eastAsia="zh-CN"/>
              </w:rPr>
              <w:t>相关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依据）</w:t>
            </w:r>
          </w:p>
          <w:p w14:paraId="5874C0C9">
            <w:commentRangeStart w:id="12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续授信客户需对比前次授信方案，反映调整/变动原因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</w:t>
            </w:r>
            <w:commentRangeEnd w:id="12"/>
            <w:r>
              <w:rPr>
                <w:rStyle w:val="CommentReference"/>
              </w:rPr>
              <w:commentReference w:id="12"/>
            </w:r>
          </w:p>
          <w:p w14:paraId="0B565A9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十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）担保分析</w:t>
            </w:r>
          </w:p>
          <w:p w14:paraId="6EBF1999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抵押担保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7"/>
              <w:gridCol w:w="819"/>
              <w:gridCol w:w="859"/>
              <w:gridCol w:w="1256"/>
              <w:gridCol w:w="1073"/>
              <w:gridCol w:w="960"/>
              <w:gridCol w:w="1002"/>
              <w:gridCol w:w="876"/>
              <w:gridCol w:w="1303"/>
            </w:tblGrid>
            <w:tr w14:paraId="6E59F4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7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79C783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抵押物</w:t>
                  </w: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名称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739B26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类型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F7789E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面积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9B406F9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权属及证号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8CDD6FE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评估机构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1AC9E45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评估时间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21AE4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评估净值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B84558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抵押率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C7110E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自用/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  <w:t>出租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/空置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cr/>
                  </w:r>
                </w:p>
              </w:tc>
            </w:tr>
            <w:tr w14:paraId="6EC898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026F75C5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95C5E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C5C4CC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423D1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42B2E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B1A7C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A7C0CAF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614C61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03984B8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</w:p>
              </w:tc>
            </w:tr>
            <w:tr w14:paraId="5A59F7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D6537F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A61036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27B8D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7E2A6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E9AF0B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BFDD615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8D7FD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D9630DE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FBF67B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638667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9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5F3DB0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合计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D3B6B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844C50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2523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13CB2C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福州大学国家科技园8号楼5层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701F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305A82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9DA3AB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920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71E035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/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69E44D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</w:tr>
          </w:tbl>
          <w:p w14:paraId="33A8B88A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材料未提供本次授信涉及的抵押物信息，无法对抵押物的类型、面积等具体情况进行说明。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r>
          </w:p>
          <w:p w14:paraId="61791684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材料未提供本次授信涉及的抵押物信息，无法对抵押物的土地性质、租赁状况或是否为唯一住宅等补充事项进行说明。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r>
          </w:p>
          <w:p w14:paraId="027D0FF2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公司担保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</w:p>
          <w:p w14:paraId="0F2B1FC8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①保证人基本信息：成立日期、注册资本及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实收资本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、法人代表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经营场所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（坐落地点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场地面积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、自有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或租用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、是否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已对外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抵押）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；</w:t>
            </w:r>
          </w:p>
          <w:p w14:paraId="62F95C79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②保证人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化型及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对公PD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 w:bidi="ar-SA"/>
              </w:rPr>
              <w:t>X级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（注意是否符合保证人准入要求）</w:t>
            </w:r>
          </w:p>
          <w:p w14:paraId="4FB2F005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③保证人主要经营情况；</w:t>
            </w:r>
          </w:p>
          <w:p w14:paraId="1ECFCA73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④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保证人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征信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信息（银行授信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品种、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敞口提用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余额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对外担保余额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，不良记录等）；</w:t>
            </w:r>
          </w:p>
          <w:p w14:paraId="192DC78C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⑤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主要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财务指标（请填写下表）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6"/>
              <w:gridCol w:w="756"/>
              <w:gridCol w:w="756"/>
              <w:gridCol w:w="936"/>
              <w:gridCol w:w="756"/>
              <w:gridCol w:w="756"/>
              <w:gridCol w:w="1116"/>
            </w:tblGrid>
            <w:tr w14:paraId="6CD9FC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4075997B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DD799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991DA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299A5A5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销售收入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72B2F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EB6D53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6C9251D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资产负债率</w:t>
                  </w:r>
                </w:p>
              </w:tc>
            </w:tr>
            <w:tr w14:paraId="5FE4EB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82A6994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7EFEDF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BA834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8D002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8E1C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507EDF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96694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</w:tr>
            <w:tr w14:paraId="26219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BB58F14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A8F79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1F4AC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CF65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9CDD7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72369B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54961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</w:tr>
            <w:tr w14:paraId="4AE053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4EA4411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4F87A57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1D2BB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815C03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937CC6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68725E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E05C03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</w:tr>
            <w:tr w14:paraId="7F7EEA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8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545E239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2025.X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B9DC35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D465F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A839B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64BB7B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D68CD9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BFB623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BB3F6B6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其他：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风险信息情况、涉诉等</w:t>
            </w:r>
          </w:p>
          <w:p w14:paraId="31380E80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本次授信方案未涉及我行认可的专业担保公司担保。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r>
          </w:p>
          <w:p w14:paraId="7EC7AD71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个人担保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如：实控人及配偶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09E5C6EF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本次授信申请为信用方式。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企业资产负债率为42.5%，负债水平适中；流动比率为1.82，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短期偿债能力尚可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。企业2025年实现营业收入10010万元，净利润494万元，保持盈利。企业银行融资余额为4730万元，主要为短期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借款。企业主营业务聚焦智慧水利与智慧教育，符合国家政策导向，其智慧水利解决方案已在福建省内300余座水库应用，具备一定的市场基础和技术积累。实际控制人黄祖海在行业内从业经验超过20年，经营团队相对稳定。然而，企业应收账款规模较大，2025年末为7430万元，占流动资产比重较高，对营运资金形成占用。同时，企业期末货币资金仅286万元，流动性偏紧。综合来看，企业自身经营具备一定基础，但资产流动性较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弱，且本次授信缺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乏抵质押物增信，风险缓释措施不足。</w:t>
            </w:r>
          </w:p>
          <w:p w14:paraId="615FBFA9">
            <w:pPr>
              <w:pStyle w:val="11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7FC4DC80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hint="default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十一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）经营单位授信申报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结论及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方案：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围绕“现金流、杠杆率、可持续、垒小户、配结算、强担保”六要素展开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基于“六要素”综合评判客户是否准入，如何设置合理授信方案及贷后管控措施）</w:t>
            </w:r>
          </w:p>
          <w:p w14:paraId="068BDD9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综合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评价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围绕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“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六要素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</w:p>
          <w:p w14:paraId="632638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现金流：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2022年经营性现金流-739万元，2023年502万元，2024年按企业自编流量表也呈流入状态。2025年预计与2024年无重大变化，现金流能平衡。公司每月现金流入1000万元左右，日常开销流出900万元左右，账上资金余额维持在100万元左右，能维持日常经营周转。</w:t>
            </w:r>
          </w:p>
          <w:p w14:paraId="4FF7897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杠杆率: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借款人负债率一般在65-70%之间，流动比在1.4-1.5，整体比较稳定，综合评判该公司具备偿还贷款本息的能力。</w:t>
            </w:r>
          </w:p>
          <w:p w14:paraId="1882DF71">
            <w:commentRangeStart w:id="13"/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可持续：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成立时间较长，技术先进，订单稳定，部分订单会外发加工，产能已满负荷，2025年正在考虑扩大经营地增加产能，公司人员配备齐全，现有240多名员工，其法人就是该公司的技术骨干，研发团队领头人均是从事____行业多年的专业人员，公司可持续性发展趋势良好。</w:t>
            </w:r>
            <w:commentRangeEnd w:id="13"/>
            <w:r>
              <w:rPr>
                <w:rStyle w:val="CommentReference"/>
              </w:rPr>
              <w:commentReference w:id="13"/>
            </w:r>
          </w:p>
          <w:p w14:paraId="6C1C120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上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游供应商主要包括：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锐捷网络股份有限公司、北京星链南天科技有限公司、广州浩瀚星图信息技术有限公司、新天科技股份有限公司、精导信息技术有限公司司等。下游客户主要包括：涵江水利局、福建省翔远电子科技有限公司、三明水利水电工程有限公司顺昌分公司、福州市福清公路事业发展中心、济南展雄电子有限公司等。</w:t>
            </w:r>
          </w:p>
          <w:p w14:paraId="282CB9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配结算：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借款人在我行开户时间较长，由于近两年在我行贷款提用不多，整体结算减少，后续将加强营销结算和代发业务。</w:t>
            </w:r>
          </w:p>
          <w:p w14:paraId="5BDB992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强担保：该公司名下无房产，材料未提供他行贷款担保方式信息。我行此次申请授信敞口1000万元，其中500万元由实际控制人黄祖海个人房产抵押，剩余500万元为信用方式，并追加黄祖海个人连带责任保证。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340E9C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基于以上六要素综合评判，借款人予以准入。</w:t>
            </w:r>
          </w:p>
          <w:p w14:paraId="52F81D45">
            <w:pPr>
              <w:widowControl w:val="0"/>
              <w:spacing w:line="240" w:lineRule="auto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/>
              </w:rPr>
            </w:pPr>
          </w:p>
          <w:p w14:paraId="2003E6DE">
            <w:commentRangeStart w:id="14"/>
            <w:pPr>
              <w:widowControl w:val="0"/>
              <w:spacing w:line="240" w:lineRule="auto"/>
              <w:ind w:firstLine="422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授信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方案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highlight w:val="none"/>
                <w:u w:val="single"/>
              </w:rPr>
              <w:t>拟申请给予</w:t>
            </w:r>
            <w:r>
              <w:rPr>
                <w:rFonts w:hint="eastAsia" w:ascii="宋体" w:hAnsi="宋体"/>
                <w:highlight w:val="none"/>
                <w:u w:val="single"/>
                <w:lang w:val="en-US" w:eastAsia="zh-CN"/>
              </w:rPr>
              <w:t>借款人授信敞口1000万元，____     。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commentRangeEnd w:id="14"/>
            <w:r>
              <w:rPr>
                <w:rStyle w:val="CommentReference"/>
              </w:rPr>
              <w:commentReference w:id="14"/>
            </w:r>
          </w:p>
          <w:p w14:paraId="38E6AC17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</w:pPr>
          </w:p>
          <w:p w14:paraId="196DEADF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Cs/>
                <w:snapToGrid w:val="0"/>
                <w:color w:val="auto"/>
                <w:kern w:val="0"/>
                <w:szCs w:val="21"/>
                <w:highlight w:val="cya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尽职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  <w:lang w:val="en-US" w:eastAsia="zh-CN"/>
              </w:rPr>
              <w:t>调查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：经营单位对上述材料真实性负责。</w:t>
            </w:r>
          </w:p>
          <w:p w14:paraId="6483A6E1">
            <w:commentRangeStart w:id="15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</w:rPr>
              <w:t>行长：                    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r>
            <w:commentRangeEnd w:id="15"/>
            <w:r>
              <w:rPr>
                <w:rStyle w:val="CommentReference"/>
              </w:rPr>
              <w:commentReference w:id="15"/>
            </w:r>
          </w:p>
          <w:p w14:paraId="6AC425A6">
            <w:commentRangeStart w:id="16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共同调查人:                                          日期：</w:t>
            </w: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r>
            <w:commentRangeEnd w:id="16"/>
            <w:r>
              <w:rPr>
                <w:rStyle w:val="CommentReference"/>
              </w:rPr>
              <w:commentReference w:id="16"/>
            </w:r>
          </w:p>
          <w:p w14:paraId="2FC82B07">
            <w:commentRangeStart w:id="17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管理经理/二级支行行长:     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r>
            <w:commentRangeEnd w:id="17"/>
            <w:r>
              <w:rPr>
                <w:rStyle w:val="CommentReference"/>
              </w:rPr>
              <w:commentReference w:id="17"/>
            </w:r>
          </w:p>
          <w:p w14:paraId="269107E9">
            <w:commentRangeStart w:id="18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分管行长：                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r>
            <w:commentRangeEnd w:id="18"/>
            <w:r>
              <w:rPr>
                <w:rStyle w:val="CommentReference"/>
              </w:rPr>
              <w:commentReference w:id="18"/>
            </w:r>
          </w:p>
          <w:p w14:paraId="3096CC3B">
            <w:commentRangeStart w:id="19"/>
            <w:pPr>
              <w:ind w:firstLine="420" w:firstLineChars="200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行长：                    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r>
            <w:commentRangeEnd w:id="19"/>
            <w:r>
              <w:rPr>
                <w:rStyle w:val="CommentReference"/>
              </w:rPr>
              <w:commentReference w:id="19"/>
            </w:r>
          </w:p>
        </w:tc>
      </w:tr>
      <w:tr w14:paraId="6D61B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7DA7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省分行（辖行）普惠部审查岗意见（可另附）：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</w:p>
          <w:p w14:paraId="3BF0CB64">
            <w:pPr>
              <w:pStyle w:val="11"/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主要风险及</w:t>
            </w: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  <w:t>管控措施</w:t>
            </w:r>
          </w:p>
          <w:p w14:paraId="15B0E221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 w:ascii="国标宋体" w:hAnsi="国标宋体" w:eastAsia="国标宋体" w:cs="国标宋体"/>
                <w:b/>
                <w:color w:val="auto"/>
                <w:kern w:val="2"/>
                <w:sz w:val="21"/>
                <w:szCs w:val="21"/>
                <w:highlight w:val="none"/>
              </w:rPr>
              <w:t>审查审批意见</w:t>
            </w:r>
          </w:p>
          <w:p w14:paraId="4232D210">
            <w:pPr>
              <w:rPr>
                <w:rFonts w:hint="eastAsia"/>
              </w:rPr>
            </w:pPr>
          </w:p>
          <w:p w14:paraId="191D2183">
            <w:pPr>
              <w:rPr>
                <w:rFonts w:hint="eastAsia"/>
              </w:rPr>
            </w:pPr>
          </w:p>
          <w:p w14:paraId="2C1B80E0">
            <w:pPr>
              <w:pStyle w:val="2"/>
              <w:rPr>
                <w:rFonts w:hint="eastAsia"/>
              </w:rPr>
            </w:pPr>
          </w:p>
          <w:p w14:paraId="3B36D497">
            <w:pPr>
              <w:rPr>
                <w:rFonts w:hint="eastAsia"/>
              </w:rPr>
            </w:pPr>
          </w:p>
          <w:p w14:paraId="7515CFF7">
            <w:pPr>
              <w:pStyle w:val="2"/>
              <w:rPr>
                <w:rFonts w:hint="eastAsia"/>
              </w:rPr>
            </w:pPr>
          </w:p>
          <w:p w14:paraId="076F6CB1">
            <w:pPr>
              <w:rPr>
                <w:rFonts w:hint="eastAsia"/>
              </w:rPr>
            </w:pPr>
          </w:p>
          <w:p w14:paraId="1F1034B2">
            <w:pPr>
              <w:pStyle w:val="2"/>
              <w:rPr>
                <w:rFonts w:hint="eastAsia"/>
              </w:rPr>
            </w:pPr>
          </w:p>
          <w:p w14:paraId="5DDA68B5">
            <w:commentRangeStart w:id="20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审查员：                             日期：  　 年    月    日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commentRangeEnd w:id="20"/>
            <w:r>
              <w:rPr>
                <w:rStyle w:val="CommentReference"/>
              </w:rPr>
              <w:commentReference w:id="20"/>
            </w:r>
          </w:p>
        </w:tc>
      </w:tr>
      <w:tr w14:paraId="3D39D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9161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普惠部审批意见：</w:t>
            </w:r>
          </w:p>
          <w:p w14:paraId="02AD351A">
            <w:pPr>
              <w:pStyle w:val="2"/>
              <w:rPr>
                <w:rFonts w:hint="eastAsia"/>
              </w:rPr>
            </w:pPr>
          </w:p>
          <w:p w14:paraId="149CD46A">
            <w:pPr>
              <w:rPr>
                <w:rFonts w:hint="eastAsia"/>
              </w:rPr>
            </w:pPr>
          </w:p>
          <w:p w14:paraId="1575AA1D">
            <w:pPr>
              <w:pStyle w:val="2"/>
              <w:rPr>
                <w:rFonts w:hint="eastAsia"/>
              </w:rPr>
            </w:pPr>
          </w:p>
          <w:p w14:paraId="1D3ADA5F">
            <w:pPr>
              <w:rPr>
                <w:rFonts w:hint="eastAsia"/>
              </w:rPr>
            </w:pPr>
          </w:p>
          <w:p w14:paraId="4940E0C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990" w:firstLineChars="19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审批人：                             日期：  　 年    月    日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</w:p>
        </w:tc>
      </w:tr>
      <w:tr w14:paraId="5B9D3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02B60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分管行长审批意见：</w:t>
            </w:r>
          </w:p>
          <w:p w14:paraId="092FC32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9A37825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B5FFF65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4E5A23FF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FD459E3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15835491">
            <w:pPr>
              <w:pStyle w:val="2"/>
              <w:rPr>
                <w:rFonts w:hint="eastAsia"/>
                <w:lang w:val="en-US" w:eastAsia="zh-CN"/>
              </w:rPr>
            </w:pPr>
          </w:p>
          <w:p w14:paraId="6084C2B8">
            <w:pPr>
              <w:pStyle w:val="2"/>
              <w:rPr>
                <w:rFonts w:hint="eastAsia"/>
                <w:lang w:val="en-US" w:eastAsia="zh-CN"/>
              </w:rPr>
            </w:pPr>
          </w:p>
          <w:p w14:paraId="220DDAE1">
            <w:commentRangeStart w:id="2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分管行长：                           日期：  　 年    月    日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commentRangeEnd w:id="21"/>
            <w:r>
              <w:rPr>
                <w:rStyle w:val="CommentReference"/>
              </w:rPr>
              <w:commentReference w:id="21"/>
            </w:r>
          </w:p>
        </w:tc>
      </w:tr>
    </w:tbl>
    <w:p w14:paraId="1437A6E2">
      <w:pPr>
        <w:rPr>
          <w:rFonts w:ascii="宋体" w:hAnsi="宋体" w:cs="宋体"/>
          <w:sz w:val="28"/>
          <w:szCs w:val="36"/>
        </w:rPr>
      </w:pPr>
    </w:p>
    <w:sectPr>
      <w:footerReference r:id="rId3" w:type="default"/>
      <w:pgSz w:w="11907" w:h="16839"/>
      <w:pgMar w:top="1431" w:right="1640" w:bottom="400" w:left="1600" w:header="0" w:footer="0" w:gutter="0"/>
      <w:lnNumType w:countBy="0" w:distance="360"/>
      <w:cols w:space="720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信贷报告 Agent" w:date="2026-04-07T14:43:09Z" w:initials="Agent">
    <w:p>
      <w:r>
        <w:rPr>
          <w:rStyle w:val="CommentReference"/>
        </w:rPr>
        <w:annotationRef/>
      </w:r>
      <w:r>
        <w:t xml:space="preserve">该处“申报单位”仍为空白，请人工确认。</w:t>
      </w:r>
    </w:p>
  </w:comment>
  <w:comment w:id="1" w:author="信贷报告 Agent" w:date="2026-04-07T14:43:09Z" w:initials="Agent">
    <w:p>
      <w:r>
        <w:rPr>
          <w:rStyle w:val="CommentReference"/>
        </w:rPr>
        <w:annotationRef/>
      </w:r>
      <w:r>
        <w:t xml:space="preserve">该处“小类）”仍为空白，请人工确认。</w:t>
      </w:r>
    </w:p>
  </w:comment>
  <w:comment w:id="2" w:author="信贷报告 Agent" w:date="2026-04-07T14:43:09Z" w:initials="Agent">
    <w:p>
      <w:r>
        <w:rPr>
          <w:rStyle w:val="CommentReference"/>
        </w:rPr>
        <w:annotationRef/>
      </w:r>
      <w:r>
        <w:t xml:space="preserve">该处“绿通标识”仍为空白，请人工确认。</w:t>
      </w:r>
    </w:p>
  </w:comment>
  <w:comment w:id="3" w:author="信贷报告 Agent" w:date="2026-04-07T14:43:09Z" w:initials="Agent">
    <w:p>
      <w:r>
        <w:rPr>
          <w:rStyle w:val="CommentReference"/>
        </w:rPr>
        <w:annotationRef/>
      </w:r>
      <w:r>
        <w:t xml:space="preserve">该处“过往两年企业股权变动情况及变动原因”仍为空白，请人工确认。</w:t>
      </w:r>
    </w:p>
  </w:comment>
  <w:comment w:id="4" w:author="信贷报告 Agent" w:date="2026-04-07T14:43:09Z" w:initials="Agent">
    <w:p>
      <w:r>
        <w:rPr>
          <w:rStyle w:val="CommentReference"/>
        </w:rPr>
        <w:annotationRef/>
      </w:r>
      <w:r>
        <w:t xml:space="preserve">该处“分析原因”仍为空白，请人工确认。</w:t>
      </w:r>
    </w:p>
  </w:comment>
  <w:comment w:id="5" w:author="信贷报告 Agent" w:date="2026-04-07T14:43:09Z" w:initials="Agent">
    <w:p>
      <w:r>
        <w:rPr>
          <w:rStyle w:val="CommentReference"/>
        </w:rPr>
        <w:annotationRef/>
      </w:r>
      <w:r>
        <w:t xml:space="preserve">该处“行长”仍为空白，请人工确认。</w:t>
      </w:r>
    </w:p>
  </w:comment>
  <w:comment w:id="6" w:author="信贷报告 Agent" w:date="2026-04-07T14:43:09Z" w:initials="Agent">
    <w:p>
      <w:r>
        <w:rPr>
          <w:rStyle w:val="CommentReference"/>
        </w:rPr>
        <w:annotationRef/>
      </w:r>
      <w:r>
        <w:t xml:space="preserve">该处“行长”仍为空白，请人工确认。</w:t>
      </w:r>
    </w:p>
  </w:comment>
  <w:comment w:id="7" w:author="信贷报告 Agent" w:date="2026-04-07T14:43:09Z" w:initials="Agent">
    <w:p>
      <w:r>
        <w:rPr>
          <w:rStyle w:val="CommentReference"/>
        </w:rPr>
        <w:annotationRef/>
      </w:r>
      <w:r>
        <w:t xml:space="preserve">该处“行长”仍为空白，请人工确认。</w:t>
      </w:r>
    </w:p>
  </w:comment>
  <w:comment w:id="8" w:author="信贷报告 Agent" w:date="2026-04-07T14:43:09Z" w:initials="Agent">
    <w:p>
      <w:r>
        <w:rPr>
          <w:rStyle w:val="CommentReference"/>
        </w:rPr>
        <w:annotationRef/>
      </w:r>
      <w:r>
        <w:t xml:space="preserve">该处“（若有）对外担保情况”仍为空白，请人工确认。</w:t>
      </w:r>
    </w:p>
  </w:comment>
  <w:comment w:id="9" w:author="信贷报告 Agent" w:date="2026-04-07T14:43:09Z" w:initials="Agent">
    <w:p>
      <w:r>
        <w:rPr>
          <w:rStyle w:val="CommentReference"/>
        </w:rPr>
        <w:annotationRef/>
      </w:r>
      <w:r>
        <w:t xml:space="preserve">该处“（若有）不良记录情况”仍为空白，请人工确认。</w:t>
      </w:r>
    </w:p>
  </w:comment>
  <w:comment w:id="10" w:author="信贷报告 Agent" w:date="2026-04-07T14:43:09Z" w:initials="Agent">
    <w:p>
      <w:r>
        <w:rPr>
          <w:rStyle w:val="CommentReference"/>
        </w:rPr>
        <w:annotationRef/>
      </w:r>
      <w:r>
        <w:t xml:space="preserve">该处“科技型企业评分”仍为空白，请人工确认。</w:t>
      </w:r>
    </w:p>
  </w:comment>
  <w:comment w:id="11" w:author="信贷报告 Agent" w:date="2026-04-07T14:43:09Z" w:initials="Agent">
    <w:p>
      <w:r>
        <w:rPr>
          <w:rStyle w:val="CommentReference"/>
        </w:rPr>
        <w:annotationRef/>
      </w:r>
      <w:r>
        <w:t xml:space="preserve">该处“请补充说明”仍为空白，请人工确认。</w:t>
      </w:r>
    </w:p>
  </w:comment>
  <w:comment w:id="12" w:author="信贷报告 Agent" w:date="2026-04-07T14:43:09Z" w:initials="Agent">
    <w:p>
      <w:r>
        <w:rPr>
          <w:rStyle w:val="CommentReference"/>
        </w:rPr>
        <w:annotationRef/>
      </w:r>
      <w:r>
        <w:t xml:space="preserve">该处“变动原因”仍为空白，请人工确认。</w:t>
      </w:r>
    </w:p>
  </w:comment>
  <w:comment w:id="13" w:author="信贷报告 Agent" w:date="2026-04-07T14:43:09Z" w:initials="Agent">
    <w:p>
      <w:r>
        <w:rPr>
          <w:rStyle w:val="CommentReference"/>
        </w:rPr>
        <w:annotationRef/>
      </w:r>
      <w:r>
        <w:t xml:space="preserve">该处“研发团队领头人均是从事”仍为空白，请人工确认。</w:t>
      </w:r>
    </w:p>
  </w:comment>
  <w:comment w:id="14" w:author="信贷报告 Agent" w:date="2026-04-07T14:43:09Z" w:initials="Agent">
    <w:p>
      <w:r>
        <w:rPr>
          <w:rStyle w:val="CommentReference"/>
        </w:rPr>
        <w:annotationRef/>
      </w:r>
      <w:r>
        <w:t xml:space="preserve">该处“2.申报授信方案： 拟申请给予借款人授信”仍为空白，请人工确认。</w:t>
      </w:r>
    </w:p>
  </w:comment>
  <w:comment w:id="15" w:author="信贷报告 Agent" w:date="2026-04-07T14:43:09Z" w:initials="Agent">
    <w:p>
      <w:r>
        <w:rPr>
          <w:rStyle w:val="CommentReference"/>
        </w:rPr>
        <w:annotationRef/>
      </w:r>
      <w:r>
        <w:t xml:space="preserve">该处“行长”仍为空白，请人工确认。</w:t>
      </w:r>
    </w:p>
  </w:comment>
  <w:comment w:id="16" w:author="信贷报告 Agent" w:date="2026-04-07T14:43:09Z" w:initials="Agent">
    <w:p>
      <w:r>
        <w:rPr>
          <w:rStyle w:val="CommentReference"/>
        </w:rPr>
        <w:annotationRef/>
      </w:r>
      <w:r>
        <w:t xml:space="preserve">该处“共同调查人”仍为空白，请人工确认。</w:t>
      </w:r>
    </w:p>
  </w:comment>
  <w:comment w:id="17" w:author="信贷报告 Agent" w:date="2026-04-07T14:43:09Z" w:initials="Agent">
    <w:p>
      <w:r>
        <w:rPr>
          <w:rStyle w:val="CommentReference"/>
        </w:rPr>
        <w:annotationRef/>
      </w:r>
      <w:r>
        <w:t xml:space="preserve">该处“二级支行行长”仍为空白，请人工确认。</w:t>
      </w:r>
    </w:p>
  </w:comment>
  <w:comment w:id="18" w:author="信贷报告 Agent" w:date="2026-04-07T14:43:09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  <w:comment w:id="19" w:author="信贷报告 Agent" w:date="2026-04-07T14:43:09Z" w:initials="Agent">
    <w:p>
      <w:r>
        <w:rPr>
          <w:rStyle w:val="CommentReference"/>
        </w:rPr>
        <w:annotationRef/>
      </w:r>
      <w:r>
        <w:t xml:space="preserve">该处“行长”仍为空白，请人工确认。</w:t>
      </w:r>
    </w:p>
  </w:comment>
  <w:comment w:id="20" w:author="信贷报告 Agent" w:date="2026-04-07T14:43:09Z" w:initials="Agent">
    <w:p>
      <w:r>
        <w:rPr>
          <w:rStyle w:val="CommentReference"/>
        </w:rPr>
        <w:annotationRef/>
      </w:r>
      <w:r>
        <w:t xml:space="preserve">该处“审查员”仍为空白，请人工确认。</w:t>
      </w:r>
    </w:p>
  </w:comment>
  <w:comment w:id="21" w:author="信贷报告 Agent" w:date="2026-04-07T14:43:09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宋体">
    <w:altName w:val="宋体"/>
    <w:panose1 w:val="02000500000000000000"/>
    <w:charset w:val="86"/>
    <w:family w:val="auto"/>
    <w:pitch w:val="default"/>
    <w:sig w:usb0="00000001" w:usb1="28000000" w:usb2="00000000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670D4">
    <w:pPr>
      <w:spacing w:line="14" w:lineRule="auto"/>
      <w:rPr>
        <w:rFonts w:ascii="Times New Roman"/>
        <w:sz w:val="2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7F6F59"/>
    <w:multiLevelType w:val="singleLevel"/>
    <w:tmpl w:val="6F7F6F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5E3714"/>
    <w:rsid w:val="00764A8B"/>
    <w:rsid w:val="00A166EE"/>
    <w:rsid w:val="00D90AA0"/>
    <w:rsid w:val="06DB1BB4"/>
    <w:rsid w:val="07B27654"/>
    <w:rsid w:val="07E763E4"/>
    <w:rsid w:val="0BC762E6"/>
    <w:rsid w:val="0D954BD9"/>
    <w:rsid w:val="0EC97A27"/>
    <w:rsid w:val="12E93877"/>
    <w:rsid w:val="14953789"/>
    <w:rsid w:val="158201C9"/>
    <w:rsid w:val="1637656C"/>
    <w:rsid w:val="171C0C53"/>
    <w:rsid w:val="173EF8C1"/>
    <w:rsid w:val="177A55D7"/>
    <w:rsid w:val="17F40B37"/>
    <w:rsid w:val="17FB581B"/>
    <w:rsid w:val="18324D87"/>
    <w:rsid w:val="18D0254B"/>
    <w:rsid w:val="1BFF4D91"/>
    <w:rsid w:val="1C1C6F93"/>
    <w:rsid w:val="1D96A11F"/>
    <w:rsid w:val="1FAF8FBB"/>
    <w:rsid w:val="1FF1A6AF"/>
    <w:rsid w:val="1FF6DC3C"/>
    <w:rsid w:val="1FFF045A"/>
    <w:rsid w:val="27EE74B0"/>
    <w:rsid w:val="28C699E3"/>
    <w:rsid w:val="2A8FE461"/>
    <w:rsid w:val="2B7B0304"/>
    <w:rsid w:val="2BB6058D"/>
    <w:rsid w:val="2C9E0B69"/>
    <w:rsid w:val="2D0614F6"/>
    <w:rsid w:val="2FFB9424"/>
    <w:rsid w:val="30D04E4D"/>
    <w:rsid w:val="30DB0B5F"/>
    <w:rsid w:val="30F1FCF6"/>
    <w:rsid w:val="313D566B"/>
    <w:rsid w:val="33F81E92"/>
    <w:rsid w:val="34864AAC"/>
    <w:rsid w:val="35A5DC4D"/>
    <w:rsid w:val="36846A8F"/>
    <w:rsid w:val="373BBE7D"/>
    <w:rsid w:val="37759545"/>
    <w:rsid w:val="3793C324"/>
    <w:rsid w:val="37E93666"/>
    <w:rsid w:val="38D27C6C"/>
    <w:rsid w:val="39BA7E3D"/>
    <w:rsid w:val="3A1D799F"/>
    <w:rsid w:val="3BDEE4E1"/>
    <w:rsid w:val="3BFAC4BE"/>
    <w:rsid w:val="3BFDBDB4"/>
    <w:rsid w:val="3C0F569F"/>
    <w:rsid w:val="3D57611A"/>
    <w:rsid w:val="3DED5217"/>
    <w:rsid w:val="3DFA07B6"/>
    <w:rsid w:val="3E74B328"/>
    <w:rsid w:val="3F270550"/>
    <w:rsid w:val="3F70FCFD"/>
    <w:rsid w:val="3F7F609F"/>
    <w:rsid w:val="3FBBC75F"/>
    <w:rsid w:val="3FBCBD91"/>
    <w:rsid w:val="3FCDCA15"/>
    <w:rsid w:val="3FDBDE28"/>
    <w:rsid w:val="3FDD5086"/>
    <w:rsid w:val="3FEF1A08"/>
    <w:rsid w:val="43CB5B47"/>
    <w:rsid w:val="4457223E"/>
    <w:rsid w:val="45FDF073"/>
    <w:rsid w:val="47F3ED6F"/>
    <w:rsid w:val="497B672A"/>
    <w:rsid w:val="49B9018B"/>
    <w:rsid w:val="4FD5188D"/>
    <w:rsid w:val="501609F4"/>
    <w:rsid w:val="50627984"/>
    <w:rsid w:val="50DB1139"/>
    <w:rsid w:val="514C4929"/>
    <w:rsid w:val="537E3442"/>
    <w:rsid w:val="53B7A129"/>
    <w:rsid w:val="57523C46"/>
    <w:rsid w:val="57630E24"/>
    <w:rsid w:val="577FF43F"/>
    <w:rsid w:val="579FB2CC"/>
    <w:rsid w:val="57AF1F58"/>
    <w:rsid w:val="57BCB87C"/>
    <w:rsid w:val="57BE9DA5"/>
    <w:rsid w:val="57FA609C"/>
    <w:rsid w:val="57FF7902"/>
    <w:rsid w:val="588340F0"/>
    <w:rsid w:val="5A066DAE"/>
    <w:rsid w:val="5B7467F5"/>
    <w:rsid w:val="5BF472D2"/>
    <w:rsid w:val="5EE3BF08"/>
    <w:rsid w:val="5EE549C7"/>
    <w:rsid w:val="5EFC0AD9"/>
    <w:rsid w:val="5FCF9DAA"/>
    <w:rsid w:val="61F4646E"/>
    <w:rsid w:val="65793A8D"/>
    <w:rsid w:val="66BFA5C4"/>
    <w:rsid w:val="67CDF47D"/>
    <w:rsid w:val="67FE7F83"/>
    <w:rsid w:val="6877E72C"/>
    <w:rsid w:val="69CF1561"/>
    <w:rsid w:val="6A1D064D"/>
    <w:rsid w:val="6BBB34A1"/>
    <w:rsid w:val="6BEF2A7E"/>
    <w:rsid w:val="6D6E0EB8"/>
    <w:rsid w:val="6D9376D1"/>
    <w:rsid w:val="6E5AA136"/>
    <w:rsid w:val="6E6728B5"/>
    <w:rsid w:val="6E82A079"/>
    <w:rsid w:val="6F7EF780"/>
    <w:rsid w:val="6FBD494C"/>
    <w:rsid w:val="6FDE41E7"/>
    <w:rsid w:val="70603282"/>
    <w:rsid w:val="72AD7DE9"/>
    <w:rsid w:val="73FC0773"/>
    <w:rsid w:val="746F82C4"/>
    <w:rsid w:val="749F6B6E"/>
    <w:rsid w:val="74CD1A79"/>
    <w:rsid w:val="74EB867B"/>
    <w:rsid w:val="75025FC3"/>
    <w:rsid w:val="75096B37"/>
    <w:rsid w:val="76A35668"/>
    <w:rsid w:val="76BF2927"/>
    <w:rsid w:val="77CFD1B9"/>
    <w:rsid w:val="77E53724"/>
    <w:rsid w:val="77F6BA3B"/>
    <w:rsid w:val="77FA78CD"/>
    <w:rsid w:val="791FC5D3"/>
    <w:rsid w:val="79CC6043"/>
    <w:rsid w:val="79EAB1FE"/>
    <w:rsid w:val="7AF60429"/>
    <w:rsid w:val="7B37416B"/>
    <w:rsid w:val="7B6F21EA"/>
    <w:rsid w:val="7B7D0DE6"/>
    <w:rsid w:val="7B7F9DFF"/>
    <w:rsid w:val="7BB4D559"/>
    <w:rsid w:val="7BB76175"/>
    <w:rsid w:val="7BBEA13F"/>
    <w:rsid w:val="7BF2C9AF"/>
    <w:rsid w:val="7BF5200F"/>
    <w:rsid w:val="7BFC5776"/>
    <w:rsid w:val="7BFEF90D"/>
    <w:rsid w:val="7BFF90D8"/>
    <w:rsid w:val="7C9DAEF5"/>
    <w:rsid w:val="7CAB857A"/>
    <w:rsid w:val="7D1F8653"/>
    <w:rsid w:val="7D6DD25B"/>
    <w:rsid w:val="7D796FD0"/>
    <w:rsid w:val="7DABF984"/>
    <w:rsid w:val="7DD46EE1"/>
    <w:rsid w:val="7DE71A8A"/>
    <w:rsid w:val="7DFB02C7"/>
    <w:rsid w:val="7DFDE312"/>
    <w:rsid w:val="7E5A887A"/>
    <w:rsid w:val="7E75556D"/>
    <w:rsid w:val="7E7F7EC3"/>
    <w:rsid w:val="7E97E85B"/>
    <w:rsid w:val="7EB7A5BA"/>
    <w:rsid w:val="7EDB0311"/>
    <w:rsid w:val="7F0B3013"/>
    <w:rsid w:val="7F19CC3F"/>
    <w:rsid w:val="7F6F5D1E"/>
    <w:rsid w:val="7F75CA29"/>
    <w:rsid w:val="7FB7E507"/>
    <w:rsid w:val="7FBB8417"/>
    <w:rsid w:val="7FD59CA6"/>
    <w:rsid w:val="7FDE79A3"/>
    <w:rsid w:val="7FDF599D"/>
    <w:rsid w:val="7FE209B4"/>
    <w:rsid w:val="7FFB0597"/>
    <w:rsid w:val="7FFB9568"/>
    <w:rsid w:val="7FFDF2AF"/>
    <w:rsid w:val="7FFE13F7"/>
    <w:rsid w:val="7FFE3B48"/>
    <w:rsid w:val="7FFE6769"/>
    <w:rsid w:val="7FFF4144"/>
    <w:rsid w:val="7FFFA5E9"/>
    <w:rsid w:val="7FFFAB0E"/>
    <w:rsid w:val="9AFDC22D"/>
    <w:rsid w:val="9B7F6633"/>
    <w:rsid w:val="9BF7D46E"/>
    <w:rsid w:val="9BFE7F78"/>
    <w:rsid w:val="9DF6EE3C"/>
    <w:rsid w:val="9F3BFD3A"/>
    <w:rsid w:val="9F6E9328"/>
    <w:rsid w:val="9FCF6C0F"/>
    <w:rsid w:val="A2BBC82A"/>
    <w:rsid w:val="A95F5463"/>
    <w:rsid w:val="ADDF2F43"/>
    <w:rsid w:val="AEBEA1C7"/>
    <w:rsid w:val="AF2B76F3"/>
    <w:rsid w:val="AFFF0EDA"/>
    <w:rsid w:val="B1CAA8EA"/>
    <w:rsid w:val="B37DFDC9"/>
    <w:rsid w:val="B3F7B7F6"/>
    <w:rsid w:val="B6FBF6E5"/>
    <w:rsid w:val="B7CE9CFB"/>
    <w:rsid w:val="B7EEA521"/>
    <w:rsid w:val="B7FB75CC"/>
    <w:rsid w:val="B91E3CE8"/>
    <w:rsid w:val="BBBFF6CE"/>
    <w:rsid w:val="BBDD8E60"/>
    <w:rsid w:val="BBFA39B1"/>
    <w:rsid w:val="BD56C7D7"/>
    <w:rsid w:val="BDB645ED"/>
    <w:rsid w:val="BDE59C8C"/>
    <w:rsid w:val="BDFD2BFC"/>
    <w:rsid w:val="BFBBF616"/>
    <w:rsid w:val="BFBF4B23"/>
    <w:rsid w:val="BFC2706C"/>
    <w:rsid w:val="BFEFDE76"/>
    <w:rsid w:val="BFF80A83"/>
    <w:rsid w:val="BFFF826B"/>
    <w:rsid w:val="BFFFCF0C"/>
    <w:rsid w:val="CAFFF224"/>
    <w:rsid w:val="CBE30829"/>
    <w:rsid w:val="CEEB168C"/>
    <w:rsid w:val="CFB58096"/>
    <w:rsid w:val="CFFD9B9B"/>
    <w:rsid w:val="D4BDD89C"/>
    <w:rsid w:val="D8CF4985"/>
    <w:rsid w:val="DA9FAEA0"/>
    <w:rsid w:val="DBBF06B3"/>
    <w:rsid w:val="DBFADF63"/>
    <w:rsid w:val="DC97FE40"/>
    <w:rsid w:val="DD5D61C1"/>
    <w:rsid w:val="DEBE507F"/>
    <w:rsid w:val="DF7BF9BB"/>
    <w:rsid w:val="DFAF5187"/>
    <w:rsid w:val="E536D225"/>
    <w:rsid w:val="E68FEED7"/>
    <w:rsid w:val="E7BF4536"/>
    <w:rsid w:val="E7FB50B7"/>
    <w:rsid w:val="E90C9038"/>
    <w:rsid w:val="EBBB1A7C"/>
    <w:rsid w:val="EBFF4E77"/>
    <w:rsid w:val="EF571E55"/>
    <w:rsid w:val="F0F318BB"/>
    <w:rsid w:val="F1FEDC16"/>
    <w:rsid w:val="F29B5B29"/>
    <w:rsid w:val="F3B721E5"/>
    <w:rsid w:val="F5BFFC75"/>
    <w:rsid w:val="F5FBF463"/>
    <w:rsid w:val="F5FFEF68"/>
    <w:rsid w:val="F6B6CB5F"/>
    <w:rsid w:val="F6F79D67"/>
    <w:rsid w:val="F6FF59A5"/>
    <w:rsid w:val="F7F55AE5"/>
    <w:rsid w:val="F7F9CB77"/>
    <w:rsid w:val="F7FA6CF9"/>
    <w:rsid w:val="F7FDCC31"/>
    <w:rsid w:val="F7FE7A3C"/>
    <w:rsid w:val="F7FF210A"/>
    <w:rsid w:val="F87AE0FA"/>
    <w:rsid w:val="F8B3ED8C"/>
    <w:rsid w:val="F97E36E3"/>
    <w:rsid w:val="F9BFE6BB"/>
    <w:rsid w:val="FA9BE760"/>
    <w:rsid w:val="FB0EA37A"/>
    <w:rsid w:val="FBABD93E"/>
    <w:rsid w:val="FBAF2E00"/>
    <w:rsid w:val="FBB70D30"/>
    <w:rsid w:val="FBBD53CF"/>
    <w:rsid w:val="FBBFB228"/>
    <w:rsid w:val="FC7BB9D5"/>
    <w:rsid w:val="FC8E76F0"/>
    <w:rsid w:val="FCCFCD11"/>
    <w:rsid w:val="FD735184"/>
    <w:rsid w:val="FD7E90A0"/>
    <w:rsid w:val="FD7F50C5"/>
    <w:rsid w:val="FDDDBF61"/>
    <w:rsid w:val="FDFFAC37"/>
    <w:rsid w:val="FEFCB2C5"/>
    <w:rsid w:val="FEFD0F1C"/>
    <w:rsid w:val="FF55AB7A"/>
    <w:rsid w:val="FF577926"/>
    <w:rsid w:val="FF5AEF6E"/>
    <w:rsid w:val="FF7F287B"/>
    <w:rsid w:val="FFB799BA"/>
    <w:rsid w:val="FFBF0732"/>
    <w:rsid w:val="FFBF5853"/>
    <w:rsid w:val="FFC78ACE"/>
    <w:rsid w:val="FFD6396D"/>
    <w:rsid w:val="FFDB324A"/>
    <w:rsid w:val="FFDB57F9"/>
    <w:rsid w:val="FFDDB20A"/>
    <w:rsid w:val="FFE69971"/>
    <w:rsid w:val="FFE7A732"/>
    <w:rsid w:val="FFF6BA21"/>
    <w:rsid w:val="FFF6BA63"/>
    <w:rsid w:val="FFF6DE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unhideWhenUsed/>
    <w:qFormat/>
    <w:uiPriority w:val="9"/>
    <w:pPr>
      <w:keepNext/>
      <w:spacing w:before="240" w:after="60"/>
      <w:outlineLvl w:val="1"/>
    </w:pPr>
    <w:rPr>
      <w:rFonts w:ascii="Cambria" w:hAnsi="Cambria" w:eastAsia="宋体"/>
      <w:b/>
      <w:bCs/>
      <w:i/>
      <w:iCs/>
      <w:sz w:val="28"/>
      <w:szCs w:val="28"/>
    </w:rPr>
  </w:style>
  <w:style w:type="paragraph" w:styleId="2">
    <w:name w:val="heading 3"/>
    <w:basedOn w:val="1"/>
    <w:next w:val="1"/>
    <w:unhideWhenUsed/>
    <w:qFormat/>
    <w:uiPriority w:val="9"/>
    <w:pPr>
      <w:keepNext/>
      <w:spacing w:before="240" w:after="60"/>
      <w:outlineLvl w:val="2"/>
    </w:pPr>
    <w:rPr>
      <w:rFonts w:ascii="Cambria" w:hAnsi="Cambria" w:eastAsia="宋体"/>
      <w:b/>
      <w:bCs/>
      <w:sz w:val="26"/>
      <w:szCs w:val="26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Style w:val="13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next w:val="1"/>
    <w:unhideWhenUsed/>
    <w:qFormat/>
    <w:uiPriority w:val="99"/>
    <w:pPr>
      <w:ind w:firstLine="420" w:firstLineChars="200"/>
    </w:pPr>
  </w:style>
  <w:style w:type="paragraph" w:styleId="6">
    <w:name w:val="annotation text"/>
    <w:basedOn w:val="1"/>
    <w:unhideWhenUsed/>
    <w:qFormat/>
    <w:uiPriority w:val="99"/>
    <w:pPr>
      <w:jc w:val="left"/>
    </w:pPr>
  </w:style>
  <w:style w:type="paragraph" w:styleId="7">
    <w:name w:val="Body Text"/>
    <w:basedOn w:val="1"/>
    <w:next w:val="8"/>
    <w:qFormat/>
    <w:uiPriority w:val="0"/>
    <w:rPr>
      <w:rFonts w:ascii="华文中宋" w:hAnsi="华文中宋" w:eastAsia="华文中宋"/>
      <w:sz w:val="24"/>
    </w:rPr>
  </w:style>
  <w:style w:type="paragraph" w:styleId="8">
    <w:name w:val="Body Text Indent"/>
    <w:basedOn w:val="1"/>
    <w:qFormat/>
    <w:uiPriority w:val="0"/>
    <w:pPr>
      <w:ind w:firstLine="560" w:firstLineChars="200"/>
    </w:pPr>
    <w:rPr>
      <w:rFonts w:ascii="Times New Roman" w:hAnsi="Times New Roman" w:eastAsia="宋体" w:cs="Times New Roman"/>
      <w:sz w:val="28"/>
      <w:szCs w:val="24"/>
    </w:rPr>
  </w:style>
  <w:style w:type="paragraph" w:styleId="9">
    <w:name w:val="footer"/>
    <w:basedOn w:val="1"/>
    <w:link w:val="1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hint="eastAsia" w:ascii="宋体" w:hAnsi="宋体" w:eastAsia="宋体"/>
    </w:rPr>
  </w:style>
  <w:style w:type="table" w:styleId="14">
    <w:name w:val="Table Grid"/>
    <w:qFormat/>
    <w:uiPriority w:val="59"/>
    <w:rPr>
      <w:lang w:val="en-US" w:eastAsia="zh-CN" w:bidi="ar-SA"/>
    </w:rPr>
    <w:tblPr>
      <w:tblStyle w:val="13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页脚 Char"/>
    <w:basedOn w:val="15"/>
    <w:link w:val="9"/>
    <w:uiPriority w:val="0"/>
    <w:rPr>
      <w:kern w:val="2"/>
      <w:sz w:val="18"/>
      <w:szCs w:val="18"/>
    </w:rPr>
  </w:style>
  <w:style w:type="character" w:customStyle="1" w:styleId="17">
    <w:name w:val="页眉 Char"/>
    <w:basedOn w:val="15"/>
    <w:link w:val="10"/>
    <w:uiPriority w:val="0"/>
    <w:rPr>
      <w:kern w:val="2"/>
      <w:sz w:val="18"/>
      <w:szCs w:val="18"/>
    </w:rPr>
  </w:style>
  <w:style w:type="paragraph" w:customStyle="1" w:styleId="18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宋体" w:hAnsi="宋体" w:eastAsia="宋体" w:cs="Times New Roman"/>
      <w:color w:val="000000"/>
      <w:sz w:val="24"/>
      <w:szCs w:val="22"/>
      <w:lang w:val="en-US" w:eastAsia="zh-CN" w:bidi="ar-SA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font21"/>
    <w:qFormat/>
    <w:uiPriority w:val="0"/>
    <w:rPr>
      <w:rFonts w:ascii="微软雅黑" w:hAnsi="微软雅黑" w:eastAsia="微软雅黑" w:cs="微软雅黑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Comments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7635</Words>
  <Characters>8303</Characters>
  <Lines>1</Lines>
  <Paragraphs>1</Paragraphs>
  <TotalTime>5</TotalTime>
  <ScaleCrop>false</ScaleCrop>
  <LinksUpToDate>false</LinksUpToDate>
  <CharactersWithSpaces>10179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2022-01-27T09:10:00Z</dcterms:created>
  <dc:creator>bocsz</dc:creator>
  <cp:lastModifiedBy>Mr</cp:lastModifiedBy>
  <cp:lastPrinted>2025-12-06T01:27:47Z</cp:lastPrinted>
  <dcterms:modified xsi:type="dcterms:W3CDTF">2026-03-25T08:18:29Z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93653D5F18F94F03932E1DB54AB64C20_13</vt:lpwstr>
  </property>
</Properties>
</file>