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commentRangeEnd w:id="0"/>
            <w:r>
              <w:rPr>
                <w:rStyle w:val="CommentReference"/>
              </w:rPr>
              <w:commentReference w:id="0"/>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18575万元；上年度销售额 8712万元；上年度末员工人数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经营</w:t>
            </w:r>
            <w:r>
              <w:rPr>
                <w:rFonts w:hint="eastAsia" w:ascii="宋体" w:hAnsi="宋体" w:cs="宋体"/>
                <w:snapToGrid w:val="0"/>
                <w:color w:val="000000"/>
                <w:kern w:val="0"/>
                <w:szCs w:val="21"/>
                <w:highlight w:val="none"/>
                <w:u w:val="single"/>
              </w:rPr>
              <w:t>地</w:t>
            </w:r>
            <w:r>
              <w:rPr>
                <w:rFonts w:hint="eastAsia" w:ascii="宋体" w:hAnsi="宋体" w:cs="宋体"/>
                <w:snapToGrid w:val="0"/>
                <w:color w:val="000000"/>
                <w:kern w:val="0"/>
                <w:szCs w:val="21"/>
                <w:highlight w:val="none"/>
                <w:u w:val="single"/>
                <w:lang w:val="en-US" w:eastAsia="zh-CN"/>
              </w:rPr>
              <w:t>址</w:t>
            </w:r>
            <w:r>
              <w:rPr>
                <w:rFonts w:hint="eastAsia" w:ascii="宋体" w:hAnsi="宋体" w:cs="宋体"/>
                <w:snapToGrid w:val="0"/>
                <w:color w:val="000000"/>
                <w:kern w:val="0"/>
                <w:szCs w:val="21"/>
                <w:highlight w:val="none"/>
                <w:u w:val="single"/>
              </w:rPr>
              <w:t>位</w:t>
            </w:r>
            <w:r>
              <w:rPr>
                <w:rFonts w:hint="eastAsia" w:ascii="宋体" w:hAnsi="宋体" w:cs="宋体"/>
                <w:snapToGrid w:val="0"/>
                <w:color w:val="000000"/>
                <w:kern w:val="0"/>
                <w:szCs w:val="21"/>
                <w:highlight w:val="none"/>
              </w:rPr>
              <w:t>于</w:t>
            </w:r>
            <w:r>
              <w:rPr>
                <w:rFonts w:hint="eastAsia" w:ascii="宋体" w:hAnsi="宋体" w:cs="宋体"/>
                <w:snapToGrid w:val="0"/>
                <w:color w:val="000000"/>
                <w:kern w:val="0"/>
                <w:szCs w:val="21"/>
                <w:highlight w:val="none"/>
                <w:lang w:val="en-US" w:eastAsia="zh-CN"/>
              </w:rPr>
              <w:t>福州保</w:t>
            </w:r>
            <w:r>
              <w:rPr>
                <w:rFonts w:hint="eastAsia" w:ascii="宋体" w:hAnsi="宋体" w:cs="宋体"/>
                <w:snapToGrid w:val="0"/>
                <w:color w:val="000000"/>
                <w:kern w:val="0"/>
                <w:szCs w:val="21"/>
                <w:highlight w:val="none"/>
              </w:rPr>
              <w:t>税</w:t>
            </w:r>
            <w:r>
              <w:rPr>
                <w:rFonts w:hint="eastAsia" w:ascii="宋体" w:hAnsi="宋体" w:cs="宋体"/>
                <w:snapToGrid w:val="0"/>
                <w:color w:val="000000"/>
                <w:kern w:val="0"/>
                <w:szCs w:val="21"/>
                <w:highlight w:val="none"/>
                <w:lang w:val="en-US" w:eastAsia="zh-CN"/>
              </w:rPr>
              <w:t>区</w:t>
            </w:r>
            <w:r>
              <w:rPr>
                <w:rFonts w:hint="eastAsia" w:ascii="宋体" w:hAnsi="宋体" w:cs="宋体"/>
                <w:snapToGrid w:val="0"/>
                <w:color w:val="000000"/>
                <w:kern w:val="0"/>
                <w:szCs w:val="21"/>
                <w:highlight w:val="none"/>
              </w:rPr>
              <w:t>综</w:t>
            </w:r>
            <w:r>
              <w:rPr>
                <w:rFonts w:hint="eastAsia" w:ascii="宋体" w:hAnsi="宋体" w:cs="宋体"/>
                <w:snapToGrid w:val="0"/>
                <w:color w:val="000000"/>
                <w:kern w:val="0"/>
                <w:szCs w:val="21"/>
                <w:highlight w:val="none"/>
                <w:lang w:val="en-US" w:eastAsia="zh-CN"/>
              </w:rPr>
              <w:t>合</w:t>
            </w:r>
            <w:r>
              <w:rPr>
                <w:rFonts w:hint="eastAsia" w:ascii="宋体" w:hAnsi="宋体" w:cs="宋体"/>
                <w:snapToGrid w:val="0"/>
                <w:color w:val="000000"/>
                <w:kern w:val="0"/>
                <w:szCs w:val="21"/>
                <w:highlight w:val="none"/>
              </w:rPr>
              <w:t>大</w:t>
            </w:r>
            <w:r>
              <w:rPr>
                <w:rFonts w:hint="eastAsia" w:ascii="宋体" w:hAnsi="宋体" w:cs="宋体"/>
                <w:snapToGrid w:val="0"/>
                <w:color w:val="000000"/>
                <w:kern w:val="0"/>
                <w:szCs w:val="21"/>
                <w:highlight w:val="none"/>
                <w:lang w:val="en-US" w:eastAsia="zh-CN"/>
              </w:rPr>
              <w:t>楼</w:t>
            </w:r>
            <w:r>
              <w:rPr>
                <w:rFonts w:hint="eastAsia" w:ascii="宋体" w:hAnsi="宋体" w:cs="宋体"/>
                <w:snapToGrid w:val="0"/>
                <w:color w:val="000000"/>
                <w:kern w:val="0"/>
                <w:szCs w:val="21"/>
                <w:highlight w:val="none"/>
              </w:rPr>
              <w:t>1</w:t>
            </w:r>
            <w:r>
              <w:rPr>
                <w:rFonts w:hint="eastAsia" w:ascii="宋体" w:hAnsi="宋体" w:cs="宋体"/>
                <w:snapToGrid w:val="0"/>
                <w:color w:val="000000"/>
                <w:kern w:val="0"/>
                <w:szCs w:val="21"/>
                <w:highlight w:val="none"/>
                <w:u w:val="single"/>
              </w:rPr>
              <w:t>5</w:t>
            </w:r>
            <w:r>
              <w:rPr>
                <w:rFonts w:hint="eastAsia" w:ascii="宋体" w:hAnsi="宋体" w:cs="宋体"/>
                <w:snapToGrid w:val="0"/>
                <w:color w:val="000000"/>
                <w:kern w:val="0"/>
                <w:szCs w:val="21"/>
                <w:highlight w:val="none"/>
                <w:u w:val="single"/>
                <w:lang w:eastAsia="zh-CN"/>
              </w:rPr>
              <w:t>层20</w:t>
            </w:r>
            <w:r>
              <w:rPr>
                <w:rFonts w:hint="eastAsia" w:ascii="宋体" w:hAnsi="宋体" w:cs="宋体"/>
                <w:snapToGrid w:val="0"/>
                <w:color w:val="000000"/>
                <w:kern w:val="0"/>
                <w:szCs w:val="21"/>
                <w:highlight w:val="none"/>
                <w:u w:val="single"/>
                <w:lang w:val="en-US" w:eastAsia="zh-CN"/>
              </w:rPr>
              <w:t>#（自贸试验区内），</w:t>
            </w:r>
            <w:r>
              <w:rPr>
                <w:rFonts w:hint="eastAsia" w:ascii="宋体" w:hAnsi="宋体" w:cs="宋体"/>
                <w:snapToGrid w:val="0"/>
                <w:color w:val="000000"/>
                <w:kern w:val="0"/>
                <w:szCs w:val="21"/>
                <w:highlight w:val="none"/>
                <w:u w:val="single"/>
                <w:lang w:eastAsia="zh-CN"/>
              </w:rPr>
              <w:t>为</w:t>
            </w:r>
            <w:r>
              <w:rPr>
                <w:rFonts w:hint="eastAsia" w:ascii="宋体" w:hAnsi="宋体" w:cs="宋体"/>
                <w:snapToGrid w:val="0"/>
                <w:color w:val="000000"/>
                <w:kern w:val="0"/>
                <w:szCs w:val="21"/>
                <w:highlight w:val="none"/>
                <w:u w:val="single"/>
                <w:lang w:val="en-US" w:eastAsia="zh-CN"/>
              </w:rPr>
              <w:t>租用</w:t>
            </w:r>
            <w:r>
              <w:rPr>
                <w:rFonts w:hint="eastAsia" w:ascii="宋体" w:hAnsi="宋体" w:cs="宋体"/>
                <w:snapToGrid w:val="0"/>
                <w:color w:val="000000"/>
                <w:kern w:val="0"/>
                <w:szCs w:val="21"/>
                <w:highlight w:val="none"/>
                <w:u w:val="single"/>
              </w:rPr>
              <w:t>场地。材料未提供场地面</w:t>
            </w:r>
            <w:r>
              <w:rPr>
                <w:rFonts w:hint="eastAsia" w:ascii="宋体" w:hAnsi="宋体" w:cs="宋体"/>
                <w:snapToGrid w:val="0"/>
                <w:color w:val="000000"/>
                <w:kern w:val="0"/>
                <w:szCs w:val="21"/>
                <w:highlight w:val="none"/>
                <w:u w:val="single"/>
                <w:lang w:val="en-US" w:eastAsia="zh-CN"/>
              </w:rPr>
              <w:t>积信</w:t>
            </w:r>
            <w:r>
              <w:rPr>
                <w:rFonts w:hint="eastAsia" w:ascii="宋体" w:hAnsi="宋体" w:cs="仿宋"/>
                <w:b w:val="0"/>
                <w:bCs/>
                <w:color w:val="auto"/>
                <w:kern w:val="2"/>
                <w:sz w:val="21"/>
                <w:szCs w:val="21"/>
                <w:highlight w:val="none"/>
                <w:u w:val="single"/>
                <w:lang w:val="en-US" w:eastAsia="zh-CN"/>
              </w:rPr>
              <w:t>息，亦未提供注册资本、房产土地权</w:t>
            </w:r>
            <w:r>
              <w:rPr>
                <w:rFonts w:hint="eastAsia" w:ascii="宋体" w:hAnsi="宋体" w:cs="宋体"/>
                <w:snapToGrid w:val="0"/>
                <w:color w:val="000000"/>
                <w:kern w:val="0"/>
                <w:szCs w:val="21"/>
                <w:highlight w:val="none"/>
                <w:u w:val="single"/>
              </w:rPr>
              <w:t>属</w:t>
            </w:r>
            <w:r>
              <w:rPr>
                <w:rFonts w:hint="eastAsia" w:ascii="宋体" w:hAnsi="宋体" w:cs="宋体"/>
                <w:snapToGrid w:val="0"/>
                <w:color w:val="000000"/>
                <w:kern w:val="0"/>
                <w:szCs w:val="21"/>
                <w:highlight w:val="none"/>
                <w:u w:val="single"/>
                <w:lang w:val="en-US" w:eastAsia="zh-CN"/>
              </w:rPr>
              <w:t>证</w:t>
            </w:r>
            <w:r>
              <w:rPr>
                <w:rFonts w:hint="eastAsia" w:ascii="宋体" w:hAnsi="宋体" w:cs="宋体"/>
                <w:snapToGrid w:val="0"/>
                <w:color w:val="000000"/>
                <w:kern w:val="0"/>
                <w:szCs w:val="21"/>
                <w:highlight w:val="none"/>
                <w:u w:val="single"/>
                <w:lang w:eastAsia="zh-CN"/>
              </w:rPr>
              <w:t>明</w:t>
            </w:r>
            <w:r>
              <w:rPr>
                <w:rFonts w:hint="eastAsia" w:ascii="宋体" w:hAnsi="宋体" w:cs="宋体"/>
                <w:snapToGrid w:val="0"/>
                <w:color w:val="000000"/>
                <w:kern w:val="0"/>
                <w:szCs w:val="21"/>
                <w:highlight w:val="none"/>
                <w:u w:val="single"/>
                <w:lang w:val="en-US" w:eastAsia="zh-CN"/>
              </w:rPr>
              <w:t>及抵</w:t>
            </w:r>
            <w:r>
              <w:rPr>
                <w:rFonts w:hint="eastAsia" w:ascii="宋体" w:hAnsi="宋体" w:cs="宋体"/>
                <w:snapToGrid w:val="0"/>
                <w:color w:val="000000"/>
                <w:kern w:val="0"/>
                <w:szCs w:val="21"/>
                <w:highlight w:val="none"/>
                <w:u w:val="single"/>
              </w:rPr>
              <w:t>押</w:t>
            </w:r>
            <w:r>
              <w:rPr>
                <w:rFonts w:hint="eastAsia" w:ascii="宋体" w:hAnsi="宋体" w:cs="宋体"/>
                <w:snapToGrid w:val="0"/>
                <w:color w:val="000000"/>
                <w:kern w:val="0"/>
                <w:szCs w:val="21"/>
                <w:highlight w:val="none"/>
                <w:u w:val="single"/>
                <w:lang w:val="en-US" w:eastAsia="zh-CN"/>
              </w:rPr>
              <w:t>情</w:t>
            </w:r>
            <w:r>
              <w:rPr>
                <w:rFonts w:hint="eastAsia" w:ascii="宋体" w:hAnsi="宋体" w:cs="仿宋"/>
                <w:b w:val="0"/>
                <w:bCs/>
                <w:color w:val="auto"/>
                <w:kern w:val="2"/>
                <w:sz w:val="21"/>
                <w:szCs w:val="21"/>
                <w:highlight w:val="none"/>
                <w:u w:val="single"/>
                <w:lang w:val="en-US" w:eastAsia="zh-CN"/>
              </w:rPr>
              <w:t>况相关信息</w:t>
            </w:r>
            <w:r>
              <w:rPr>
                <w:rFonts w:hint="eastAsia" w:ascii="宋体" w:hAnsi="宋体" w:cs="宋体"/>
                <w:snapToGrid w:val="0"/>
                <w:color w:val="000000"/>
                <w:kern w:val="0"/>
                <w:szCs w:val="21"/>
                <w:highlight w:val="none"/>
                <w:u w:val="single"/>
              </w:rPr>
              <w:t>。最近年度（202</w:t>
            </w:r>
            <w:r>
              <w:rPr>
                <w:rFonts w:hint="eastAsia" w:ascii="宋体" w:hAnsi="宋体" w:cs="宋体"/>
                <w:snapToGrid w:val="0"/>
                <w:color w:val="000000"/>
                <w:kern w:val="0"/>
                <w:szCs w:val="21"/>
                <w:highlight w:val="none"/>
                <w:u w:val="single"/>
                <w:lang w:eastAsia="zh-CN"/>
              </w:rPr>
              <w:t>5</w:t>
            </w:r>
            <w:r>
              <w:rPr>
                <w:rFonts w:hint="eastAsia" w:ascii="宋体" w:hAnsi="宋体" w:eastAsia="宋体" w:cs="宋体"/>
                <w:snapToGrid w:val="0"/>
                <w:color w:val="000000"/>
                <w:kern w:val="0"/>
                <w:szCs w:val="21"/>
                <w:highlight w:val="none"/>
                <w:u w:val="single"/>
                <w:lang w:val="en-US" w:eastAsia="zh-CN"/>
              </w:rPr>
              <w:t>年）营业收入约10010万元，总资产约16956万元。</w:t>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编号：____，有效期至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材料中未提供借款人的相关资质证书信息，无法核实其是否具备特殊经营资质。</w:t>
            </w:r>
            <w:r>
              <w:rPr>
                <w:rFonts w:hint="eastAsia" w:ascii="宋体" w:hAnsi="宋体" w:eastAsia="宋体" w:cs="宋体"/>
                <w:b/>
                <w:bCs/>
                <w:sz w:val="21"/>
                <w:szCs w:val="21"/>
                <w:highlight w:val="none"/>
                <w:lang w:val="en-US" w:eastAsia="zh-CN"/>
              </w:rPr>
            </w:r>
            <w:r>
              <w:rPr>
                <w:rFonts w:hint="eastAsia" w:ascii="宋体" w:hAnsi="宋体" w:eastAsia="宋体" w:cs="宋体"/>
                <w:b/>
                <w:bCs/>
                <w:sz w:val="21"/>
                <w:szCs w:val="21"/>
                <w:highlight w:val="none"/>
                <w:u w:val="single"/>
                <w:lang w:val="en-US" w:eastAsia="zh-CN"/>
              </w:rPr>
            </w:r>
            <w:r>
              <w:rPr>
                <w:rFonts w:hint="eastAsia" w:ascii="宋体" w:hAnsi="宋体" w:cs="宋体"/>
                <w:bCs/>
                <w:color w:val="auto"/>
                <w:sz w:val="21"/>
                <w:szCs w:val="21"/>
                <w:u w:val="single"/>
                <w:lang w:val="en-US" w:eastAsia="zh-CN"/>
              </w:rPr>
            </w:r>
            <w:r>
              <w:rPr>
                <w:rFonts w:hint="eastAsia" w:ascii="宋体" w:hAnsi="宋体" w:eastAsia="宋体" w:cs="宋体"/>
                <w:b/>
                <w:bCs/>
                <w:sz w:val="21"/>
                <w:szCs w:val="21"/>
                <w:highlight w:val="none"/>
                <w:u w:val="single"/>
                <w:lang w:val="en-US" w:eastAsia="zh-CN"/>
              </w:rPr>
            </w:r>
            <w:r>
              <w:rPr>
                <w:rFonts w:hint="eastAsia" w:ascii="宋体" w:hAnsi="宋体" w:eastAsia="宋体" w:cs="宋体"/>
                <w:b/>
                <w:bCs/>
                <w:sz w:val="21"/>
                <w:szCs w:val="21"/>
                <w:highlight w:val="none"/>
                <w:u w:val="none"/>
                <w:lang w:val="en-US" w:eastAsia="zh-CN"/>
              </w:rPr>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主营业务——智慧水利：中锐网络积极响应国家水利</w:t>
            </w:r>
            <w:r>
              <w:rPr>
                <w:rFonts w:hint="eastAsia" w:ascii="宋体" w:hAnsi="宋体" w:cs="宋体"/>
                <w:b/>
                <w:bCs/>
                <w:snapToGrid w:val="0"/>
                <w:kern w:val="0"/>
                <w:szCs w:val="21"/>
                <w:highlight w:val="none"/>
              </w:rPr>
              <w:t>政策，</w:t>
            </w:r>
            <w:r>
              <w:rPr>
                <w:rFonts w:hint="eastAsia" w:ascii="宋体" w:hAnsi="宋体" w:cs="宋体"/>
                <w:b/>
                <w:bCs/>
                <w:snapToGrid w:val="0"/>
                <w:kern w:val="0"/>
                <w:szCs w:val="21"/>
                <w:highlight w:val="none"/>
                <w:lang w:val="en-US" w:eastAsia="zh-CN"/>
              </w:rPr>
              <w:t>推出了一系列智慧水利解决方案，帮助客户落地水灾</w:t>
            </w:r>
            <w:r>
              <w:rPr>
                <w:rFonts w:hint="eastAsia" w:ascii="宋体" w:hAnsi="宋体" w:cs="宋体"/>
                <w:b/>
                <w:bCs/>
                <w:snapToGrid w:val="0"/>
                <w:kern w:val="0"/>
                <w:szCs w:val="21"/>
                <w:highlight w:val="none"/>
              </w:rPr>
              <w:t>害，水工程，水资源，水生态水环</w:t>
            </w:r>
            <w:r>
              <w:rPr>
                <w:rFonts w:hint="eastAsia" w:ascii="宋体" w:hAnsi="宋体" w:cs="宋体"/>
                <w:b/>
                <w:bCs/>
                <w:snapToGrid w:val="0"/>
                <w:kern w:val="0"/>
                <w:szCs w:val="21"/>
                <w:highlight w:val="none"/>
                <w:lang w:val="en-US" w:eastAsia="zh-CN"/>
              </w:rPr>
              <w:t>境，水监督，水政务等六大重点应</w:t>
            </w:r>
            <w:r>
              <w:rPr>
                <w:rFonts w:hint="eastAsia" w:ascii="宋体" w:hAnsi="宋体" w:cs="宋体"/>
                <w:b/>
                <w:bCs/>
                <w:snapToGrid w:val="0"/>
                <w:kern w:val="0"/>
                <w:szCs w:val="21"/>
                <w:highlight w:val="none"/>
              </w:rPr>
              <w:t>用</w:t>
              <w:br/>
              <w:t>主营业务——智慧教</w:t>
            </w:r>
            <w:r>
              <w:rPr>
                <w:rFonts w:hint="eastAsia" w:ascii="宋体" w:hAnsi="宋体" w:cs="宋体"/>
                <w:snapToGrid w:val="0"/>
                <w:color w:val="000000"/>
                <w:kern w:val="0"/>
                <w:szCs w:val="21"/>
                <w:highlight w:val="none"/>
              </w:rPr>
              <w:t>育：</w:t>
            </w:r>
            <w:r>
              <w:rPr>
                <w:rFonts w:hint="eastAsia" w:ascii="宋体" w:hAnsi="宋体" w:cs="宋体"/>
                <w:snapToGrid w:val="0"/>
                <w:kern w:val="0"/>
                <w:szCs w:val="21"/>
                <w:highlight w:val="none"/>
                <w:u w:val="single"/>
              </w:rPr>
              <w:t>中锐网络紧跟国家战略发展需求，聚焦网络、人工智能、智慧行业三大领域，推出数字人才培养</w:t>
            </w:r>
            <w:r>
              <w:rPr>
                <w:rFonts w:hint="eastAsia" w:ascii="宋体" w:hAnsi="宋体" w:cs="宋体"/>
                <w:snapToGrid w:val="0"/>
                <w:kern w:val="0"/>
                <w:szCs w:val="21"/>
                <w:highlight w:val="none"/>
                <w:u w:val="single"/>
                <w:lang w:val="en-US" w:eastAsia="zh-CN"/>
              </w:rPr>
              <w:t>解决方案，将行业企业用人的需求导入院校人才培养体系，</w:t>
            </w:r>
            <w:r>
              <w:rPr>
                <w:rFonts w:hint="eastAsia" w:ascii="宋体" w:hAnsi="宋体" w:cs="宋体"/>
                <w:snapToGrid w:val="0"/>
                <w:kern w:val="0"/>
                <w:szCs w:val="21"/>
                <w:highlight w:val="none"/>
                <w:u w:val="single"/>
              </w:rPr>
              <w:t>实现产</w:t>
            </w:r>
            <w:r>
              <w:rPr>
                <w:rFonts w:hint="eastAsia" w:ascii="宋体" w:hAnsi="宋体" w:cs="宋体"/>
                <w:snapToGrid w:val="0"/>
                <w:color w:val="000000"/>
                <w:kern w:val="0"/>
                <w:szCs w:val="21"/>
                <w:highlight w:val="none"/>
                <w:u w:val="single"/>
              </w:rPr>
              <w:t>业与人才需求的无缝对接。</w:t>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注册资本：4100万元，实收资本：4100万元；法定代表人：黄祖海。材料未提供上年度末社保人数。</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材料未提供客户经理及二级支行行长信息。</w:t>
            </w:r>
            <w:r>
              <w:rPr>
                <w:rFonts w:hint="eastAsia" w:ascii="宋体" w:hAnsi="宋体" w:cs="宋体"/>
                <w:snapToGrid w:val="0"/>
                <w:kern w:val="0"/>
                <w:szCs w:val="21"/>
              </w:rPr>
            </w:r>
            <w:r>
              <w:rPr>
                <w:rFonts w:hint="eastAsia" w:ascii="宋体" w:hAnsi="宋体" w:cs="宋体"/>
                <w:snapToGrid w:val="0"/>
                <w:kern w:val="0"/>
                <w:szCs w:val="21"/>
                <w:lang w:val="en-US" w:eastAsia="zh-CN"/>
              </w:rPr>
            </w:r>
            <w:r>
              <w:rPr>
                <w:rFonts w:hint="eastAsia" w:ascii="宋体" w:hAnsi="宋体" w:cs="宋体"/>
                <w:snapToGrid w:val="0"/>
                <w:kern w:val="0"/>
                <w:szCs w:val="21"/>
              </w:rPr>
            </w:r>
            <w:r>
              <w:rPr>
                <w:rFonts w:hint="eastAsia" w:ascii="宋体" w:hAnsi="宋体" w:cs="宋体"/>
                <w:snapToGrid w:val="0"/>
                <w:color w:val="000000"/>
                <w:kern w:val="0"/>
                <w:szCs w:val="21"/>
              </w:rPr>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股权穿透后实际控制人：黄祖海。材料未提供实际控制人具体持股比例。</w:t>
            </w:r>
            <w:r>
              <w:rPr>
                <w:rFonts w:hint="eastAsia" w:ascii="宋体" w:hAnsi="宋体" w:cs="宋体"/>
                <w:snapToGrid w:val="0"/>
                <w:kern w:val="0"/>
                <w:szCs w:val="21"/>
                <w:highlight w:val="none"/>
                <w:u w:val="single"/>
                <w:lang w:val="en-US" w:eastAsia="zh-CN"/>
              </w:rPr>
            </w:r>
          </w:p>
          <w:p w14:paraId="360105F5">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3"/>
            <w:r>
              <w:rPr>
                <w:rStyle w:val="CommentReference"/>
              </w:rPr>
              <w:commentReference w:id="3"/>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上</w:t>
            </w:r>
            <w:r>
              <w:rPr>
                <w:rFonts w:hint="eastAsia" w:ascii="宋体" w:hAnsi="宋体" w:cs="宋体"/>
                <w:b/>
                <w:bCs/>
                <w:snapToGrid w:val="0"/>
                <w:color w:val="000000"/>
                <w:kern w:val="0"/>
                <w:szCs w:val="21"/>
              </w:rPr>
              <w:t>游供应商主要</w:t>
            </w:r>
            <w:r>
              <w:rPr>
                <w:rFonts w:hint="eastAsia" w:ascii="宋体" w:hAnsi="宋体" w:cs="宋体"/>
                <w:b w:val="0"/>
                <w:bCs w:val="0"/>
                <w:snapToGrid w:val="0"/>
                <w:color w:val="000000"/>
                <w:kern w:val="0"/>
                <w:szCs w:val="21"/>
                <w:highlight w:val="yellow"/>
                <w:lang w:eastAsia="zh-CN"/>
              </w:rPr>
              <w:t>包</w:t>
            </w:r>
            <w:r>
              <w:rPr>
                <w:rFonts w:hint="eastAsia" w:ascii="宋体" w:hAnsi="宋体" w:cs="宋体"/>
                <w:b w:val="0"/>
                <w:bCs w:val="0"/>
                <w:snapToGrid w:val="0"/>
                <w:color w:val="000000"/>
                <w:kern w:val="0"/>
                <w:szCs w:val="21"/>
                <w:highlight w:val="yellow"/>
                <w:lang w:val="en-US" w:eastAsia="zh-CN"/>
              </w:rPr>
              <w:t>括：锐捷网络股份有限公司、北京星链南天科技有限公司、</w:t>
            </w:r>
            <w:r>
              <w:rPr>
                <w:rFonts w:hint="eastAsia" w:ascii="宋体" w:hAnsi="宋体" w:cs="宋体"/>
                <w:b w:val="0"/>
                <w:bCs w:val="0"/>
                <w:snapToGrid w:val="0"/>
                <w:color w:val="000000"/>
                <w:kern w:val="0"/>
                <w:szCs w:val="21"/>
                <w:highlight w:val="yellow"/>
                <w:lang w:eastAsia="zh-CN"/>
              </w:rPr>
              <w:t>广</w:t>
            </w:r>
            <w:r>
              <w:rPr>
                <w:rFonts w:hint="eastAsia" w:ascii="宋体" w:hAnsi="宋体" w:cs="宋体"/>
                <w:b w:val="0"/>
                <w:bCs w:val="0"/>
                <w:snapToGrid w:val="0"/>
                <w:color w:val="000000"/>
                <w:kern w:val="0"/>
                <w:szCs w:val="21"/>
              </w:rPr>
              <w:t>州</w:t>
            </w:r>
            <w:r>
              <w:rPr>
                <w:rFonts w:hint="eastAsia" w:ascii="宋体" w:hAnsi="宋体" w:cs="宋体"/>
                <w:b w:val="0"/>
                <w:bCs w:val="0"/>
                <w:snapToGrid w:val="0"/>
                <w:kern w:val="0"/>
                <w:szCs w:val="21"/>
                <w:u w:val="single"/>
                <w:lang w:eastAsia="zh-CN"/>
              </w:rPr>
              <w:t>浩</w:t>
            </w:r>
            <w:r>
              <w:rPr>
                <w:rFonts w:hint="eastAsia" w:ascii="宋体" w:hAnsi="宋体" w:cs="宋体"/>
                <w:b w:val="0"/>
                <w:bCs w:val="0"/>
                <w:snapToGrid w:val="0"/>
                <w:kern w:val="0"/>
                <w:szCs w:val="21"/>
                <w:u w:val="single"/>
                <w:lang w:val="en-US" w:eastAsia="zh-CN"/>
              </w:rPr>
              <w:t>瀚星图信息技术有限公司、新天科技股份有限公司、精导信息技术有限公司司等。下游客户主要包括：</w:t>
            </w:r>
            <w:r>
              <w:rPr>
                <w:rFonts w:hint="eastAsia" w:ascii="宋体" w:hAnsi="宋体" w:cs="宋体"/>
                <w:snapToGrid w:val="0"/>
                <w:kern w:val="0"/>
                <w:szCs w:val="21"/>
                <w:u w:val="single"/>
              </w:rPr>
              <w:t>涵江</w:t>
            </w:r>
            <w:r>
              <w:rPr>
                <w:rFonts w:hint="eastAsia" w:ascii="宋体" w:hAnsi="宋体" w:cs="宋体"/>
                <w:snapToGrid w:val="0"/>
                <w:kern w:val="0"/>
                <w:szCs w:val="21"/>
                <w:u w:val="single"/>
                <w:lang w:val="en-US" w:eastAsia="zh-CN"/>
              </w:rPr>
              <w:t>水利局、福建省翔远电子科技有限公司、三明水利水电工</w:t>
            </w:r>
            <w:r>
              <w:rPr>
                <w:rFonts w:hint="eastAsia" w:ascii="宋体" w:hAnsi="宋体" w:cs="宋体"/>
                <w:snapToGrid w:val="0"/>
                <w:kern w:val="0"/>
                <w:szCs w:val="21"/>
                <w:u w:val="single"/>
              </w:rPr>
              <w:t>程有限公司顺昌分公司、福州市福清公路事业发展中心、济南展雄电子有限公司等。</w:t>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3.实地走访情况：经实地走访，福建中锐网络股份有限公司办公场所位于福州市马尾区罗星东路2号海峡经贸广场，属正常办公状态。公司为智慧水利与智慧教育领域的软件技术服务企业，主要资产为办公设备、研发成果及应收账款，无传统生产车间。现场可见研发及技术人员在岗工作，运营秩序正常。据2025年财务报表显示，公司存货为2,192万元，主要为项目实施过程中归集的成本，与业务规模基本匹配。综合来看，公司经营情况稳定，纳税记录良好，2023年度实缴税费439万元，2024年度正常申报纳税。</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材料未提供借款人与我行历史授信合作情况的相关信息。</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材料未提供上一期授后要求落实情况的相关信息。</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万元，其余用于支付税款；3.____万元元转至农行同户名账户(基本户），用于向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借款人于2025年4月25日提贷1000万元，到期日2026年4月24日，贷款采取自主支付方式发放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通过调取借款人账户流水，1万元向福建中锐网络股份有限公司支付货款（已提供发票）；2.其余用于支付税款；3.向37个员工支付工资款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材料未提供531系统模块中的授信及风险信号提示信息。</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4"/>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4"/>
            <w:r>
              <w:rPr>
                <w:rStyle w:val="CommentReference"/>
              </w:rPr>
              <w:commentReference w:id="4"/>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黄祖海，</w:t>
            </w:r>
            <w:r>
              <w:rPr>
                <w:rFonts w:hint="eastAsia" w:ascii="宋体" w:hAnsi="宋体" w:cs="宋体"/>
                <w:snapToGrid w:val="0"/>
                <w:color w:val="000000"/>
                <w:kern w:val="0"/>
                <w:szCs w:val="21"/>
                <w:highlight w:val="none"/>
                <w:u w:val="single"/>
                <w:lang w:val="en-US" w:eastAsia="zh-CN"/>
              </w:rPr>
              <w:t>中国</w:t>
            </w:r>
            <w:r>
              <w:rPr>
                <w:rFonts w:hint="eastAsia" w:ascii="宋体" w:hAnsi="宋体" w:cs="宋体"/>
                <w:snapToGrid w:val="0"/>
                <w:color w:val="000000"/>
                <w:kern w:val="0"/>
                <w:szCs w:val="21"/>
                <w:highlight w:val="none"/>
                <w:u w:val="single"/>
              </w:rPr>
              <w:t>国</w:t>
            </w:r>
            <w:r>
              <w:rPr>
                <w:rFonts w:hint="eastAsia" w:ascii="宋体" w:hAnsi="宋体" w:cs="宋体"/>
                <w:snapToGrid w:val="0"/>
                <w:color w:val="000000"/>
                <w:kern w:val="0"/>
                <w:szCs w:val="21"/>
              </w:rPr>
              <w:t>籍</w:t>
            </w:r>
            <w:r>
              <w:rPr>
                <w:rFonts w:hint="eastAsia" w:ascii="宋体" w:hAnsi="宋体" w:cs="宋体"/>
                <w:snapToGrid w:val="0"/>
                <w:color w:val="000000"/>
                <w:kern w:val="0"/>
                <w:szCs w:val="21"/>
                <w:u w:val="single"/>
                <w:lang w:eastAsia="zh-CN"/>
              </w:rPr>
              <w:t>，</w:t>
            </w:r>
            <w:r>
              <w:rPr>
                <w:rFonts w:hint="eastAsia" w:ascii="宋体" w:hAnsi="宋体" w:cs="宋体"/>
                <w:snapToGrid w:val="0"/>
                <w:color w:val="000000"/>
                <w:kern w:val="0"/>
                <w:szCs w:val="21"/>
                <w:lang w:eastAsia="zh-CN"/>
              </w:rPr>
              <w:t>福建</w:t>
            </w:r>
            <w:r>
              <w:rPr>
                <w:rFonts w:hint="eastAsia" w:ascii="宋体" w:hAnsi="宋体" w:cs="宋体"/>
                <w:snapToGrid w:val="0"/>
                <w:color w:val="000000"/>
                <w:kern w:val="0"/>
                <w:szCs w:val="21"/>
                <w:u w:val="single"/>
                <w:lang w:eastAsia="zh-CN"/>
              </w:rPr>
              <w:t>福</w:t>
            </w:r>
            <w:r>
              <w:rPr>
                <w:rFonts w:hint="eastAsia" w:ascii="宋体" w:hAnsi="宋体" w:cs="宋体"/>
                <w:snapToGrid w:val="0"/>
                <w:color w:val="000000"/>
                <w:kern w:val="0"/>
                <w:szCs w:val="21"/>
                <w:u w:val="single"/>
                <w:lang w:val="en-US" w:eastAsia="zh-CN"/>
              </w:rPr>
              <w:t>州</w:t>
            </w:r>
            <w:r>
              <w:rPr>
                <w:rFonts w:hint="eastAsia" w:ascii="宋体" w:hAnsi="宋体" w:cs="宋体"/>
                <w:snapToGrid w:val="0"/>
                <w:color w:val="000000"/>
                <w:kern w:val="0"/>
                <w:szCs w:val="21"/>
                <w:u w:val="single"/>
                <w:lang w:eastAsia="zh-CN"/>
              </w:rPr>
              <w:t>人</w:t>
            </w:r>
            <w:r>
              <w:rPr>
                <w:rFonts w:hint="eastAsia" w:ascii="宋体" w:hAnsi="宋体" w:cs="宋体"/>
                <w:snapToGrid w:val="0"/>
                <w:color w:val="000000"/>
                <w:kern w:val="0"/>
                <w:szCs w:val="21"/>
                <w:u w:val="single"/>
                <w:lang w:val="en-US" w:eastAsia="zh-CN"/>
              </w:rPr>
              <w:t>，</w:t>
            </w:r>
            <w:r>
              <w:rPr>
                <w:rFonts w:hint="eastAsia" w:ascii="宋体" w:hAnsi="宋体" w:cs="宋体"/>
                <w:snapToGrid w:val="0"/>
                <w:color w:val="000000"/>
                <w:kern w:val="0"/>
                <w:szCs w:val="21"/>
                <w:lang w:eastAsia="zh-CN"/>
              </w:rPr>
              <w:t>1</w:t>
            </w:r>
            <w:r>
              <w:rPr>
                <w:rFonts w:hint="eastAsia" w:ascii="宋体" w:hAnsi="宋体" w:cs="宋体"/>
                <w:snapToGrid w:val="0"/>
                <w:color w:val="000000"/>
                <w:kern w:val="0"/>
                <w:szCs w:val="21"/>
                <w:u w:val="single"/>
                <w:lang w:eastAsia="zh-CN"/>
              </w:rPr>
              <w:t>977</w:t>
            </w:r>
            <w:r>
              <w:rPr>
                <w:rFonts w:hint="eastAsia" w:ascii="宋体" w:hAnsi="宋体" w:cs="宋体"/>
                <w:snapToGrid w:val="0"/>
                <w:color w:val="000000"/>
                <w:kern w:val="0"/>
                <w:szCs w:val="21"/>
                <w:lang w:eastAsia="zh-CN"/>
              </w:rPr>
              <w:t>年</w:t>
            </w:r>
            <w:r>
              <w:rPr>
                <w:rFonts w:hint="eastAsia" w:ascii="宋体" w:hAnsi="宋体" w:cs="宋体"/>
                <w:snapToGrid w:val="0"/>
                <w:color w:val="000000"/>
                <w:kern w:val="0"/>
                <w:szCs w:val="21"/>
                <w:u w:val="single"/>
              </w:rPr>
              <w:t>生，</w:t>
            </w:r>
            <w:r>
              <w:rPr>
                <w:rFonts w:hint="eastAsia" w:ascii="宋体" w:hAnsi="宋体" w:cs="宋体"/>
                <w:snapToGrid w:val="0"/>
                <w:color w:val="000000"/>
                <w:kern w:val="0"/>
                <w:szCs w:val="21"/>
              </w:rPr>
              <w:t>湖</w:t>
            </w:r>
            <w:r>
              <w:rPr>
                <w:rFonts w:hint="eastAsia" w:ascii="宋体" w:hAnsi="宋体" w:cs="宋体"/>
                <w:snapToGrid w:val="0"/>
                <w:color w:val="000000"/>
                <w:kern w:val="0"/>
                <w:szCs w:val="21"/>
                <w:u w:val="single"/>
                <w:lang w:eastAsia="zh-CN"/>
              </w:rPr>
              <w:t>南</w:t>
            </w:r>
            <w:r>
              <w:rPr>
                <w:rFonts w:hint="eastAsia" w:ascii="宋体" w:hAnsi="宋体" w:cs="宋体"/>
                <w:snapToGrid w:val="0"/>
                <w:color w:val="000000"/>
                <w:kern w:val="0"/>
                <w:szCs w:val="21"/>
              </w:rPr>
              <w:t>大学</w:t>
            </w:r>
            <w:r>
              <w:rPr>
                <w:rFonts w:hint="eastAsia" w:ascii="宋体" w:hAnsi="宋体" w:cs="宋体"/>
                <w:snapToGrid w:val="0"/>
                <w:kern w:val="0"/>
                <w:szCs w:val="21"/>
              </w:rPr>
              <w:t>电子商务专</w:t>
            </w:r>
            <w:r>
              <w:rPr>
                <w:rFonts w:hint="eastAsia" w:ascii="宋体" w:hAnsi="宋体" w:cs="宋体"/>
                <w:snapToGrid w:val="0"/>
                <w:kern w:val="0"/>
                <w:szCs w:val="21"/>
                <w:u w:val="single"/>
                <w:lang w:eastAsia="zh-CN"/>
              </w:rPr>
              <w:t>业</w:t>
            </w:r>
            <w:r>
              <w:rPr>
                <w:rFonts w:hint="eastAsia" w:ascii="宋体" w:hAnsi="宋体" w:cs="宋体"/>
                <w:bCs/>
                <w:snapToGrid w:val="0"/>
                <w:kern w:val="0"/>
                <w:szCs w:val="21"/>
                <w:highlight w:val="none"/>
                <w:u w:val="single"/>
                <w:lang w:val="en-US" w:eastAsia="zh-CN"/>
              </w:rPr>
              <w:t>本科学历。</w:t>
            </w:r>
            <w:r>
              <w:rPr>
                <w:rFonts w:hint="eastAsia" w:ascii="宋体" w:hAnsi="宋体" w:cs="宋体"/>
                <w:snapToGrid w:val="0"/>
                <w:kern w:val="0"/>
                <w:szCs w:val="21"/>
                <w:u w:val="single"/>
                <w:lang w:eastAsia="zh-CN"/>
              </w:rPr>
              <w:t>实</w:t>
            </w:r>
            <w:r>
              <w:rPr>
                <w:rFonts w:hint="eastAsia" w:ascii="宋体" w:hAnsi="宋体" w:cs="宋体"/>
                <w:snapToGrid w:val="0"/>
                <w:kern w:val="0"/>
                <w:szCs w:val="21"/>
                <w:u w:val="single"/>
                <w:lang w:val="en-US" w:eastAsia="zh-CN"/>
              </w:rPr>
              <w:t>控人深耕网络信息技</w:t>
            </w:r>
            <w:r>
              <w:rPr>
                <w:rFonts w:hint="eastAsia" w:ascii="宋体" w:hAnsi="宋体" w:cs="宋体"/>
                <w:snapToGrid w:val="0"/>
                <w:color w:val="000000"/>
                <w:kern w:val="0"/>
                <w:szCs w:val="21"/>
                <w:highlight w:val="none"/>
                <w:u w:val="single"/>
              </w:rPr>
              <w:t>术行业二十余年，</w:t>
            </w:r>
            <w:r>
              <w:rPr>
                <w:rFonts w:hint="eastAsia" w:ascii="宋体" w:hAnsi="宋体" w:cs="宋体"/>
                <w:snapToGrid w:val="0"/>
                <w:color w:val="000000"/>
                <w:kern w:val="0"/>
                <w:szCs w:val="21"/>
                <w:highlight w:val="none"/>
                <w:u w:val="single"/>
                <w:lang w:val="en-US" w:eastAsia="zh-CN"/>
              </w:rPr>
              <w:t>从</w:t>
            </w:r>
            <w:r>
              <w:rPr>
                <w:rFonts w:hint="eastAsia" w:ascii="宋体" w:hAnsi="宋体" w:cs="宋体"/>
                <w:snapToGrid w:val="0"/>
                <w:color w:val="000000"/>
                <w:kern w:val="0"/>
                <w:szCs w:val="21"/>
                <w:highlight w:val="none"/>
                <w:u w:val="single"/>
              </w:rPr>
              <w:t>技术岗位逐步晋升至企业高管</w:t>
            </w:r>
            <w:r>
              <w:rPr>
                <w:rFonts w:hint="eastAsia" w:ascii="宋体" w:hAnsi="宋体" w:cs="宋体"/>
                <w:snapToGrid w:val="0"/>
                <w:color w:val="000000"/>
                <w:kern w:val="0"/>
                <w:szCs w:val="21"/>
                <w:highlight w:val="none"/>
                <w:u w:val="single"/>
                <w:lang w:val="en-US" w:eastAsia="zh-CN"/>
              </w:rPr>
              <w:t>，</w:t>
            </w:r>
            <w:r>
              <w:rPr>
                <w:rFonts w:hint="eastAsia" w:ascii="宋体" w:hAnsi="宋体" w:cs="宋体"/>
                <w:snapToGrid w:val="0"/>
                <w:color w:val="000000"/>
                <w:kern w:val="0"/>
                <w:szCs w:val="21"/>
                <w:highlight w:val="none"/>
                <w:u w:val="single"/>
              </w:rPr>
              <w:t>具备丰富的</w:t>
            </w:r>
            <w:r>
              <w:rPr>
                <w:rFonts w:hint="eastAsia" w:ascii="宋体" w:hAnsi="宋体" w:cs="宋体"/>
                <w:snapToGrid w:val="0"/>
                <w:color w:val="000000"/>
                <w:kern w:val="0"/>
                <w:szCs w:val="21"/>
                <w:highlight w:val="none"/>
                <w:u w:val="single"/>
                <w:lang w:eastAsia="zh-CN"/>
              </w:rPr>
              <w:t>行</w:t>
            </w:r>
            <w:r>
              <w:rPr>
                <w:rFonts w:hint="eastAsia" w:ascii="宋体" w:hAnsi="宋体" w:cs="宋体"/>
                <w:snapToGrid w:val="0"/>
                <w:color w:val="000000"/>
                <w:kern w:val="0"/>
                <w:szCs w:val="21"/>
                <w:highlight w:val="none"/>
                <w:u w:val="single"/>
              </w:rPr>
              <w:t>业管理经验和</w:t>
            </w:r>
            <w:r>
              <w:rPr>
                <w:rFonts w:hint="eastAsia" w:ascii="宋体" w:hAnsi="宋体" w:cs="宋体"/>
                <w:snapToGrid w:val="0"/>
                <w:color w:val="000000"/>
                <w:kern w:val="0"/>
                <w:szCs w:val="21"/>
                <w:highlight w:val="none"/>
                <w:u w:val="single"/>
                <w:lang w:val="en-US" w:eastAsia="zh-CN"/>
              </w:rPr>
              <w:t>技</w:t>
            </w:r>
            <w:r>
              <w:rPr>
                <w:rFonts w:hint="eastAsia" w:ascii="宋体" w:hAnsi="宋体" w:cs="宋体"/>
                <w:snapToGrid w:val="0"/>
                <w:color w:val="000000"/>
                <w:kern w:val="0"/>
                <w:szCs w:val="21"/>
                <w:highlight w:val="none"/>
                <w:u w:val="single"/>
              </w:rPr>
              <w:t>术背景，</w:t>
            </w:r>
            <w:r>
              <w:rPr>
                <w:rFonts w:hint="eastAsia" w:ascii="宋体" w:hAnsi="宋体" w:cs="宋体"/>
                <w:bCs/>
                <w:snapToGrid w:val="0"/>
                <w:kern w:val="0"/>
                <w:szCs w:val="21"/>
                <w:highlight w:val="none"/>
                <w:u w:val="single"/>
              </w:rPr>
              <w:t>现全面负责公司战略规划及日常经营管理。</w:t>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实控人黄祖海，湖南大学电子商务</w:t>
            </w:r>
            <w:r>
              <w:rPr>
                <w:rFonts w:hint="eastAsia" w:ascii="宋体" w:hAnsi="宋体" w:cs="宋体"/>
                <w:snapToGrid w:val="0"/>
                <w:color w:val="000000"/>
                <w:kern w:val="0"/>
                <w:szCs w:val="21"/>
                <w:highlight w:val="none"/>
                <w:u w:val="single"/>
                <w:lang w:val="en-US" w:eastAsia="zh-CN"/>
              </w:rPr>
              <w:t>专业本科学历。</w:t>
            </w:r>
            <w:r>
              <w:rPr>
                <w:rFonts w:hint="eastAsia" w:ascii="宋体" w:hAnsi="宋体" w:cs="宋体"/>
                <w:snapToGrid w:val="0"/>
                <w:color w:val="000000"/>
                <w:kern w:val="0"/>
                <w:szCs w:val="21"/>
                <w:highlight w:val="none"/>
                <w:u w:val="single"/>
              </w:rPr>
              <w:t>20</w:t>
            </w:r>
            <w:r>
              <w:rPr>
                <w:rFonts w:hint="eastAsia" w:ascii="宋体" w:hAnsi="宋体" w:cs="宋体"/>
                <w:b w:val="0"/>
                <w:bCs w:val="0"/>
                <w:snapToGrid w:val="0"/>
                <w:color w:val="000000"/>
                <w:kern w:val="0"/>
                <w:szCs w:val="21"/>
              </w:rPr>
              <w:t>00</w:t>
            </w:r>
            <w:r>
              <w:rPr>
                <w:rFonts w:hint="eastAsia" w:ascii="宋体" w:hAnsi="宋体" w:cs="宋体"/>
                <w:b w:val="0"/>
                <w:bCs w:val="0"/>
                <w:snapToGrid w:val="0"/>
                <w:color w:val="000000"/>
                <w:kern w:val="0"/>
                <w:szCs w:val="21"/>
                <w:u w:val="single"/>
                <w:lang w:eastAsia="zh-CN"/>
              </w:rPr>
              <w:t>年5月至2</w:t>
            </w:r>
            <w:r>
              <w:rPr>
                <w:rFonts w:hint="eastAsia" w:ascii="宋体" w:hAnsi="宋体" w:cs="宋体"/>
                <w:b w:val="0"/>
                <w:bCs w:val="0"/>
                <w:snapToGrid w:val="0"/>
                <w:color w:val="000000"/>
                <w:kern w:val="0"/>
                <w:szCs w:val="21"/>
                <w:lang w:eastAsia="zh-CN"/>
              </w:rPr>
              <w:t>001年12月</w:t>
            </w:r>
            <w:r>
              <w:rPr>
                <w:rFonts w:hint="eastAsia" w:ascii="宋体" w:hAnsi="宋体" w:cs="宋体"/>
                <w:snapToGrid w:val="0"/>
                <w:color w:val="000000"/>
                <w:kern w:val="0"/>
                <w:szCs w:val="21"/>
                <w:u w:val="single"/>
                <w:lang w:eastAsia="zh-CN"/>
              </w:rPr>
              <w:t>，</w:t>
            </w:r>
            <w:r>
              <w:rPr>
                <w:rFonts w:hint="eastAsia" w:ascii="宋体" w:hAnsi="宋体" w:cs="宋体"/>
                <w:snapToGrid w:val="0"/>
                <w:color w:val="000000"/>
                <w:kern w:val="0"/>
                <w:szCs w:val="21"/>
                <w:u w:val="single"/>
                <w:lang w:val="en-US" w:eastAsia="zh-CN"/>
              </w:rPr>
              <w:t>任福建实达</w:t>
            </w:r>
            <w:r>
              <w:rPr>
                <w:rFonts w:hint="eastAsia" w:ascii="宋体" w:hAnsi="宋体" w:cs="宋体"/>
                <w:snapToGrid w:val="0"/>
                <w:color w:val="000000"/>
                <w:kern w:val="0"/>
                <w:szCs w:val="21"/>
                <w:u w:val="single"/>
                <w:lang w:eastAsia="zh-CN"/>
              </w:rPr>
              <w:t>网络</w:t>
            </w:r>
            <w:r>
              <w:rPr>
                <w:rFonts w:hint="eastAsia" w:ascii="宋体" w:hAnsi="宋体" w:cs="宋体"/>
                <w:snapToGrid w:val="0"/>
                <w:color w:val="000000"/>
                <w:kern w:val="0"/>
                <w:szCs w:val="21"/>
                <w:u w:val="single"/>
                <w:lang w:val="en-US" w:eastAsia="zh-CN"/>
              </w:rPr>
              <w:t>科技有限公司技</w:t>
            </w:r>
            <w:r>
              <w:rPr>
                <w:rFonts w:hint="eastAsia" w:ascii="宋体" w:hAnsi="宋体" w:cs="宋体"/>
                <w:snapToGrid w:val="0"/>
                <w:color w:val="000000"/>
                <w:kern w:val="0"/>
                <w:szCs w:val="21"/>
                <w:lang w:eastAsia="zh-CN"/>
              </w:rPr>
              <w:t>术工</w:t>
            </w:r>
            <w:r>
              <w:rPr>
                <w:rFonts w:hint="eastAsia" w:ascii="宋体" w:hAnsi="宋体" w:cs="宋体"/>
                <w:snapToGrid w:val="0"/>
                <w:color w:val="000000"/>
                <w:kern w:val="0"/>
                <w:szCs w:val="21"/>
                <w:u w:val="single"/>
                <w:lang w:eastAsia="zh-CN"/>
              </w:rPr>
              <w:t>程师；2002年1月</w:t>
            </w:r>
            <w:r>
              <w:rPr>
                <w:rFonts w:hint="eastAsia" w:ascii="宋体" w:hAnsi="宋体" w:cs="宋体"/>
                <w:snapToGrid w:val="0"/>
                <w:color w:val="000000"/>
                <w:kern w:val="0"/>
                <w:szCs w:val="21"/>
                <w:lang w:eastAsia="zh-CN"/>
              </w:rPr>
              <w:t>至2003</w:t>
            </w:r>
            <w:r>
              <w:rPr>
                <w:rFonts w:hint="eastAsia" w:ascii="宋体" w:hAnsi="宋体" w:cs="宋体"/>
                <w:snapToGrid w:val="0"/>
                <w:color w:val="000000"/>
                <w:kern w:val="0"/>
                <w:szCs w:val="21"/>
                <w:u w:val="single"/>
              </w:rPr>
              <w:t>年1月，任福建实达网络科</w:t>
            </w:r>
            <w:r>
              <w:rPr>
                <w:rFonts w:hint="eastAsia" w:ascii="宋体" w:hAnsi="宋体" w:cs="宋体"/>
                <w:snapToGrid w:val="0"/>
                <w:color w:val="000000"/>
                <w:kern w:val="0"/>
                <w:szCs w:val="21"/>
              </w:rPr>
              <w:t>技有限公司</w:t>
            </w:r>
            <w:r>
              <w:rPr>
                <w:rFonts w:hint="eastAsia" w:ascii="宋体" w:hAnsi="宋体" w:cs="宋体"/>
                <w:snapToGrid w:val="0"/>
                <w:color w:val="000000"/>
                <w:kern w:val="0"/>
                <w:szCs w:val="21"/>
                <w:u w:val="single"/>
                <w:lang w:eastAsia="zh-CN"/>
              </w:rPr>
              <w:t>技术经理；</w:t>
            </w:r>
            <w:r>
              <w:rPr>
                <w:rFonts w:hint="eastAsia" w:ascii="宋体" w:hAnsi="宋体" w:cs="宋体"/>
                <w:snapToGrid w:val="0"/>
                <w:color w:val="000000"/>
                <w:kern w:val="0"/>
                <w:szCs w:val="21"/>
              </w:rPr>
              <w:t>2003年1月</w:t>
            </w:r>
            <w:r>
              <w:rPr>
                <w:rFonts w:hint="eastAsia" w:ascii="宋体" w:hAnsi="宋体" w:cs="宋体"/>
                <w:b w:val="0"/>
                <w:bCs w:val="0"/>
                <w:snapToGrid w:val="0"/>
                <w:color w:val="000000"/>
                <w:kern w:val="0"/>
                <w:szCs w:val="21"/>
              </w:rPr>
              <w:t>至2011年12月，任福建星网锐捷</w:t>
            </w:r>
            <w:r>
              <w:rPr>
                <w:rFonts w:hint="eastAsia" w:ascii="宋体" w:hAnsi="宋体" w:cs="宋体"/>
                <w:bCs/>
                <w:snapToGrid w:val="0"/>
                <w:kern w:val="0"/>
                <w:szCs w:val="21"/>
                <w:highlight w:val="none"/>
                <w:u w:val="single"/>
                <w:lang w:val="en-US" w:eastAsia="zh-CN"/>
              </w:rPr>
              <w:t>网络有限公司技术部总经理；2012年1月至2016年3月，任福建中锐网络科技有限公司法定代表人、执行董事兼总经理；2016年3月至今，任福建中锐网络股份有限公司董事长兼总裁。身份证号：350124197704201694.</w:t>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出租，出租方陈独熹公司/个人，年租金____万元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kern w:val="0"/>
                <w:szCs w:val="21"/>
                <w:lang w:eastAsia="zh-CN"/>
              </w:rPr>
              <w:t>可附图</w:t>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材料未提供完整的关联企业名单及经营情况信息。根据企业财务报表显示，长期股权投资期末余额为3,123万元，其他应收款期末余额为2,774万元，上述科目可能涉及关联往来，但材料中未明确列示具体关联方及其经营状况。</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材料未提供集团内关联销售相关数据，无法判断关联销售规模及剔除关联交易后的集团整体销售情况。</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材料未提供我行对福建中锐网络股份有限公司集团授信或关联授信的相关信息，包括授信方案、授信额度及当前提用情况均无法核实。</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none"/>
                <w:lang w:val="en-US" w:eastAsia="zh-CN"/>
              </w:rPr>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产品（业务）及其市场应用：主营智慧水利与智慧教育两大业务板块。智慧水利业务方面，企业响应国家水利政策，为客户提供水灾害、水工程、水资源、水生态水环境、水监督、水政务等六大重点应用解决方案；智慧教育业务方面，企业聚焦网络、人工智能、智慧行业三大领域，提供数字人才培养解决方案，将行业企业用人需求导入院校人才培养体系，实现产业与人才需求的无缝对接。</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产品优势、企业核心竞争力：企业所处智慧水利行业受国家政策支持，市场前景较好；智慧教育业务紧跟国家战略发展需求，聚焦新兴技术领域，具备一定的市场机遇。企业为高新技术企业和科技型中小企业，拥有多项软件著作权及专利技术，核心技术团队相对稳定。</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生产分析：中锐网络属于信息技术服务业，主营智慧水利和智慧教育解决方案业务，不涉及传统制造业的生产设备和产能概念。企业核心资源为研发技术人员及技术平台，2024年研发费用投入1,262万元，占营业收入比例约14.49%，持续进行技术研发投入。材料中未提供生产设备、产能利用率、产销率及用电量等相关数据，该类信息不适用于轻资产信息技术服务企业。</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3.上下游情况：材料未提供上下游客户具体信息，无法判断其供应链稳定性和客户集中度。</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（本段材料未提供相关信息）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（本段材料未提供相关信息）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w:t>
            </w:r>
            <w:r>
              <w:rPr>
                <w:rFonts w:hint="eastAsia" w:ascii="宋体" w:hAnsi="宋体" w:cs="宋体"/>
                <w:b/>
                <w:bCs/>
                <w:snapToGrid w:val="0"/>
                <w:color w:val="000000"/>
                <w:kern w:val="0"/>
                <w:szCs w:val="21"/>
                <w:highlight w:val="none"/>
              </w:rPr>
              <w:t>经营账期：</w:t>
            </w:r>
            <w:r>
              <w:rPr>
                <w:rFonts w:hint="eastAsia" w:ascii="宋体" w:hAnsi="宋体" w:cs="宋体"/>
                <w:snapToGrid w:val="0"/>
                <w:kern w:val="0"/>
                <w:szCs w:val="21"/>
                <w:highlight w:val="none"/>
                <w:u w:val="single"/>
              </w:rPr>
              <w:t>上游采购一般预付或现付，下游账期较长，主要下游通过转账、票据与借款</w:t>
            </w:r>
            <w:r>
              <w:rPr>
                <w:rFonts w:hint="eastAsia" w:ascii="宋体" w:hAnsi="宋体" w:cs="宋体"/>
                <w:snapToGrid w:val="0"/>
                <w:kern w:val="0"/>
                <w:szCs w:val="21"/>
                <w:highlight w:val="none"/>
                <w:u w:val="single"/>
                <w:lang w:val="en-US" w:eastAsia="zh-CN"/>
              </w:rPr>
              <w:t>人</w:t>
            </w:r>
            <w:r>
              <w:rPr>
                <w:rFonts w:hint="eastAsia" w:ascii="宋体" w:hAnsi="宋体" w:cs="宋体"/>
                <w:snapToGrid w:val="0"/>
                <w:kern w:val="0"/>
                <w:szCs w:val="21"/>
                <w:highlight w:val="none"/>
                <w:u w:val="single"/>
              </w:rPr>
              <w:t>进行结算。企业总体营运资金周转效率偏慢，一年周转约1次。</w:t>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（本段材料未提供相关信息）</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____研究所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截至2025年末，借款人资产总计16956万元，负债合计7207万元，所有者权益9749万元，资产负债率42.5%，流动比率1.82；2025年度实现营业收入10010万元，净利润494万元。银行融资余额4730万元，系短期借款。材料未提供审计事务所变动原因相关信息。</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7430万元，主要构成及趋势变动情况： 2025年末应收账款7,430万元，较2024年峰值9,253万元下降19.7%（-1,823万元），主要系本期回款力度加强及业务规模调整所致；近三年应收账款呈现先升后降走势，2022-2024年复合增长28.3%，2025年有所回落需关注其持续性。</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2774万元，主要构成及趋势变动情况： 2%，呈持续回落态势；2023年其他应收款曾大幅增长至3621万元（同比+153%），近两年已逐步消化，余额仍处较高水平，建议关注款项性质及回收风险。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2192万元，主要构成及趋势变动情况： 2025年末存货2192万元，较2024年1166万元大幅增长88.0%，结束连续两年下降态势；但仍低于2022年5301万元的水平，需关注存货周转效率变化。</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3123万元，主要构成及趋势变动情况： 2025年末长期投资为3123万元，较2024年2518万元增加605万元，增幅24.0%，近两年持续快速增长（2023-2025年累计增幅92.0%），需关注投资标的及收益情况。</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1026万元，主要构成及趋势变动情况： 2025年末应付账款为1026万元，较2024年2333万元大幅下降1307万元，降幅56.0%，主要系本期偿还前期采购款项所致。应付账款大幅下降表明企业资金支付能力增强，但需关注其对上游供应商信用政策的影响。</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168万元，主要构成及趋势变动情况： 1%，回落至接近2022-2023年水平。材料中未提供其他应付款具体构成及变动原因，无法判断其下降是因偿还往来款项还是核算口径调整，建议补充说明。</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 2025年主营业务收入为10010万元，较2024年8712万元增加1298万元，增幅14.9%，结束连续两年下降态势；收入从2022年21198万元逐年降至2024年低点8712万元，2025年有所回升。因缺失利润表及收入明细相关材料，具体变动原因未能进一步分析。</w:t>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2025年营业收入10,10万元，同比增长14.9%，净利润494万元，同比增长50.2%，净利率4.9%，较2024年提升1.1个百分点，盈利能力有所改善。但2022-2024年营业收入持续下滑（从21,198万元降至8,712万元），需补充材料说明收入下降的具体原因及2025年回暖的驱动因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（9）固定资产投资变动情况（后续若有大额固定资产投入计划，分析投入及资金安排）： 根据所提供材料，仅有资产负债表数据，未包含现金流量表及固定资产科目的详细变动信息，无法直接分析固定资产投资变动情况。依据现有资产负债表中预付款项期末428万元较年初260万元增长64.40%这一迹象，结合存货从1166万元增至2192万元（增幅87.97%），或可推测企业可能存在业务规模扩张趋势，但确切固定资产投资变动情况需补充现金流量表及固定资产科目数据方可准确判断。</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
                <w:bCs w:val="0"/>
                <w:snapToGrid w:val="0"/>
                <w:kern w:val="0"/>
                <w:szCs w:val="21"/>
                <w:highlight w:val="none"/>
                <w:lang w:val="zh-CN"/>
              </w:rPr>
            </w:r>
            <w:r>
              <w:rPr>
                <w:rFonts w:hint="eastAsia" w:ascii="宋体" w:hAnsi="宋体" w:cs="宋体"/>
                <w:b/>
                <w:bCs w:val="0"/>
                <w:snapToGrid w:val="0"/>
                <w:kern w:val="0"/>
                <w:szCs w:val="21"/>
                <w:highlight w:val="none"/>
                <w:lang w:val="en-US" w:eastAsia="zh-CN"/>
              </w:rPr>
            </w:r>
            <w:r>
              <w:rPr>
                <w:rFonts w:hint="eastAsia" w:ascii="宋体" w:hAnsi="宋体" w:cs="宋体"/>
                <w:b/>
                <w:bCs w:val="0"/>
                <w:snapToGrid w:val="0"/>
                <w:kern w:val="0"/>
                <w:szCs w:val="21"/>
                <w:highlight w:val="none"/>
                <w:lang w:val="zh-CN"/>
              </w:rPr>
            </w:r>
            <w:r>
              <w:rPr>
                <w:rFonts w:hint="eastAsia" w:ascii="宋体" w:hAnsi="宋体" w:cs="宋体"/>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 2025年末货币资金较年初大幅下降43.6%（从506万元降至286万元），同时存货同比增长88.0%（从1,166万元增至2,192万元），预付款项亦增长64.4%；负债端应付账款下降56.0%、其他应付款下降74.1%，反映公司资金流向存货采购及预付款项，偿债压力有所减轻。</w:t>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现金流分析：2025年度经营活动产生的现金流量净额为791万元，较2024年度的-896万元大幅改善，主要系销售回款增加及加强应收账款管理所致。投资活动产生的现金流量净额为-586万元，主要系投资支付款增加；筹资活动产生的现金流量净额为-426万元，主要系偿还借款所致。期末现金及现金等价物余额为286万元，较年初506万元减少221万元。企业应收账款规模较大，2025年末应收账款为7430万元，占总资产的43.8%，存在一定的资金占用压力，但经营活动现金流已由负转正，整体现金流状况有所改善。</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commentRangeStart w:id="5"/>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commentRangeEnd w:id="5"/>
            <w:r>
              <w:rPr>
                <w:rStyle w:val="CommentReference"/>
              </w:rPr>
              <w:commentReference w:id="5"/>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 收入增速拐点已现，2025年实现由负转正，呈现持续改善态势。毛利率逆势攀升至38%以上高位并保持稳定，盈利质量显著提升。收入、毛利与净利润需联动分析，重点关注利润兑现与毛利波动是否匹配。</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货币资金对短期借款的覆盖能力大幅下降至6.05%，短期偿债存在显著压力；尽管流动比率和资产负债率均显示偿债能力改善，但现金流动性趋紧需关注。偿债能力由杠杆水平与流动性共同决定，需同步观察资产负债率和短债覆盖能力。若短债覆盖走弱，应将债务期限结构与再融资安排列为重点核查项。</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呈现先升后降的波动走势，回款效率在2024年触底后有所改善，但整体回款周期仍远高于2022年水平，资金周转压力依然较大。存货增速从连续两年大幅负增长转为2025年高速正增长，反映出库存管理策略出现明显转变，需关注库存积压风险及业务模式调整的合理性。运营效率需重点跟踪应收账款周转与收入扩张的匹配程度。</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由于缺乏现金流相关数据，当前无法对客户现金流质量进行有效评估。数据缺失构成信审障碍，建议补充近三年财务报表或银行流水进行交叉验证，以核实经营稳定性和偿债能力。经营现金流当前表现为无法判断，需关注现金回笼与利润质量是否一致。</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持续处于180天以上高位，2024年峰值达387.7天，表明企业回款周期显著拉长，坏账风险明显上升；货币资金对短期借款覆盖率骤降至20%以下并持续走低，2025年仅6.05%，短期偿债能力严重不足，流动性风险突出。当前已触发硬阈值预警：应收账款周转天数超过180天，回款风险偏高。、货币资金对短期借款覆盖率低于20%，短期流动性承压。</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材料中仅体现公司在中国银行福建省分行的信贷情况，具体各行贷款分布情况材料未提供，无法完整核实他行融资情况。公司借款主要用于日常经营周转，2025年取得借款4,286万元，偿还借款4,546万元，借款规模总体稳定。材料未提供五级分类分布情况，根据公司经营情况判断，借款偿付正常。对外担保方面，材料未提供企业对外担保明细及关联担保情况，无法判断是否存在或有负债风险。实控人黄祖海征信情况材料未提供，无法核实其个人信用状况及是否存在逾期记录。公司流动比率1.82，资产负债率42.5%，偿债能力处于较好水平。2025年营业收入10,10万元，净利润494万元，经营规模与盈利能力较为稳定，但材料中未提供他行融资、对外担保及实控人征信等关键信息，建议补充完善以全面评估信用风险。</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r>
            <w:r>
              <w:rPr>
                <w:rFonts w:hint="eastAsia" w:ascii="宋体" w:hAnsi="宋体" w:cs="宋体"/>
                <w:snapToGrid w:val="0"/>
                <w:kern w:val="0"/>
                <w:szCs w:val="21"/>
                <w:highlight w:val="none"/>
                <w:u w:val="single"/>
                <w:lang w:val="en-US" w:eastAsia="zh-CN"/>
              </w:rPr>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2025年还款1188万元、2026年1926万元、2027年2430万元、2028年2330万元、2029年2500万元、2030年1637万元，按预测销售趋势及净利润水平来看，可足额归还相关项目贷款资金。</w:t>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commentRangeStart w:id="7"/>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7"/>
            <w:r>
              <w:rPr>
                <w:rStyle w:val="CommentReference"/>
              </w:rPr>
              <w:commentReference w:id="7"/>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上游供</w:t>
            </w:r>
            <w:r>
              <w:rPr>
                <w:rFonts w:hint="eastAsia" w:ascii="宋体" w:hAnsi="宋体" w:cs="宋体"/>
                <w:b/>
                <w:bCs/>
                <w:snapToGrid w:val="0"/>
                <w:color w:val="000000"/>
                <w:kern w:val="0"/>
                <w:szCs w:val="21"/>
                <w:highlight w:val="none"/>
              </w:rPr>
              <w:t>应</w:t>
            </w:r>
            <w:r>
              <w:rPr>
                <w:rFonts w:hint="eastAsia" w:ascii="宋体" w:hAnsi="宋体" w:cs="宋体"/>
                <w:b/>
                <w:bCs/>
                <w:snapToGrid w:val="0"/>
                <w:color w:val="000000"/>
                <w:kern w:val="0"/>
                <w:szCs w:val="21"/>
                <w:highlight w:val="none"/>
                <w:lang w:val="en-US" w:eastAsia="zh-CN"/>
              </w:rPr>
              <w:t>商</w:t>
            </w:r>
            <w:r>
              <w:rPr>
                <w:rFonts w:hint="eastAsia" w:ascii="宋体" w:hAnsi="宋体" w:cs="宋体"/>
                <w:b/>
                <w:bCs/>
                <w:snapToGrid w:val="0"/>
                <w:color w:val="000000"/>
                <w:kern w:val="0"/>
                <w:szCs w:val="21"/>
                <w:highlight w:val="none"/>
              </w:rPr>
              <w:t>主</w:t>
            </w:r>
            <w:r>
              <w:rPr>
                <w:rFonts w:hint="eastAsia" w:ascii="宋体" w:hAnsi="宋体" w:eastAsia="宋体" w:cs="宋体"/>
                <w:kern w:val="2"/>
                <w:sz w:val="21"/>
                <w:szCs w:val="21"/>
                <w:highlight w:val="none"/>
                <w:u w:val="single"/>
                <w:lang w:val="en-US" w:eastAsia="zh-CN"/>
              </w:rPr>
              <w:t>要包括：锐捷网络股份有限公司、北京星链南天科技有限公司、广州浩瀚星图信息技术有限公司、新天科技股份有限公司、精导信息技术有限公司司等。下游客户主要包括：涵江水利局、福建省翔远电子科技有限公司、三明水利水电工程有限公司顺昌分公司、福州市福清公路事业发展中心、济南展雄电子有限公司等。</w:t>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材料未提供实际控制人黄祖海配偶的相关信息，包括身份信息及个人征信情况。</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commentRangeStart w:id="8"/>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8"/>
            <w:r>
              <w:rPr>
                <w:rStyle w:val="CommentReference"/>
              </w:rPr>
              <w:commentReference w:id="8"/>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w:t>
            </w:r>
            <w:r>
              <w:rPr>
                <w:rFonts w:hint="eastAsia" w:ascii="宋体" w:hAnsi="宋体" w:cs="宋体"/>
                <w:b/>
                <w:bCs w:val="0"/>
                <w:kern w:val="2"/>
                <w:sz w:val="21"/>
                <w:szCs w:val="21"/>
                <w:highlight w:val="none"/>
                <w:lang w:val="en-US" w:eastAsia="zh-CN" w:bidi="ar-SA"/>
              </w:rPr>
              <w:t>3.</w:t>
            </w:r>
            <w:r>
              <w:rPr>
                <w:rFonts w:hint="eastAsia" w:ascii="宋体" w:hAnsi="宋体" w:eastAsia="宋体" w:cs="宋体"/>
                <w:b/>
                <w:bCs w:val="0"/>
                <w:kern w:val="2"/>
                <w:sz w:val="21"/>
                <w:szCs w:val="21"/>
                <w:highlight w:val="none"/>
                <w:lang w:val="en-US" w:eastAsia="zh-CN" w:bidi="ar-SA"/>
              </w:rPr>
              <w:t>专利情况</w:t>
            </w:r>
            <w:r>
              <w:rPr>
                <w:rFonts w:hint="eastAsia" w:ascii="宋体" w:hAnsi="宋体" w:cs="宋体"/>
                <w:b/>
                <w:bCs/>
                <w:snapToGrid w:val="0"/>
                <w:kern w:val="0"/>
                <w:szCs w:val="21"/>
                <w:highlight w:val="none"/>
              </w:rPr>
              <w:t>：</w:t>
            </w:r>
            <w:r>
              <w:rPr>
                <w:rFonts w:hint="eastAsia" w:ascii="宋体" w:hAnsi="宋体" w:cs="宋体"/>
                <w:b w:val="0"/>
                <w:bCs/>
                <w:kern w:val="2"/>
                <w:sz w:val="21"/>
                <w:szCs w:val="21"/>
                <w:highlight w:val="none"/>
                <w:u w:val="single"/>
                <w:lang w:val="en-US" w:eastAsia="zh-CN" w:bidi="ar-SA"/>
              </w:rPr>
              <w:t>企业拥有发明专利X项、实用专利X项，权属清晰，不存在瑕疵及涉诉情况，具体情况如下表所示</w:t>
            </w:r>
            <w:r>
              <w:rPr>
                <w:rFonts w:hint="eastAsia" w:ascii="宋体" w:hAnsi="宋体" w:cs="宋体"/>
                <w:b w:val="0"/>
                <w:bCs/>
                <w:kern w:val="2"/>
                <w:sz w:val="21"/>
                <w:szCs w:val="21"/>
                <w:highlight w:val="none"/>
                <w:u w:val="none"/>
                <w:lang w:val="en-US" w:eastAsia="zh-CN" w:bidi="ar-SA"/>
              </w:rPr>
              <w: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一种桥梁监测数据关联规则挖掘及健康预警方法及系统</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ZL202110596358.5</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一种基于肤色检测的烧伤患者人像分割方法</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ZL201911341331.0</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截至目前，</w:t>
            </w:r>
            <w:r>
              <w:rPr>
                <w:rFonts w:hint="eastAsia" w:ascii="宋体" w:hAnsi="宋体" w:cs="宋体"/>
                <w:b w:val="0"/>
                <w:bCs w:val="0"/>
                <w:snapToGrid w:val="0"/>
                <w:color w:val="auto"/>
                <w:kern w:val="0"/>
                <w:szCs w:val="21"/>
                <w:highlight w:val="none"/>
              </w:rPr>
              <w:t>企业在我行日均存</w:t>
            </w:r>
            <w:r>
              <w:rPr>
                <w:rFonts w:hint="eastAsia" w:ascii="宋体" w:hAnsi="宋体" w:cs="宋体"/>
                <w:b w:val="0"/>
                <w:bCs w:val="0"/>
                <w:snapToGrid w:val="0"/>
                <w:color w:val="auto"/>
                <w:kern w:val="0"/>
                <w:szCs w:val="21"/>
                <w:highlight w:val="none"/>
                <w:lang w:eastAsia="zh-CN"/>
              </w:rPr>
              <w:t>款材</w:t>
            </w:r>
            <w:r>
              <w:rPr>
                <w:rFonts w:hint="eastAsia" w:ascii="宋体" w:hAnsi="宋体" w:cs="宋体"/>
                <w:b w:val="0"/>
                <w:bCs w:val="0"/>
                <w:snapToGrid w:val="0"/>
                <w:color w:val="auto"/>
                <w:kern w:val="0"/>
                <w:szCs w:val="21"/>
                <w:highlight w:val="none"/>
                <w:lang w:val="en-US" w:eastAsia="zh-CN"/>
              </w:rPr>
              <w:t>料未提供相关信息，基于企业财务报表显示货币资金约286万元；折对公有效户材料未提供相关信息；全年结算量材料未提供相关信息；企业在我行开立基本户材料未提供相关信息；</w:t>
            </w:r>
            <w:r>
              <w:rPr>
                <w:rFonts w:hint="eastAsia" w:ascii="宋体" w:hAnsi="宋体" w:cs="宋体"/>
                <w:b/>
                <w:bCs/>
                <w:snapToGrid w:val="0"/>
                <w:color w:val="auto"/>
                <w:kern w:val="0"/>
                <w:szCs w:val="21"/>
                <w:highlight w:val="none"/>
                <w:lang w:eastAsia="zh-CN"/>
              </w:rPr>
              <w:t>企业</w:t>
            </w:r>
            <w:r>
              <w:rPr>
                <w:rFonts w:hint="eastAsia" w:ascii="宋体" w:hAnsi="宋体" w:cs="宋体"/>
                <w:b/>
                <w:bCs/>
                <w:snapToGrid w:val="0"/>
                <w:kern w:val="0"/>
                <w:szCs w:val="21"/>
                <w:highlight w:val="none"/>
              </w:rPr>
              <w:t>员工</w:t>
            </w:r>
            <w:r>
              <w:rPr>
                <w:rFonts w:hint="eastAsia" w:ascii="宋体" w:hAnsi="宋体" w:cs="宋体"/>
                <w:b w:val="0"/>
                <w:bCs w:val="0"/>
                <w:snapToGrid w:val="0"/>
                <w:kern w:val="0"/>
                <w:szCs w:val="21"/>
                <w:highlight w:val="none"/>
                <w:u w:val="single"/>
                <w:lang w:val="en-US" w:eastAsia="zh-CN"/>
              </w:rPr>
              <w:t>代发签约人数及发薪量</w:t>
            </w:r>
            <w:r>
              <w:rPr>
                <w:rFonts w:hint="eastAsia" w:ascii="宋体" w:hAnsi="宋体" w:cs="宋体"/>
                <w:snapToGrid w:val="0"/>
                <w:kern w:val="0"/>
                <w:szCs w:val="21"/>
                <w:highlight w:val="none"/>
                <w:u w:val="single"/>
              </w:rPr>
              <w:t>材料未提供相关信息。综合效益数据缺失，</w:t>
            </w:r>
            <w:r>
              <w:rPr>
                <w:rFonts w:hint="eastAsia" w:ascii="宋体" w:hAnsi="宋体" w:cs="宋体"/>
                <w:snapToGrid w:val="0"/>
                <w:kern w:val="0"/>
                <w:szCs w:val="21"/>
                <w:highlight w:val="none"/>
                <w:u w:val="single"/>
                <w:lang w:val="en-US" w:eastAsia="zh-CN"/>
              </w:rPr>
              <w:t>无法全面评估</w:t>
            </w:r>
            <w:r>
              <w:rPr>
                <w:rFonts w:hint="eastAsia" w:ascii="宋体" w:hAnsi="宋体" w:cs="宋体"/>
                <w:snapToGrid w:val="0"/>
                <w:kern w:val="0"/>
                <w:szCs w:val="21"/>
                <w:highlight w:val="none"/>
                <w:u w:val="single"/>
              </w:rPr>
              <w:t>企业在该行业</w:t>
            </w:r>
            <w:r>
              <w:rPr>
                <w:rFonts w:hint="eastAsia" w:ascii="宋体" w:hAnsi="宋体" w:cs="宋体"/>
                <w:snapToGrid w:val="0"/>
                <w:kern w:val="0"/>
                <w:szCs w:val="21"/>
                <w:highlight w:val="none"/>
                <w:u w:val="single"/>
                <w:lang w:val="en-US" w:eastAsia="zh-CN"/>
              </w:rPr>
              <w:t>务综合贡献度。从企业财务数</w:t>
            </w:r>
            <w:r>
              <w:rPr>
                <w:rFonts w:hint="eastAsia" w:ascii="宋体" w:hAnsi="宋体" w:cs="宋体"/>
                <w:snapToGrid w:val="0"/>
                <w:kern w:val="0"/>
                <w:szCs w:val="21"/>
                <w:highlight w:val="none"/>
                <w:u w:val="single"/>
              </w:rPr>
              <w:t>据间</w:t>
            </w:r>
            <w:r>
              <w:rPr>
                <w:rFonts w:hint="eastAsia" w:ascii="宋体" w:hAnsi="宋体" w:cs="宋体"/>
                <w:snapToGrid w:val="0"/>
                <w:kern w:val="0"/>
                <w:szCs w:val="21"/>
                <w:highlight w:val="none"/>
                <w:u w:val="single"/>
                <w:lang w:val="en-US" w:eastAsia="zh-CN"/>
              </w:rPr>
              <w:t>接参考来看，</w:t>
            </w:r>
            <w:r>
              <w:rPr>
                <w:rFonts w:hint="eastAsia" w:ascii="宋体" w:hAnsi="宋体" w:cs="宋体"/>
                <w:snapToGrid w:val="0"/>
                <w:kern w:val="0"/>
                <w:szCs w:val="21"/>
                <w:highlight w:val="none"/>
                <w:u w:val="single"/>
              </w:rPr>
              <w:t>2025年末</w:t>
            </w:r>
            <w:r>
              <w:rPr>
                <w:rFonts w:hint="eastAsia" w:ascii="宋体" w:hAnsi="宋体" w:cs="宋体"/>
                <w:snapToGrid w:val="0"/>
                <w:kern w:val="0"/>
                <w:szCs w:val="21"/>
                <w:highlight w:val="none"/>
                <w:u w:val="single"/>
                <w:lang w:val="en-US" w:eastAsia="zh-CN"/>
              </w:rPr>
              <w:t>企业货币资金28</w:t>
            </w:r>
            <w:r>
              <w:rPr>
                <w:rFonts w:hint="eastAsia" w:ascii="宋体" w:hAnsi="宋体" w:cs="宋体"/>
                <w:snapToGrid w:val="0"/>
                <w:kern w:val="0"/>
                <w:szCs w:val="21"/>
                <w:highlight w:val="none"/>
                <w:u w:val="single"/>
              </w:rPr>
              <w:t>6万</w:t>
            </w:r>
            <w:r>
              <w:rPr>
                <w:rFonts w:hint="eastAsia" w:ascii="宋体" w:hAnsi="宋体" w:cs="宋体"/>
                <w:snapToGrid w:val="0"/>
                <w:kern w:val="0"/>
                <w:szCs w:val="21"/>
                <w:highlight w:val="none"/>
                <w:u w:val="single"/>
                <w:lang w:val="en-US" w:eastAsia="zh-CN"/>
              </w:rPr>
              <w:t>元，资产负债率4</w:t>
            </w:r>
            <w:r>
              <w:rPr>
                <w:rFonts w:hint="eastAsia" w:ascii="宋体" w:hAnsi="宋体" w:cs="宋体"/>
                <w:snapToGrid w:val="0"/>
                <w:kern w:val="0"/>
                <w:szCs w:val="21"/>
                <w:highlight w:val="none"/>
                <w:u w:val="single"/>
              </w:rPr>
              <w:t>2.5%，</w:t>
            </w:r>
            <w:r>
              <w:rPr>
                <w:rFonts w:hint="eastAsia" w:ascii="宋体" w:hAnsi="宋体" w:cs="宋体"/>
                <w:snapToGrid w:val="0"/>
                <w:kern w:val="0"/>
                <w:szCs w:val="21"/>
                <w:highlight w:val="none"/>
                <w:u w:val="single"/>
                <w:lang w:val="en-US" w:eastAsia="zh-CN"/>
              </w:rPr>
              <w:t>流动比率1.82，</w:t>
            </w:r>
            <w:r>
              <w:rPr>
                <w:rFonts w:hint="eastAsia" w:ascii="宋体" w:hAnsi="宋体" w:cs="宋体"/>
                <w:snapToGrid w:val="0"/>
                <w:kern w:val="0"/>
                <w:szCs w:val="21"/>
                <w:highlight w:val="none"/>
                <w:u w:val="single"/>
              </w:rPr>
              <w:t>营收规模约1</w:t>
            </w:r>
            <w:r>
              <w:rPr>
                <w:rFonts w:hint="eastAsia" w:ascii="宋体" w:hAnsi="宋体" w:cs="宋体"/>
                <w:snapToGrid w:val="0"/>
                <w:kern w:val="0"/>
                <w:szCs w:val="21"/>
                <w:highlight w:val="none"/>
                <w:u w:val="single"/>
                <w:lang w:val="en-US" w:eastAsia="zh-CN"/>
              </w:rPr>
              <w:t>亿元，净利润494万元，经营现金流正向约791万</w:t>
            </w:r>
            <w:r>
              <w:rPr>
                <w:rFonts w:hint="eastAsia" w:ascii="宋体" w:hAnsi="宋体" w:cs="宋体"/>
                <w:snapToGrid w:val="0"/>
                <w:kern w:val="0"/>
                <w:szCs w:val="21"/>
                <w:highlight w:val="none"/>
                <w:u w:val="single"/>
              </w:rPr>
              <w:t>元，整体经营较为稳健。但综合效益具体数据缺失，建议补充相关材料后进一步评估。</w:t>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预计企业在我行可实现日均存款约30万元，折对公有效户年1户，全年结算量约8,0万元，企业员工可在我行签约代发，预计可带来年度发薪量约200万元，整体综合效益一般。企业2025年度营业收入约10,10万元，净利润约494万元，经营性现金流净额约791万元，整体盈利能力及经营现金流表现良好。企业主营智慧水利及智慧教育两大业务板块，其中智慧水利解决方案已在福建省内300余座水库成功应用，智慧教育与全国超1,000所高校建立合作关系，业务具有一定的区域竞争优势和客户黏性，预计可为我行带来稳定的结算资金沉淀。但企业目前短期借款余额4,730万元，期末货币资金仅286万元，资金周转较为依赖银行融资，叠加应收账款规模较大（约7,430万元），需关注其资金管理能力和偿债安排。综合效益提升空间主要取决于基本户开立及员工代发业务的渗透程度，建议后续加强营销力度，争取更多派生业务落地。</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借款原因说明：借款人主营业务为智慧水利及智慧教育解决方案，2025年度实现营业收入10010万元，净利润494万元，经营性现金流791万元，整体经营状况较为稳定。期末货币资金286万元，但应付账款1026万元、预收款项978万元，同时应收账款7430万元、存货2192万元，占用资金规模较大，日常营运资金周转存在一定缺口，故申请流动资金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（若申请中期流动资金贷款，请补充分析原因：）材料未提供中期流动资金贷款申请的相关信息，无法判断贷款期限结构安排。</w:t>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none"/>
                <w:lang w:val="en-US" w:eastAsia="zh-CN"/>
              </w:rPr>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根据流动资金需求测算，企业营运资金需求：3079万元。</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64AA94E5">
            <w:pPr>
              <w:pStyle w:val="11"/>
              <w:rPr>
                <w:rFonts w:hint="eastAsia"/>
              </w:rPr>
            </w:pPr>
          </w:p>
          <w:p w14:paraId="1970A0F7">
            <w:commentRangeStart w:id="9"/>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9"/>
            <w:r>
              <w:rPr>
                <w:rStyle w:val="CommentReference"/>
              </w:rPr>
              <w:commentReference w:id="9"/>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bCs/>
                <w:snapToGrid w:val="0"/>
                <w:kern w:val="0"/>
                <w:sz w:val="21"/>
                <w:szCs w:val="21"/>
                <w:highlight w:val="none"/>
                <w:u w:val="single"/>
                <w:lang w:val="en-US" w:eastAsia="zh-CN"/>
              </w:rPr>
            </w:r>
          </w:p>
          <w:p w14:paraId="0DEB130D">
            <w:commentRangeStart w:id="10"/>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commentRangeEnd w:id="10"/>
            <w:r>
              <w:rPr>
                <w:rStyle w:val="CommentReference"/>
              </w:rPr>
              <w:commentReference w:id="10"/>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kern w:val="0"/>
                <w:sz w:val="21"/>
                <w:szCs w:val="21"/>
                <w:highlight w:val="none"/>
                <w:lang w:val="en-US" w:eastAsia="zh-CN"/>
              </w:rPr>
              <w:t>相关</w:t>
            </w:r>
            <w:r>
              <w:rPr>
                <w:rFonts w:hint="eastAsia" w:ascii="宋体" w:hAnsi="宋体" w:cs="宋体"/>
                <w:snapToGrid w:val="0"/>
                <w:kern w:val="0"/>
                <w:sz w:val="21"/>
                <w:szCs w:val="21"/>
                <w:highlight w:val="none"/>
                <w:lang w:eastAsia="zh-CN"/>
              </w:rPr>
              <w:t>依据）</w:t>
            </w:r>
          </w:p>
          <w:p w14:paraId="5874C0C9">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本次授信未提供抵押物产证信息，材料中未见不动产抵押登记证明、房屋所有权证或土地使用证等担保物权属文件。</w:t>
            </w:r>
            <w:r>
              <w:rPr>
                <w:rFonts w:hint="eastAsia" w:ascii="宋体" w:hAnsi="宋体" w:eastAsia="宋体" w:cs="宋体"/>
                <w:b w:val="0"/>
                <w:bCs/>
                <w:kern w:val="2"/>
                <w:sz w:val="21"/>
                <w:szCs w:val="21"/>
                <w:highlight w:val="none"/>
              </w:rPr>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材料未提供抵押物的土地性质、出租情况及权利人其他住房等补充说明信息，无法判断是否存在土地性质非出让、已对外出租或个人非唯一住宅等影响担保效力的情况。</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①保证人基本信息：成立日期、注册资本及</w:t>
            </w:r>
            <w:r>
              <w:rPr>
                <w:rFonts w:hint="eastAsia" w:ascii="宋体" w:hAnsi="宋体" w:cs="宋体"/>
                <w:b w:val="0"/>
                <w:bCs/>
                <w:kern w:val="2"/>
                <w:sz w:val="21"/>
                <w:szCs w:val="21"/>
                <w:highlight w:val="none"/>
                <w:lang w:val="en-US" w:eastAsia="zh-CN"/>
              </w:rPr>
              <w:t>实收资本</w:t>
            </w:r>
            <w:r>
              <w:rPr>
                <w:rFonts w:hint="eastAsia" w:ascii="宋体" w:hAnsi="宋体" w:eastAsia="宋体" w:cs="宋体"/>
                <w:b w:val="0"/>
                <w:bCs/>
                <w:kern w:val="2"/>
                <w:sz w:val="21"/>
                <w:szCs w:val="21"/>
                <w:highlight w:val="none"/>
              </w:rPr>
              <w:t>、法人代表</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经营场所</w:t>
            </w:r>
            <w:r>
              <w:rPr>
                <w:rFonts w:hint="eastAsia" w:ascii="宋体" w:hAnsi="宋体" w:cs="宋体"/>
                <w:snapToGrid w:val="0"/>
                <w:color w:val="000000"/>
                <w:kern w:val="0"/>
                <w:szCs w:val="21"/>
                <w:highlight w:val="none"/>
                <w:lang w:val="en-US" w:eastAsia="zh-CN"/>
              </w:rPr>
              <w:t>（坐落地点</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场地面积</w:t>
            </w:r>
            <w:r>
              <w:rPr>
                <w:rFonts w:hint="eastAsia" w:ascii="宋体" w:hAnsi="宋体" w:cs="宋体"/>
                <w:snapToGrid w:val="0"/>
                <w:color w:val="000000"/>
                <w:kern w:val="0"/>
                <w:szCs w:val="21"/>
                <w:highlight w:val="none"/>
              </w:rPr>
              <w:t>、自有</w:t>
            </w:r>
            <w:r>
              <w:rPr>
                <w:rFonts w:hint="eastAsia" w:ascii="宋体" w:hAnsi="宋体" w:cs="宋体"/>
                <w:snapToGrid w:val="0"/>
                <w:color w:val="000000"/>
                <w:kern w:val="0"/>
                <w:szCs w:val="21"/>
                <w:highlight w:val="none"/>
                <w:lang w:val="en-US" w:eastAsia="zh-CN"/>
              </w:rPr>
              <w:t>或租用</w:t>
            </w:r>
            <w:r>
              <w:rPr>
                <w:rFonts w:hint="eastAsia" w:ascii="宋体" w:hAnsi="宋体" w:cs="宋体"/>
                <w:snapToGrid w:val="0"/>
                <w:color w:val="000000"/>
                <w:kern w:val="0"/>
                <w:szCs w:val="21"/>
                <w:highlight w:val="none"/>
              </w:rPr>
              <w:t>、是否</w:t>
            </w:r>
            <w:r>
              <w:rPr>
                <w:rFonts w:hint="eastAsia" w:ascii="宋体" w:hAnsi="宋体" w:cs="宋体"/>
                <w:snapToGrid w:val="0"/>
                <w:color w:val="000000"/>
                <w:kern w:val="0"/>
                <w:szCs w:val="21"/>
                <w:highlight w:val="none"/>
                <w:lang w:val="en-US" w:eastAsia="zh-CN"/>
              </w:rPr>
              <w:t>已对外</w:t>
            </w:r>
            <w:r>
              <w:rPr>
                <w:rFonts w:hint="eastAsia" w:ascii="宋体" w:hAnsi="宋体" w:cs="宋体"/>
                <w:snapToGrid w:val="0"/>
                <w:color w:val="000000"/>
                <w:kern w:val="0"/>
                <w:szCs w:val="21"/>
                <w:highlight w:val="none"/>
              </w:rPr>
              <w:t>抵押）</w:t>
            </w:r>
            <w:r>
              <w:rPr>
                <w:rFonts w:hint="eastAsia" w:ascii="宋体" w:hAnsi="宋体" w:eastAsia="宋体" w:cs="宋体"/>
                <w:b w:val="0"/>
                <w:bCs/>
                <w:kern w:val="2"/>
                <w:sz w:val="21"/>
                <w:szCs w:val="21"/>
                <w:highlight w:val="none"/>
              </w:rPr>
              <w:t>；</w:t>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专业担保公司担保的相关信息，未见担保公司准入审批文件、担保函或最新的担保公司财务数据（包括对外担保总额、我行担保余额、净资产及担保倍率等），无法判断本次担保是否符合我行专业担保公司准入要求。</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信用方式福建中锐网络股份有限公司主要从事智慧水利和智慧教育两大业务，2025年营业收入10,10万元，净利润494万元，资产负债率42.5%，流动比率1.82。公司短期借款余额4,730万元，货币资金仅286万元，期末现金及现金等价物净减少221万元，经营性现金流虽有正向流入（791万元），但整体资金链较为紧张。公司下游客户以政府部门及事业单位为主（涵江水利局、福清公路事业发展中心等），应收账款规模较大（7,429万元），回款周期较长，资金占用明显。实控人黄祖海持股比例较高且为公司董事长兼总裁，对公司经营决策具有较强控制力。综合考虑公司资产负债水平尚可、流动比率大于1.5，但现金流偏紧、应收账款占比较高，建议在信用方式基础上追加实际控制人连带责任保证担保，以增强风险缓释效果。</w:t>
            </w:r>
            <w:r>
              <w:rPr>
                <w:rFonts w:hint="eastAsia" w:ascii="宋体" w:hAnsi="宋体" w:eastAsia="宋体" w:cs="宋体"/>
                <w:b/>
                <w:sz w:val="21"/>
                <w:szCs w:val="21"/>
                <w:highlight w:val="none"/>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lang w:val="en-US" w:eastAsia="zh-CN"/>
              </w:rPr>
            </w:r>
            <w:r>
              <w:rPr>
                <w:rFonts w:hint="eastAsia" w:ascii="宋体" w:hAnsi="宋体" w:eastAsia="宋体" w:cs="宋体"/>
                <w:i w:val="0"/>
                <w:iCs w:val="0"/>
                <w:caps w:val="0"/>
                <w:spacing w:val="0"/>
                <w:kern w:val="2"/>
                <w:sz w:val="21"/>
                <w:szCs w:val="21"/>
                <w:highlight w:val="none"/>
                <w:lang w:val="en-US" w:eastAsia="zh-CN" w:bidi="ar-SA"/>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rPr>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w:t>
            </w:r>
            <w:r>
              <w:rPr>
                <w:rFonts w:hint="eastAsia" w:ascii="宋体" w:hAnsi="宋体" w:cs="宋体"/>
                <w:b/>
                <w:bCs/>
                <w:snapToGrid w:val="0"/>
                <w:kern w:val="0"/>
                <w:szCs w:val="21"/>
                <w:highlight w:val="none"/>
                <w:lang w:val="en-US" w:eastAsia="zh-CN"/>
              </w:rPr>
              <w:t>十一</w:t>
            </w:r>
            <w:r>
              <w:rPr>
                <w:rFonts w:hint="eastAsia" w:ascii="宋体" w:hAnsi="宋体" w:cs="宋体"/>
                <w:b/>
                <w:bCs/>
                <w:snapToGrid w:val="0"/>
                <w:kern w:val="0"/>
                <w:szCs w:val="21"/>
                <w:highlight w:val="none"/>
              </w:rPr>
              <w:t>）经营单位授信申报</w:t>
            </w:r>
            <w:r>
              <w:rPr>
                <w:rFonts w:hint="eastAsia" w:ascii="宋体" w:hAnsi="宋体" w:cs="宋体"/>
                <w:b/>
                <w:bCs/>
                <w:snapToGrid w:val="0"/>
                <w:kern w:val="0"/>
                <w:szCs w:val="21"/>
                <w:highlight w:val="none"/>
                <w:lang w:val="en-US" w:eastAsia="zh-CN"/>
              </w:rPr>
              <w:t>结论及</w:t>
            </w:r>
            <w:r>
              <w:rPr>
                <w:rFonts w:hint="eastAsia" w:ascii="宋体" w:hAnsi="宋体" w:cs="宋体"/>
                <w:b/>
                <w:bCs/>
                <w:snapToGrid w:val="0"/>
                <w:kern w:val="0"/>
                <w:szCs w:val="21"/>
                <w:highlight w:val="none"/>
              </w:rPr>
              <w:t>方案：</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u w:val="single"/>
                <w:lang w:val="en-US" w:eastAsia="zh-CN"/>
              </w:rPr>
              <w:t>围绕“现金流、杠杆率、可持续、垒小户、配结算、强担保”六要素展开</w:t>
            </w:r>
            <w:r>
              <w:rPr>
                <w:rFonts w:hint="eastAsia" w:ascii="宋体" w:hAnsi="宋体" w:cs="宋体"/>
                <w:b/>
                <w:bCs/>
                <w:snapToGrid w:val="0"/>
                <w:kern w:val="0"/>
                <w:szCs w:val="21"/>
                <w:highlight w:val="none"/>
                <w:u w:val="single"/>
              </w:rPr>
              <w:t xml:space="preserve"> </w:t>
            </w:r>
            <w:r>
              <w:rPr>
                <w:rFonts w:hint="eastAsia" w:ascii="宋体" w:hAnsi="宋体" w:cs="宋体"/>
                <w:b/>
                <w:bCs/>
                <w:snapToGrid w:val="0"/>
                <w:kern w:val="0"/>
                <w:szCs w:val="21"/>
                <w:highlight w:val="none"/>
                <w:u w:val="single"/>
                <w:lang w:eastAsia="zh-CN"/>
              </w:rPr>
              <w:t>，</w:t>
            </w:r>
            <w:r>
              <w:rPr>
                <w:rFonts w:hint="eastAsia" w:ascii="宋体" w:hAnsi="宋体" w:cs="宋体"/>
                <w:b/>
                <w:bCs/>
                <w:snapToGrid w:val="0"/>
                <w:kern w:val="0"/>
                <w:szCs w:val="21"/>
                <w:highlight w:val="none"/>
                <w:u w:val="single"/>
                <w:lang w:val="en-US" w:eastAsia="zh-CN"/>
              </w:rPr>
              <w:t>基于“六要素”综合评判客户是否准入，如何设置合理授信方案及贷后管控措施）</w:t>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w:t>
            </w:r>
            <w:r>
              <w:rPr>
                <w:rFonts w:hint="eastAsia" w:ascii="宋体" w:hAnsi="宋体" w:eastAsia="宋体" w:cs="宋体"/>
                <w:snapToGrid w:val="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w:t>
            </w:r>
            <w:r>
              <w:rPr>
                <w:rFonts w:hint="eastAsia" w:ascii="宋体" w:hAnsi="宋体" w:eastAsia="宋体" w:cs="宋体"/>
                <w:snapToGrid w:val="0"/>
                <w:kern w:val="0"/>
                <w:szCs w:val="21"/>
                <w:highlight w:val="none"/>
                <w:u w:val="single"/>
                <w:lang w:val="en-US" w:eastAsia="zh-CN"/>
              </w:rPr>
              <w:t>借款人负债率一般在65-70%之间，流动比在1.4-1.5，整体比较稳定，综合评判该公司具备偿还贷款本息的能力。</w:t>
            </w:r>
          </w:p>
          <w:p w14:paraId="1882DF71">
            <w:commentRangeStart w:id="1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w:t>
            </w:r>
            <w:r>
              <w:rPr>
                <w:rFonts w:hint="eastAsia" w:ascii="宋体" w:hAnsi="宋体" w:eastAsia="宋体" w:cs="宋体"/>
                <w:snapToGrid w:val="0"/>
                <w:kern w:val="0"/>
                <w:szCs w:val="21"/>
                <w:highlight w:val="none"/>
                <w:u w:val="single"/>
                <w:lang w:val="en-US" w:eastAsia="zh-CN"/>
              </w:rPr>
              <w:t>借款人成立时间较长，技术先进，订单稳定，部分订单会外发加工，产能已满负荷，2025年正在考虑扩大经营地增加产能，公司人员配备齐全，现有240多名员工，其法人就是该公司的技术骨干，研发团队领头人均是从事____行业多年的专业人员，公司可持续性发展趋势良好。</w:t>
            </w:r>
            <w:commentRangeEnd w:id="12"/>
            <w:r>
              <w:rPr>
                <w:rStyle w:val="CommentReference"/>
              </w:rPr>
              <w:commentReference w:id="12"/>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上</w:t>
            </w:r>
            <w:r>
              <w:rPr>
                <w:rFonts w:hint="eastAsia" w:ascii="宋体" w:hAnsi="宋体" w:eastAsia="宋体" w:cs="宋体"/>
                <w:b/>
                <w:bCs/>
                <w:snapToGrid w:val="0"/>
                <w:kern w:val="0"/>
                <w:szCs w:val="21"/>
                <w:highlight w:val="none"/>
                <w:u w:val="single"/>
                <w:lang w:val="en-US" w:eastAsia="zh-CN"/>
              </w:rPr>
              <w:t>游供应商主要包括：</w:t>
            </w:r>
            <w:r>
              <w:rPr>
                <w:rFonts w:hint="eastAsia" w:ascii="宋体" w:hAnsi="宋体" w:eastAsia="宋体" w:cs="宋体"/>
                <w:snapToGrid w:val="0"/>
                <w:kern w:val="0"/>
                <w:szCs w:val="21"/>
                <w:highlight w:val="none"/>
                <w:u w:val="single"/>
                <w:lang w:val="en-US" w:eastAsia="zh-CN"/>
              </w:rPr>
              <w:t>锐捷网络股份有限公司、北京星链南天科技有限公司、广州浩瀚星图信息技术有限公司、新天科技股份有限公司、精导信息技术有限公司司等。下游客户主要包括：涵江水利局、福建省翔远电子科技有限公司、三明水利水电工程有限公司顺昌分公司、福州市福清公路事业发展中心、济南展雄电子有限公司等。</w:t>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w:t>
            </w:r>
            <w:r>
              <w:rPr>
                <w:rFonts w:hint="eastAsia" w:ascii="宋体" w:hAnsi="宋体" w:eastAsia="宋体" w:cs="宋体"/>
                <w:snapToGrid w:val="0"/>
                <w:kern w:val="0"/>
                <w:szCs w:val="21"/>
                <w:highlight w:val="none"/>
                <w:u w:val="single"/>
                <w:lang w:val="en-US" w:eastAsia="zh-CN"/>
              </w:rPr>
              <w:t>借款人在我行开户时间较长，由于近两年在我行贷款提用不多，整体结算减少，后续将加强营销结算和代发业务。</w:t>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强担保：该公司名下无房产，我行此次申请授信敞口1000万元，其中500万元由实控人黄祖海个人房产抵押，剩余500万元为信用方式，并追加黄祖海个人连带责任保证担保。</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基于以上六要素综合评判，借款人予以准入。</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3"/>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借款人授信敞口1000万元，____     。</w:t>
            </w:r>
            <w:r>
              <w:rPr>
                <w:rFonts w:hint="eastAsia" w:ascii="宋体" w:hAnsi="宋体" w:cs="宋体"/>
                <w:b/>
                <w:kern w:val="2"/>
                <w:sz w:val="21"/>
                <w:szCs w:val="21"/>
                <w:highlight w:val="none"/>
                <w:u w:val="single"/>
                <w:lang w:val="en-US" w:eastAsia="zh-CN"/>
              </w:rPr>
              <w:t xml:space="preserve"> </w:t>
            </w:r>
            <w:commentRangeEnd w:id="13"/>
            <w:r>
              <w:rPr>
                <w:rStyle w:val="CommentReference"/>
              </w:rPr>
              <w:commentReference w:id="13"/>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材料未提供相关信息，无法撰写。</w:t>
            </w:r>
            <w:r>
              <w:rPr>
                <w:rFonts w:hint="eastAsia" w:ascii="宋体" w:hAnsi="宋体" w:cs="宋体"/>
                <w:snapToGrid w:val="0"/>
                <w:kern w:val="0"/>
                <w:szCs w:val="21"/>
                <w:u w:val="single"/>
              </w:rPr>
            </w:r>
            <w:r>
              <w:rPr>
                <w:rFonts w:hint="eastAsia" w:ascii="宋体" w:hAnsi="宋体" w:cs="宋体"/>
                <w:snapToGrid w:val="0"/>
                <w:kern w:val="0"/>
                <w:szCs w:val="21"/>
              </w:rPr>
            </w:r>
            <w:r>
              <w:rPr>
                <w:rFonts w:hint="eastAsia" w:ascii="宋体" w:hAnsi="宋体" w:cs="宋体"/>
                <w:snapToGrid w:val="0"/>
                <w:kern w:val="0"/>
                <w:szCs w:val="21"/>
                <w:lang w:val="en-US" w:eastAsia="zh-CN"/>
              </w:rPr>
            </w:r>
            <w:r>
              <w:rPr>
                <w:rFonts w:hint="eastAsia" w:ascii="宋体" w:hAnsi="宋体" w:cs="宋体"/>
                <w:snapToGrid w:val="0"/>
                <w:kern w:val="0"/>
                <w:szCs w:val="21"/>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6AC425A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材料未提供相关信息，无法撰写。</w:t>
            </w:r>
            <w:r>
              <w:rPr>
                <w:rFonts w:hint="eastAsia" w:ascii="宋体" w:hAnsi="宋体" w:cs="宋体"/>
                <w:b w:val="0"/>
                <w:bCs/>
                <w:i w:val="0"/>
                <w:iCs w:val="0"/>
                <w:snapToGrid w:val="0"/>
                <w:color w:val="000000"/>
                <w:kern w:val="0"/>
                <w:sz w:val="21"/>
                <w:szCs w:val="21"/>
                <w:lang w:val="en-US" w:eastAsia="zh-CN" w:bidi="ar-SA"/>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none"/>
              </w:rPr>
            </w:r>
            <w:r>
              <w:rPr>
                <w:rFonts w:hint="eastAsia" w:ascii="宋体" w:hAnsi="宋体" w:cs="宋体"/>
                <w:snapToGrid w:val="0"/>
                <w:kern w:val="0"/>
                <w:szCs w:val="21"/>
                <w:u w:val="none"/>
                <w:lang w:val="en-US" w:eastAsia="zh-CN"/>
              </w:rPr>
            </w:r>
            <w:r>
              <w:rPr>
                <w:rFonts w:hint="eastAsia" w:ascii="宋体" w:hAnsi="宋体" w:cs="宋体"/>
                <w:snapToGrid w:val="0"/>
                <w:kern w:val="0"/>
                <w:szCs w:val="21"/>
              </w:rPr>
            </w:r>
            <w:r>
              <w:rPr>
                <w:rFonts w:hint="eastAsia" w:ascii="宋体" w:hAnsi="宋体" w:cs="宋体"/>
                <w:snapToGrid w:val="0"/>
                <w:kern w:val="0"/>
                <w:szCs w:val="21"/>
                <w:u w:val="single"/>
              </w:rPr>
            </w:r>
          </w:p>
          <w:p w14:paraId="2FC82B07">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材料未提供相关信息，无法撰写。</w:t>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none"/>
                <w:lang w:val="en-US" w:eastAsia="zh-CN"/>
              </w:rPr>
            </w:r>
            <w:r>
              <w:rPr>
                <w:rFonts w:hint="eastAsia" w:ascii="宋体" w:hAnsi="宋体" w:cs="宋体"/>
                <w:snapToGrid w:val="0"/>
                <w:kern w:val="0"/>
                <w:szCs w:val="21"/>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269107E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材料未提供相关信息，无法撰写。</w:t>
            </w:r>
            <w:r>
              <w:rPr>
                <w:rFonts w:hint="eastAsia" w:ascii="宋体" w:hAnsi="宋体" w:cs="宋体"/>
                <w:snapToGrid w:val="0"/>
                <w:kern w:val="0"/>
                <w:szCs w:val="21"/>
                <w:u w:val="single"/>
              </w:rPr>
            </w:r>
            <w:r>
              <w:rPr>
                <w:rFonts w:hint="eastAsia" w:ascii="宋体" w:hAnsi="宋体" w:cs="宋体"/>
                <w:snapToGrid w:val="0"/>
                <w:kern w:val="0"/>
                <w:szCs w:val="21"/>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3096CC3B">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材料未提供相关信息，无法撰写。</w:t>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材料未提供相关信息，无法撰写。</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color w:val="000000"/>
                <w:kern w:val="0"/>
                <w:szCs w:val="21"/>
                <w:highlight w:val="none"/>
              </w:rPr>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材料未提供相关信息，无法撰写。</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材料未提供相关信息，无法撰写。</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材料未提供相关信息，无法撰写。</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07T15:09:50Z" w:initials="Agent">
    <w:p>
      <w:r>
        <w:rPr>
          <w:rStyle w:val="CommentReference"/>
        </w:rPr>
        <w:annotationRef/>
      </w:r>
      <w:r>
        <w:t xml:space="preserve">该处“申报单位”仍为空白，请人工确认。</w:t>
      </w:r>
    </w:p>
  </w:comment>
  <w:comment w:id="1" w:author="信贷报告 Agent" w:date="2026-04-07T15:09:50Z" w:initials="Agent">
    <w:p>
      <w:r>
        <w:rPr>
          <w:rStyle w:val="CommentReference"/>
        </w:rPr>
        <w:annotationRef/>
      </w:r>
      <w:r>
        <w:t xml:space="preserve">该处“小类）”仍为空白，请人工确认。</w:t>
      </w:r>
    </w:p>
  </w:comment>
  <w:comment w:id="2" w:author="信贷报告 Agent" w:date="2026-04-07T15:09:50Z" w:initials="Agent">
    <w:p>
      <w:r>
        <w:rPr>
          <w:rStyle w:val="CommentReference"/>
        </w:rPr>
        <w:annotationRef/>
      </w:r>
      <w:r>
        <w:t xml:space="preserve">该处“绿通标识”仍为空白，请人工确认。</w:t>
      </w:r>
    </w:p>
  </w:comment>
  <w:comment w:id="3" w:author="信贷报告 Agent" w:date="2026-04-07T15:09:50Z" w:initials="Agent">
    <w:p>
      <w:r>
        <w:rPr>
          <w:rStyle w:val="CommentReference"/>
        </w:rPr>
        <w:annotationRef/>
      </w:r>
      <w:r>
        <w:t xml:space="preserve">该处“过往两年企业股权变动情况及变动原因”仍为空白，请人工确认。</w:t>
      </w:r>
    </w:p>
  </w:comment>
  <w:comment w:id="4" w:author="信贷报告 Agent" w:date="2026-04-07T15:09:50Z" w:initials="Agent">
    <w:p>
      <w:r>
        <w:rPr>
          <w:rStyle w:val="CommentReference"/>
        </w:rPr>
        <w:annotationRef/>
      </w:r>
      <w:r>
        <w:t xml:space="preserve">该处“分析原因”仍为空白，请人工确认。</w:t>
      </w:r>
    </w:p>
  </w:comment>
  <w:comment w:id="5" w:author="信贷报告 Agent" w:date="2026-04-07T15:09:50Z" w:initials="Agent">
    <w:p>
      <w:r>
        <w:rPr>
          <w:rStyle w:val="CommentReference"/>
        </w:rPr>
        <w:annotationRef/>
      </w:r>
      <w:r>
        <w:t xml:space="preserve">该处“最近三年现金流量表分析”仍为空白，请人工确认。</w:t>
      </w:r>
    </w:p>
  </w:comment>
  <w:comment w:id="6" w:author="信贷报告 Agent" w:date="2026-04-07T15:09:50Z" w:initials="Agent">
    <w:p>
      <w:r>
        <w:rPr>
          <w:rStyle w:val="CommentReference"/>
        </w:rPr>
        <w:annotationRef/>
      </w:r>
      <w:r>
        <w:t xml:space="preserve">该处“（若有）对外担保情况”仍为空白，请人工确认。</w:t>
      </w:r>
    </w:p>
  </w:comment>
  <w:comment w:id="7" w:author="信贷报告 Agent" w:date="2026-04-07T15:09:50Z" w:initials="Agent">
    <w:p>
      <w:r>
        <w:rPr>
          <w:rStyle w:val="CommentReference"/>
        </w:rPr>
        <w:annotationRef/>
      </w:r>
      <w:r>
        <w:t xml:space="preserve">该处“（若有）不良记录情况”仍为空白，请人工确认。</w:t>
      </w:r>
    </w:p>
  </w:comment>
  <w:comment w:id="8" w:author="信贷报告 Agent" w:date="2026-04-07T15:09:50Z" w:initials="Agent">
    <w:p>
      <w:r>
        <w:rPr>
          <w:rStyle w:val="CommentReference"/>
        </w:rPr>
        <w:annotationRef/>
      </w:r>
      <w:r>
        <w:t xml:space="preserve">该处“科技型企业评分”仍为空白，请人工确认。</w:t>
      </w:r>
    </w:p>
  </w:comment>
  <w:comment w:id="9" w:author="信贷报告 Agent" w:date="2026-04-07T15:09:50Z" w:initials="Agent">
    <w:p>
      <w:r>
        <w:rPr>
          <w:rStyle w:val="CommentReference"/>
        </w:rPr>
        <w:annotationRef/>
      </w:r>
      <w:r>
        <w:t xml:space="preserve">该处“请补充说明”仍为空白，请人工确认。</w:t>
      </w:r>
    </w:p>
  </w:comment>
  <w:comment w:id="10" w:author="信贷报告 Agent" w:date="2026-04-07T15:09:50Z" w:initials="Agent">
    <w:p>
      <w:r>
        <w:rPr>
          <w:rStyle w:val="CommentReference"/>
        </w:rPr>
        <w:annotationRef/>
      </w:r>
      <w:r>
        <w:t xml:space="preserve">该处“质押物变现能力分析及其他渠道现金流分析）”仍为空白，请人工确认。</w:t>
      </w:r>
    </w:p>
  </w:comment>
  <w:comment w:id="11" w:author="信贷报告 Agent" w:date="2026-04-07T15:09:50Z" w:initials="Agent">
    <w:p>
      <w:r>
        <w:rPr>
          <w:rStyle w:val="CommentReference"/>
        </w:rPr>
        <w:annotationRef/>
      </w:r>
      <w:r>
        <w:t xml:space="preserve">该处“变动原因”仍为空白，请人工确认。</w:t>
      </w:r>
    </w:p>
  </w:comment>
  <w:comment w:id="12" w:author="信贷报告 Agent" w:date="2026-04-07T15:09:50Z" w:initials="Agent">
    <w:p>
      <w:r>
        <w:rPr>
          <w:rStyle w:val="CommentReference"/>
        </w:rPr>
        <w:annotationRef/>
      </w:r>
      <w:r>
        <w:t xml:space="preserve">该处“研发团队领头人均是从事”仍为空白，请人工确认。</w:t>
      </w:r>
    </w:p>
  </w:comment>
  <w:comment w:id="13" w:author="信贷报告 Agent" w:date="2026-04-07T15:09:50Z" w:initials="Agent">
    <w:p>
      <w:r>
        <w:rPr>
          <w:rStyle w:val="CommentReference"/>
        </w:rPr>
        <w:annotationRef/>
      </w:r>
      <w:r>
        <w:t xml:space="preserve">该处“2.申报授信方案： 拟申请给予借款人授信”仍为空白，请人工确认。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