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福建中锐网络股份有限公司主营业务为智慧水利与智慧教育解决方案的提供与实施。公司2025年末总资产为1.70亿元，资产负债率为42.5%，负债结构以流动负债为主。公司2025年实现营业收入1.00亿元，净利润494万元，经营活动现金流净额为791万元，显示其主营业务具备一定的盈利能力和现金生成能力。</w:t>
            </w:r>
            <w:r>
              <w:rPr>
                <w:rFonts w:hint="eastAsia" w:ascii="宋体" w:hAnsi="宋体" w:cs="宋体"/>
                <w:snapToGrid w:val="0"/>
                <w:color w:val="000000"/>
                <w:kern w:val="0"/>
                <w:szCs w:val="21"/>
              </w:rPr>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0"/>
            <w:r>
              <w:rPr>
                <w:rStyle w:val="CommentReference"/>
              </w:rPr>
              <w:commentReference w:id="0"/>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公司2025年末短期借款余额为4730万元，占流动负债的65.6%，是公司最主要的融资来源。2025年公司筹资活动现金净流出426万元，主要为偿还债务及支付利息。材料未提供本次申请授信的具体金额与用途，无法评估新增融资对公司债务结构及偿债能力的具体影响。</w:t>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公司2025年末流动资产为1.31亿元，流动负债为7207万元，流动比率为1.82，速动比率（扣除存货后）约为1.51，短期偿债指标处于可接受水平。但需关注其流动资产中应收账款和其他应收款合计达1.02亿元，占流动资产总额的77.8%，资产流动性受回款进度影响较大。</w:t>
            </w:r>
            <w:r>
              <w:rPr>
                <w:rFonts w:hint="eastAsia" w:ascii="宋体" w:hAnsi="宋体" w:cs="宋体"/>
                <w:b/>
                <w:bCs/>
                <w:snapToGrid w:val="0"/>
                <w:color w:val="000000"/>
                <w:kern w:val="0"/>
                <w:szCs w:val="21"/>
              </w:rPr>
            </w:r>
            <w:r>
              <w:rPr>
                <w:rFonts w:hint="eastAsia" w:ascii="宋体" w:hAnsi="宋体" w:eastAsia="宋体" w:cs="宋体"/>
                <w:b/>
                <w:bCs/>
                <w:snapToGrid w:val="0"/>
                <w:kern w:val="0"/>
                <w:szCs w:val="21"/>
                <w:lang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eastAsia="zh-CN"/>
              </w:rPr>
            </w:r>
            <w:r>
              <w:rPr>
                <w:rFonts w:hint="eastAsia" w:ascii="宋体" w:hAnsi="宋体" w:cs="宋体"/>
                <w:b/>
                <w:bCs/>
                <w:snapToGrid w:val="0"/>
                <w:color w:val="000000"/>
                <w:kern w:val="0"/>
                <w:szCs w:val="21"/>
              </w:rPr>
            </w:r>
            <w:r>
              <w:rPr>
                <w:rFonts w:hint="eastAsia" w:ascii="宋体" w:hAnsi="宋体" w:cs="宋体"/>
                <w:b/>
                <w:bCs/>
                <w:snapToGrid w:val="0"/>
                <w:color w:val="000000"/>
                <w:kern w:val="0"/>
                <w:szCs w:val="21"/>
                <w:u w:val="single"/>
                <w:lang w:val="en-US" w:eastAsia="zh-CN"/>
              </w:rPr>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公司2025年营业收入为1.00亿元，较2024年的8712万元增长14.9%，显示业务规模有所恢复。净利润为494万元，销售净利率约为4.9%。从现金流量看，2025年经营活动现金净流入791万元，与净利润规模基本匹配，主营业务回款情况尚可。但公司2024年经营活动现金流为净流出896万元，经营现金流的稳定性需持续关注。</w:t>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napToGrid w:val="0"/>
                <w:kern w:val="0"/>
                <w:szCs w:val="21"/>
                <w:lang w:val="en-US" w:eastAsia="zh-CN"/>
              </w:rPr>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18575万元；上年度销售额 8712万元；上年度末员工人数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公司实际控制人为黄祖海。根据2023年至2025年审计报告，财务报表均由德赢（福建）会计师事务所审计，并出具了标准无保留意见。2023年公司实际缴纳各项税费合计约439万元。上述纳税记录表明公司具备持续经营和履行纳税义务的能力。</w:t>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eastAsia="宋体" w:cs="宋体"/>
                <w:b/>
                <w:bCs/>
                <w:strike w:val="0"/>
                <w:dstrike w:val="0"/>
                <w:sz w:val="21"/>
                <w:szCs w:val="21"/>
                <w:highlight w:val="none"/>
                <w:lang w:val="en-US" w:eastAsia="zh-CN"/>
              </w:rPr>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主要风险点集中于资产流动性与债务结构。一是应收账款规模较大，2025年末达7430万元，占营业收入的74.2%，存在一定的资金占用和坏账风险。二是公司对银行短期借款依赖度较高，4730万元短期借款面临集中到期偿付压力。三是公司2025年末货币资金仅286万元，相对于短期债务规模，即期支付能力偏弱。偿债能力将主要依赖于经营回款和再融资接续。</w:t>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lang w:eastAsia="zh-CN"/>
              </w:rPr>
            </w:r>
          </w:p>
          <w:p w14:paraId="11732687">
            <w:commentRangeStart w:id="1"/>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企业注册地址为福州市马尾区罗星东路2号海峡经贸广场1#楼A615室（自贸试验区内），生产经营地址为福州保税区综合大楼15层20#（自贸试验区内）。材料未提供经营场所的面积、权属（自有或租用）及抵押情况。</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材料未提供企业成立时间、注册资本等基本信息。</w:t>
            </w:r>
            <w:r>
              <w:rPr>
                <w:rFonts w:hint="eastAsia" w:ascii="宋体" w:hAnsi="宋体" w:eastAsia="宋体" w:cs="宋体"/>
                <w:b/>
                <w:bCs/>
                <w:sz w:val="21"/>
                <w:szCs w:val="21"/>
                <w:highlight w:val="non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z w:val="21"/>
                <w:szCs w:val="21"/>
                <w:highlight w:val="none"/>
                <w:lang w:val="en-US" w:eastAsia="zh-CN"/>
              </w:rPr>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企业主营业务聚焦于智慧水利与智慧教育两大领域。智慧水利业务方面，公司提供涵盖水灾害、水工程、水资源、水生态水环境、水监督、水政务等六大重点应用的解决方案。智慧教育业务方面，公司聚焦网络、人工智能、智慧行业领域，提供数字人才培养解决方案，致力于对接产业与院校人才需求。</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t>。</w:t>
            </w:r>
            <w:commentRangeEnd w:id="2"/>
            <w:r>
              <w:rPr>
                <w:rStyle w:val="CommentReference"/>
              </w:rPr>
              <w:commentReference w:id="2"/>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commentRangeStart w:id="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股权穿透后实际控制人持股比例：</w:t>
            </w:r>
            <w:r>
              <w:rPr>
                <w:rFonts w:hint="eastAsia" w:ascii="宋体" w:hAnsi="宋体" w:cs="宋体"/>
                <w:snapToGrid w:val="0"/>
                <w:kern w:val="0"/>
                <w:szCs w:val="21"/>
                <w:highlight w:val="none"/>
                <w:u w:val="single"/>
                <w:lang w:val="en-US" w:eastAsia="zh-CN"/>
              </w:rPr>
              <w:t>实控人黄祖海，持股比例____%。</w:t>
            </w:r>
            <w:commentRangeEnd w:id="3"/>
            <w:r>
              <w:rPr>
                <w:rStyle w:val="CommentReference"/>
              </w:rPr>
              <w:commentReference w:id="3"/>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材料未提供企业股权结构、主要股东及关联企业信息。</w:t>
            </w:r>
            <w:r>
              <w:rPr>
                <w:rFonts w:hint="eastAsia" w:ascii="宋体" w:hAnsi="宋体" w:cs="宋体"/>
                <w:snapToGrid w:val="0"/>
                <w:color w:val="000000"/>
                <w:kern w:val="0"/>
                <w:szCs w:val="21"/>
              </w:rPr>
            </w:r>
            <w:r>
              <w:rPr>
                <w:rFonts w:hint="eastAsia" w:ascii="宋体" w:hAnsi="宋体" w:cs="宋体"/>
                <w:bCs/>
                <w:snapToGrid w:val="0"/>
                <w:color w:val="000000"/>
                <w:kern w:val="0"/>
                <w:szCs w:val="21"/>
                <w:u w:val="single"/>
              </w:rPr>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材料未提供对实际控制人黄祖海的面访记录，包括面访时间、参与人员及对其经营风格、行业经验等方面的评价。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材料未提供实地走访企业生产经营场所的观察记录，包括车间运作、存货状况及内部管理等情况。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材料未提供企业高管团队、组织架构及员工规模等信息。</w:t>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napToGrid w:val="0"/>
                <w:kern w:val="0"/>
                <w:szCs w:val="21"/>
                <w:highlight w:val="none"/>
              </w:rPr>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2025年12月31日 日，经531系统查询，借款人 2025 年 12 月   日提贷 0万元，到期日 2025 年 12 月   日，贷款采取自主支付方式发放，通过调取借款人账户流水，1. 0万元向 福建中锐网络股份有限公司 有限公司支付 福建中锐网络股份有限公司 货款（已提供发票）；2. 0万元转至工行同户名账户，穿透查看用于向 0 个人支付采购竹刨花原料款 0万元，其余用于支付税款；3.____万元元转至农行同户名账户(基本户），用于向37个员工支付工资款。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授信条件1</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授信条件2</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贷后要求1</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贷后要求2</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根据提供的审计报告，企业2023年度及2024年度财务报表均经德赢（福建）会计师事务所审计，并出具了标准无保留意见。材料未显示企业存在重大诉讼、行政处罚、反洗钱高风险等级或ESG负面评价等信息。</w:t>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材料未提供企业征信报告、对外担保、重大合同等其他需说明的信息。</w:t>
            </w:r>
            <w:r>
              <w:rPr>
                <w:rFonts w:hint="eastAsia" w:ascii="宋体" w:hAnsi="宋体" w:cs="宋体"/>
                <w:bCs/>
                <w:snapToGrid w:val="0"/>
                <w:color w:val="000000"/>
                <w:kern w:val="0"/>
                <w:szCs w:val="21"/>
                <w:highlight w:val="none"/>
                <w:u w:val="none"/>
                <w:lang w:val="en-US" w:eastAsia="zh-CN"/>
              </w:rPr>
            </w:r>
            <w:r>
              <w:rPr>
                <w:rFonts w:hint="eastAsia" w:ascii="宋体" w:hAnsi="宋体" w:eastAsia="宋体" w:cs="宋体"/>
                <w:b/>
                <w:bCs/>
                <w:snapToGrid w:val="0"/>
                <w:color w:val="000000"/>
                <w:kern w:val="0"/>
                <w:szCs w:val="21"/>
                <w:highlight w:val="none"/>
                <w:lang w:val="en-US" w:eastAsia="zh-CN"/>
              </w:rPr>
            </w:r>
            <w:r>
              <w:rPr>
                <w:rFonts w:hint="eastAsia" w:ascii="宋体" w:hAnsi="宋体" w:cs="宋体"/>
                <w:b/>
                <w:snapToGrid w:val="0"/>
                <w:color w:val="000000"/>
                <w:kern w:val="0"/>
                <w:szCs w:val="21"/>
                <w:u w:val="single"/>
                <w:lang w:val="en-US" w:eastAsia="zh-CN"/>
              </w:rPr>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材料未提供法定代表人信息，无法对其个人背景、从业经历及管理能力进行评估。</w:t>
            </w:r>
            <w:r>
              <w:rPr>
                <w:rFonts w:hint="eastAsia" w:ascii="宋体" w:hAnsi="宋体" w:cs="宋体"/>
                <w:b/>
                <w:snapToGrid w:val="0"/>
                <w:kern w:val="0"/>
                <w:szCs w:val="21"/>
              </w:rPr>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材料未提供法定代表人信息，无法对其个人背景、从业经历及管理能力进行评估。</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实际控制人：黄祖海，中国国籍，福建福州人。材料未提供其出生年份、婚姻状况、学历及过往从业任职经历等详细信息，无法对其行业经验、管理能力及个人信用状况进行深入评估。</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材料未提供借款人及实际控制人黄祖海的家庭资产情况，包括房产、投资、金融资产等具体信息。该信息缺失使得银行无法评估其个人财富实力、偿债意愿及在借款人经营困难时提供个人连带责任担保或资金支持的可能性，增加了授信决策中关于第二还款来源评估的不确定性。</w:t>
            </w:r>
            <w:r>
              <w:rPr>
                <w:rFonts w:hint="eastAsia" w:ascii="宋体" w:hAnsi="宋体" w:cs="宋体"/>
                <w:b/>
                <w:bCs/>
                <w:snapToGrid w:val="0"/>
                <w:color w:val="auto"/>
                <w:kern w:val="0"/>
                <w:szCs w:val="21"/>
                <w:highlight w:val="none"/>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000000"/>
                <w:kern w:val="0"/>
                <w:szCs w:val="21"/>
              </w:rPr>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出租，出租方陈独熹公司/个人，年租金____万元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kern w:val="0"/>
                <w:szCs w:val="21"/>
                <w:highlight w:val="none"/>
                <w:u w:val="single"/>
              </w:rPr>
              <w:t>企业关联方众多，但仅关联企业1、2有实际经营，总体经营规模不大，与借款企业存在少量关联交易、资金往来。</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commentRangeStart w:id="4"/>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集团内因生产工艺等原因，互有关联销售，合计在____亿左右，剔除关联交易后，集团整体销售约____亿。</w:t>
            </w:r>
            <w:commentRangeEnd w:id="4"/>
            <w:r>
              <w:rPr>
                <w:rStyle w:val="CommentReference"/>
              </w:rPr>
              <w:commentReference w:id="4"/>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kern w:val="0"/>
                <w:szCs w:val="21"/>
                <w:highlight w:val="none"/>
                <w:u w:val="single"/>
              </w:rPr>
              <w:t>主营芯片设计，主要销售的芯片为28nm级，产品主要</w:t>
            </w:r>
            <w:r>
              <w:rPr>
                <w:rFonts w:hint="eastAsia" w:ascii="宋体" w:hAnsi="宋体" w:cs="宋体"/>
                <w:snapToGrid w:val="0"/>
                <w:kern w:val="0"/>
                <w:szCs w:val="21"/>
                <w:highlight w:val="none"/>
                <w:u w:val="single"/>
                <w:lang w:val="en-US" w:eastAsia="zh-CN"/>
              </w:rPr>
              <w:t>用于智慧水利、智慧教育</w:t>
            </w:r>
            <w:r>
              <w:rPr>
                <w:rFonts w:hint="eastAsia" w:ascii="宋体" w:hAnsi="宋体" w:cs="宋体"/>
                <w:snapToGrid w:val="0"/>
                <w:kern w:val="0"/>
                <w:szCs w:val="21"/>
                <w:highlight w:val="none"/>
                <w:u w:val="single"/>
              </w:rPr>
              <w:t>等。</w:t>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福建中锐网络股份有限公司主营业务为智慧水利与智慧教育。在智慧水利领域，公司提供涵盖水灾害、水工程、水资源、水生态水环境、水监督、水政务等六大重点应用的解决方案。在智慧教育领域，公司聚焦网络、人工智能、智慧行业，提供数字人才培养解决方案，旨在衔接产业与院校人才需求。公司实际控制人为黄祖海。</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rPr>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材料未提供企业所属行业及注册资本信息。</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eastAsia="宋体" w:cs="宋体"/>
                <w:snapToGrid w:val="0"/>
                <w:kern w:val="0"/>
                <w:szCs w:val="21"/>
                <w:highlight w:val="none"/>
                <w:lang w:eastAsia="zh-CN"/>
              </w:rPr>
            </w:r>
            <w:r>
              <w:rPr>
                <w:rFonts w:hint="eastAsia" w:ascii="宋体" w:hAnsi="宋体" w:cs="宋体"/>
                <w:snapToGrid w:val="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材料未提供关于生产设备、产能、产量、产能利用率、产销率及用电量的相关信息。</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commentRangeStart w:id="5"/>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5"/>
            <w:r>
              <w:rPr>
                <w:rStyle w:val="CommentReference"/>
              </w:rPr>
              <w:commentReference w:id="5"/>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6"/>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6"/>
            <w:r>
              <w:rPr>
                <w:rStyle w:val="CommentReference"/>
              </w:rPr>
              <w:commentReference w:id="6"/>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材料未提供关于企业销售模式、主要客户及销售区域分布的相关信息。</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commentRangeStart w:id="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commentRangeEnd w:id="7"/>
            <w:r>
              <w:rPr>
                <w:rStyle w:val="CommentReference"/>
              </w:rPr>
              <w:commentReference w:id="7"/>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材料未提供关于企业采购模式、主要供应商及采购区域分布的相关信息。</w:t>
            </w:r>
            <w:r>
              <w:rPr>
                <w:rFonts w:ascii="宋体" w:hAnsi="宋体"/>
                <w:b/>
                <w:bCs/>
                <w:color w:val="000000"/>
                <w:highlight w:val="none"/>
              </w:rPr>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财报销售收入与纳税申报表合计收入一致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纳税申报表合计收入与财报销售收入一致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纳税收入占财报销售收入比例为100%</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材料未提供关于企业主要产品、技术研发及行业竞争地位的相关信息。</w:t>
            </w:r>
            <w:r>
              <w:rPr>
                <w:rFonts w:ascii="宋体" w:hAnsi="宋体"/>
                <w:b/>
                <w:bCs/>
                <w:color w:val="000000"/>
                <w:highlight w:val="none"/>
              </w:rPr>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企业近三年财务报表均经德赢（福建）会计师事务所（普通合伙）审计，并出具了无保留意见的审计报告。近三年主要财务数据如下（单位：万元）：| :--- | :--- | :--- | :--- || 总资产 | 17,940.21 | 18,575.43 | 16,956.49 || 流动资产 | 14,191.91 | 14,707.62 | 13,109.52 || 总负债 | 9,013.59 | 9,319.80 | 7,207.09 || 所有者权益 | 8,926.62 | 9,255.63 | 9,749.40 || 营业收入 | 12,130.09 | 8,712.37 | 10,009.63 || 净利润 | 392.52 | 329.01 | 493.77 |</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w:t>
            </w:r>
            <w:r>
              <w:rPr>
                <w:rFonts w:hint="eastAsia" w:ascii="宋体" w:hAnsi="宋体" w:cs="宋体"/>
                <w:bCs/>
                <w:snapToGrid w:val="0"/>
                <w:kern w:val="0"/>
                <w:szCs w:val="21"/>
                <w:highlight w:val="none"/>
                <w:u w:val="single"/>
                <w:lang w:val="en-US" w:eastAsia="zh-CN"/>
              </w:rPr>
              <w:t>2025年X月</w:t>
            </w:r>
            <w:r>
              <w:rPr>
                <w:rFonts w:hint="eastAsia" w:ascii="宋体" w:hAnsi="宋体" w:cs="宋体"/>
                <w:bCs/>
                <w:snapToGrid w:val="0"/>
                <w:color w:val="000000"/>
                <w:kern w:val="0"/>
                <w:szCs w:val="21"/>
                <w:highlight w:val="none"/>
                <w:lang w:val="en-US" w:eastAsia="zh-CN"/>
              </w:rPr>
              <w:t>数据</w:t>
            </w:r>
            <w:r>
              <w:rPr>
                <w:rFonts w:hint="eastAsia" w:ascii="宋体" w:hAnsi="宋体" w:cs="宋体"/>
                <w:bCs/>
                <w:snapToGrid w:val="0"/>
                <w:kern w:val="0"/>
                <w:szCs w:val="21"/>
                <w:highlight w:val="none"/>
                <w:lang w:val="en-US" w:eastAsia="zh-CN"/>
              </w:rPr>
              <w:t>（若该科目占比超10%或变动超20%的需做具体分析，其他可视情况简要说明）</w:t>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公司应收账款余额为7,430万元，较年初的9,253万元下降19.70%。结合2024年末应收账款余额为9,253万元（2023年末为6,354万元）来看，2025年应收账款规模有所回落，但仍处于较高水平，需关注其回收进度及对营运资金的影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截至2025年末，公司其他应收款余额为2,774万元，较年初的3,522万元下降21.24%。结合2024年末余额3,522万元（2023年末为3,621万元）来看，该科目余额呈下降趋势，资金占用压力有所缓解。</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公司存货余额为2,192万元，较年初的1,166万元大幅增长87.96%。结合2024年末余额1,166万元（2023年末为2,545万元）来看，存货在2024年大幅下降后于2025年显著回升，需关注存货结构、周转情况及可能的跌价风险。</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截至2025年末，公司长期股权投资余额为3,123万元，较年初的2,518万元增长24.02%。其他权益工具投资余额为81万元，较年初的100万元下降19.00%。长期投资总体规模有所增加，主要系长期股权投资增长所致。</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截至2025年末，公司应付账款余额为1,26万元，较年初的2,333万元大幅下降56.05%。结合2024年末余额2,333万元（2023年末为1,847万元）来看，2025年对供应商的付款力度显著加大，负债压力减轻。</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截至2025年末，公司其他应付款余额为168万元，较年初的648万元下降74.10%。结合2024年末余额648万元（2023年末为185万元）来看，该科目余额在2024年激增后于2025年大幅减少，波动较大。</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材料未提供关于企业营业收入构成及毛利率变动情况的分析信息。</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材料未提供关于企业期间费用构成及变动情况的分析信息。</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公司固定资产投资规模较小。2025年末固定资产净值为93万元，较年初的164万元下降43.14%；在建工程余额为0。2025年现金流量表显示“购建固定资产、无形资产和其他长期资产支付的现金”为0元。材料未提供后续大额固定资产投入计划。</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
                <w:bCs w:val="0"/>
                <w:snapToGrid w:val="0"/>
                <w:kern w:val="0"/>
                <w:szCs w:val="21"/>
                <w:highlight w:val="none"/>
                <w:lang w:val="zh-CN"/>
              </w:rPr>
            </w:r>
            <w:r>
              <w:rPr>
                <w:rFonts w:hint="eastAsia" w:ascii="宋体" w:hAnsi="宋体" w:cs="宋体"/>
                <w:b/>
                <w:bCs w:val="0"/>
                <w:snapToGrid w:val="0"/>
                <w:kern w:val="0"/>
                <w:szCs w:val="21"/>
                <w:highlight w:val="none"/>
                <w:lang w:val="en-US" w:eastAsia="zh-CN"/>
              </w:rPr>
            </w:r>
            <w:r>
              <w:rPr>
                <w:rFonts w:hint="eastAsia" w:ascii="宋体" w:hAnsi="宋体" w:cs="宋体"/>
                <w:b/>
                <w:bCs w:val="0"/>
                <w:snapToGrid w:val="0"/>
                <w:kern w:val="0"/>
                <w:szCs w:val="21"/>
                <w:highlight w:val="none"/>
                <w:lang w:val="zh-CN"/>
              </w:rPr>
            </w:r>
            <w:r>
              <w:rPr>
                <w:rFonts w:hint="eastAsia" w:ascii="宋体" w:hAnsi="宋体" w:cs="宋体"/>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2025年变动较大的财务指标还包括：预付款项期末余额428万元，较年初260万元增长64.39%；预收款项（合同负债）期末余额978万元，较年初890万元增长9.82%。预付款项增长较快，可能增加了资金占用。</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w:t>
            </w:r>
            <w:r>
              <w:rPr>
                <w:rFonts w:hint="eastAsia" w:ascii="宋体" w:hAnsi="宋体" w:cs="宋体"/>
                <w:b w:val="0"/>
                <w:bCs/>
                <w:snapToGrid w:val="0"/>
                <w:kern w:val="0"/>
                <w:szCs w:val="21"/>
                <w:highlight w:val="none"/>
                <w:lang w:val="en-US" w:eastAsia="zh-CN"/>
              </w:rPr>
              <w:t>（</w:t>
            </w:r>
            <w:r>
              <w:rPr>
                <w:rFonts w:hint="eastAsia" w:ascii="宋体" w:hAnsi="宋体" w:eastAsia="宋体" w:cs="宋体"/>
                <w:b w:val="0"/>
                <w:bCs/>
                <w:snapToGrid w:val="0"/>
                <w:kern w:val="0"/>
                <w:szCs w:val="21"/>
                <w:highlight w:val="none"/>
                <w:lang w:val="en-US" w:eastAsia="zh-CN"/>
              </w:rPr>
              <w:t>例：</w:t>
            </w:r>
            <w:r>
              <w:rPr>
                <w:rFonts w:hint="eastAsia" w:ascii="宋体" w:hAnsi="宋体" w:eastAsia="宋体" w:cs="宋体"/>
                <w:b w:val="0"/>
                <w:bCs/>
                <w:snapToGrid w:val="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材料未提供关于企业现金流量结构及充足性分析的相关信息。</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公司2025年末资产负债率为42.50%，负债水平适中。流动比率为1.82，短期偿债能力尚可。2025年实现营业收入10,10万元，净利润494万元，盈利能力较2024年有所回升。但需关注应收账款和存货对营运资金的占用，以及经营活动现金流量的稳定性。</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材料未提供关于企业或有负债、法律诉讼等表外事项的相关信息。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材料未提供关于企业关联交易情况的相关信息。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0万元。材料未提供各银行具体贷款余额分布、五级分类、对外担保及被追偿记录等信息。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材料未提供公司涉及中长期借款的还款计划及资金安排情况。</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借款人福建中锐网络股份有限公司在2025年末的银行融资余额为4730万元，全部为短期借款。材料未提供关于固定资产贷款及其还款计划的信息。</w:t>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lang w:eastAsia="zh-CN"/>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材料中未提及中长期借款。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76CE32AE">
            <w:commentRangeStart w:id="8"/>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8"/>
            <w:r>
              <w:rPr>
                <w:rStyle w:val="CommentReference"/>
              </w:rPr>
              <w:commentReference w:id="8"/>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r>
            <w:r>
              <w:rPr>
                <w:rFonts w:hint="eastAsia" w:ascii="宋体" w:hAnsi="宋体" w:eastAsia="宋体" w:cs="宋体"/>
                <w:snapToGrid w:val="0"/>
                <w:kern w:val="0"/>
                <w:sz w:val="21"/>
                <w:szCs w:val="21"/>
                <w:highlight w:val="none"/>
                <w:u w:val="single"/>
                <w:lang w:val="en-US" w:eastAsia="zh-CN" w:bidi="ar-SA"/>
              </w:rPr>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借款人2025年末资产负债率为42.5%，负债水平适中。流动比率为1.82，短期偿债能力尚可。2025年度实现营业收入10010万元，净利润494万元，保持盈利。银行融资余额4730万元，占负债总额的65.6%，银行融资依赖度较高。</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commentRangeStart w:id="9"/>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____</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commentRangeEnd w:id="9"/>
            <w:r>
              <w:rPr>
                <w:rStyle w:val="CommentReference"/>
              </w:rPr>
              <w:commentReference w:id="9"/>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材料未提供企业所属行业信息，无法进行行业分类及行业风险分析。</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材料未提供企业注册资本信息，无法分析其资本实力及股权结构稳定性。</w:t>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材料未提供企业科技资质、专利、研发团队等具体信息，无法对其科技属性及创新能力进行量化评估。</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材料未提供企业高新技术企业认定、软件企业认定等资质信息，无法判断其是否享受相关税收优惠及政策支持。</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材料未提供企业核心技术与产品、研发投入占比等详细信息，无法评估其技术壁垒与市场竞争力。</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 w:val="21"/>
                <w:szCs w:val="21"/>
                <w:lang w:val="en-US" w:eastAsia="zh-CN" w:bidi="ar-SA"/>
              </w:rPr>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材料未提供企业知识产权、产学研合作等具体信息，无法分析其技术成果转化能力与持续发展潜力。</w:t>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r>
              <w:rPr>
                <w:rFonts w:hint="eastAsia" w:ascii="宋体" w:hAnsi="宋体" w:eastAsia="宋体" w:cs="宋体"/>
                <w:b/>
                <w:bCs w:val="0"/>
                <w:kern w:val="2"/>
                <w:szCs w:val="21"/>
                <w:highlight w:val="none"/>
                <w:lang w:val="en-US"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材料未提供企业在本行的存款、结算、代发工资等具体业务数据，无法评估其当前综合效益。</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材料未提供企业未来在本行的业务合作计划或承诺，无法对其预计综合效益进行合理预测。</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本次申请为续贷业务，旨在满足企业日常经营周转需求。企业2025年经营活动现金流量净额为791万元，虽为正数，但期末货币资金余额仅为286万元，难以覆盖短期债务。结合企业2024年经营活动现金流为负（-896万元）及2025年投资活动现金净流出586万元的情况，企业存在持续的资金需求以维持运营和项目投入。因此，本次续贷有助于保障企业资金链的稳定，支持其智慧水利、智慧教育等主营业务的正常开展。</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本次授信申请的具体金额、期限及用途，因此无法对贷款投放后的直接经济效益进行量化测算。但基于企业历史经营数据，可分析其整体经营效益。企业2025年实现营业收入10010万元，净利润494万元，保持了盈利状态。企业2023年至2025年连续三年获得德赢会计师事务所出具的标准无保留意见审计报告，财务信息质量可信。企业所属行业为“其他未列明信息技术服务业”，其智慧水利、智慧教育业务符合国家产业政策导向。本次续贷若能顺利获批，将有助于企业维持现有银行融资规模，稳定其资产负债结构（2025年末资产负债率为42.5%），避免因贷款到期偿还而导致的流动性紧张，从而间接支持企业持续经营和创造社会效益。</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本次申请为续贷，借款原因主要为满足日常经营周转需求。企业2025年营业收入为10010万元，较2024年增长14.9%，经营活动现金流入为14806万元，经营活动产生的现金流量净额为791万元，显示其主营业务具备一定的现金生成能力。然而，企业期末货币资金为286万元，较年初下降43.6%，流动性偏紧。同时，企业应收账款余额为7430万元，占总资产的43.8%，占比较高且回收周期存在不确定性，对营运资金形成占用。综合来看，企业存在因业务增长及应收账款占用导致的短期流动资金缺口，借款原因合理。</w:t>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none"/>
                <w:lang w:val="en-US" w:eastAsia="zh-CN"/>
              </w:rPr>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commentRangeEnd w:id="10"/>
            <w:r>
              <w:rPr>
                <w:rStyle w:val="CommentReference"/>
              </w:rPr>
              <w:commentReference w:id="10"/>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材料中未提及测算数据调整。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企业第一还款来源主要依赖其经营现金流。2025年，企业实现净利润494万元，经营活动产生的现金流量净额为791万元，能够覆盖当期利息支出。从历史数据看，企业2023年至2025年连续三年实现盈利，经营具备持续性。但需关注，企业2024年经营活动现金流量净额为-896万元，2025年虽转正，但经营活动现金流入中“收到其他与经营活动有关的现金”占比达28.1%，其构成及稳定性需进一步核实。此外，企业2025年末资产负债率为42.5%，负债水平适中，但流动负债中短期借款4730万元占比较高，存在一定的短期偿债压力。总体而言，企业主营业务具备一定的盈利和现金创造能力，可作为主要还款来源，但其现金流稳定性及短期债务结构需持续关注。</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企业的偿债能力分析需结合其财务指标与资产结构。短期偿债能力方面，2025年末流动比率为1.82，速动比率（以流动资产扣除存货计算）约为0.81，短期偿债能力一般。企业期末货币资金仅286万元，对4730万元的短期借款覆盖严重不足，主要依赖经营回款和再融资。长期偿债能力方面，资产负债率42.5%，所有者权益为9749万元，财务结构尚属稳健。企业资产以应收账款、其他应收款和存货等流动资产为主，合计占总资产77.3%，但应收账款回收风险及存货变现能力将直接影响其实际偿债能力。材料未提供可用于抵质押的固定资产明细，第二还款来源保障有限。综合判断，企业偿债能力主要依赖于其经营活动的持续性和应收账款的及时回收，存在一定的流动性风险。</w:t>
            </w:r>
            <w:r>
              <w:rPr>
                <w:rFonts w:hint="eastAsia" w:ascii="宋体" w:hAnsi="宋体" w:cs="宋体"/>
                <w:bCs/>
                <w:snapToGrid w:val="0"/>
                <w:kern w:val="0"/>
                <w:sz w:val="21"/>
                <w:szCs w:val="21"/>
                <w:highlight w:val="none"/>
                <w:u w:val="single"/>
                <w:lang w:val="en-US" w:eastAsia="zh-CN"/>
              </w:rPr>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2523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福州大学国家科技园8号楼5层</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r>
                    <w:t>920</w:t>
                  </w: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r>
                    <w:t>/</w:t>
                  </w: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本次授信由借款人福建中锐网络股份有限公司提供连带责任保证担保。担保人主营业务为智慧水利与智慧教育解决方案的提供，与借款人主体一致。担保人2025年末总资产为1696万元，所有者权益为975万元，资产负债率为42.5%，整体财务杠杆水平适中。担保人2025年度实现营业收入1001万元，净利润49万元，具备一定的盈利能力和经营基础。担保人作为借款主体，其自身信用状况是本次授信风险缓释的主要来源，但担保方式为信用保证，未提供抵质押物，风险缓释效力有限。</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担保人福建中锐网络股份有限公司的短期偿债能力需关注。根据2025年末财务数据，其流动比率为1.82，流动资产对流动负债的覆盖倍数尚可。但期末货币资金余额为286万元，而短期借款余额高达4730万元，货币资金对短期债务的覆盖能力严重不足，存在较大的短期流动性压力。担保人2025年度经营活动产生的现金流量净额为791万元，虽为净流入，但规模相对其债务规模偏小，依靠自身经营现金流偿还大额债务的能力较弱。</w:t>
            </w:r>
            <w:r>
              <w:rPr>
                <w:rFonts w:hint="eastAsia" w:ascii="宋体" w:hAnsi="宋体" w:eastAsia="宋体" w:cs="宋体"/>
                <w:b w:val="0"/>
                <w:bCs/>
                <w:kern w:val="2"/>
                <w:sz w:val="21"/>
                <w:szCs w:val="21"/>
                <w:highlight w:val="none"/>
                <w:lang w:eastAsia="zh-CN"/>
              </w:rPr>
            </w:r>
            <w:r>
              <w:rPr>
                <w:rFonts w:hint="eastAsia" w:ascii="宋体" w:hAnsi="宋体" w:eastAsia="宋体" w:cs="宋体"/>
                <w:snapToGrid w:val="0"/>
                <w:kern w:val="0"/>
                <w:sz w:val="21"/>
                <w:szCs w:val="21"/>
                <w:highlight w:val="none"/>
                <w:lang w:val="en-US" w:eastAsia="zh-CN" w:bidi="ar-SA"/>
              </w:rPr>
            </w:r>
            <w:r>
              <w:rPr>
                <w:rFonts w:hint="eastAsia" w:ascii="宋体" w:hAnsi="宋体" w:eastAsia="宋体" w:cs="宋体"/>
                <w:snapToGrid w:val="0"/>
                <w:kern w:val="0"/>
                <w:sz w:val="21"/>
                <w:szCs w:val="21"/>
                <w:highlight w:val="none"/>
                <w:u w:val="none"/>
                <w:lang w:val="en-US" w:eastAsia="zh-CN" w:bidi="ar-SA"/>
              </w:rPr>
            </w:r>
            <w:r>
              <w:rPr>
                <w:rFonts w:hint="eastAsia" w:ascii="宋体" w:hAnsi="宋体" w:eastAsia="宋体" w:cs="宋体"/>
                <w:snapToGrid w:val="0"/>
                <w:kern w:val="0"/>
                <w:sz w:val="21"/>
                <w:szCs w:val="21"/>
                <w:highlight w:val="none"/>
                <w:u w:val="single"/>
                <w:lang w:val="en-US" w:eastAsia="zh-CN" w:bidi="ar-SA"/>
              </w:rPr>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担保人福建中锐网络股份有限公司的资产结构分析显示，其资产以流动资产为主，2025年末流动资产占总资产比例为77.3%。流动资产中，应收账款余额为7430万元，占总资产比重达43.8%，占流动资产比重为56.7%，资产质量受下游客户回款情况影响较大。其他应收款余额为2774万元，占比较高，需关注其构成及回收风险。存货余额为2192万元，主要为待交付的项目成本。整体来看，担保人资产流动性尚可，但应收账款占比较高，资产变现能力存在不确定性，可能影响其实际偿债能力。</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spacing w:val="0"/>
                <w:sz w:val="21"/>
                <w:szCs w:val="21"/>
                <w:highlight w:val="none"/>
                <w:lang w:val="en-US" w:eastAsia="zh-CN"/>
              </w:rPr>
              <w:t>最新担保</w:t>
            </w:r>
            <w:r>
              <w:rPr>
                <w:rFonts w:hint="eastAsia" w:ascii="宋体" w:hAnsi="宋体" w:eastAsia="宋体" w:cs="宋体"/>
                <w:i w:val="0"/>
                <w:iCs w:val="0"/>
                <w:caps w:val="0"/>
                <w:spacing w:val="0"/>
                <w:sz w:val="21"/>
                <w:szCs w:val="21"/>
                <w:highlight w:val="none"/>
              </w:rPr>
              <w:t>情况是否</w:t>
            </w:r>
            <w:r>
              <w:rPr>
                <w:rFonts w:hint="eastAsia" w:ascii="宋体" w:hAnsi="宋体" w:eastAsia="宋体" w:cs="宋体"/>
                <w:i w:val="0"/>
                <w:iCs w:val="0"/>
                <w:caps w:val="0"/>
                <w:spacing w:val="0"/>
                <w:sz w:val="21"/>
                <w:szCs w:val="21"/>
                <w:highlight w:val="none"/>
                <w:lang w:val="en-US" w:eastAsia="zh-CN"/>
              </w:rPr>
              <w:t>符合</w:t>
            </w:r>
            <w:r>
              <w:rPr>
                <w:rFonts w:hint="eastAsia" w:ascii="宋体" w:hAnsi="宋体" w:eastAsia="宋体" w:cs="宋体"/>
                <w:i w:val="0"/>
                <w:iCs w:val="0"/>
                <w:caps w:val="0"/>
                <w:spacing w:val="0"/>
                <w:sz w:val="21"/>
                <w:szCs w:val="21"/>
                <w:highlight w:val="none"/>
              </w:rPr>
              <w:t>要求（</w:t>
            </w:r>
            <w:r>
              <w:rPr>
                <w:rFonts w:hint="eastAsia" w:ascii="宋体" w:hAnsi="宋体" w:eastAsia="宋体" w:cs="宋体"/>
                <w:i w:val="0"/>
                <w:iCs w:val="0"/>
                <w:caps w:val="0"/>
                <w:spacing w:val="0"/>
                <w:sz w:val="21"/>
                <w:szCs w:val="21"/>
                <w:highlight w:val="none"/>
                <w:lang w:val="en-US" w:eastAsia="zh-CN"/>
              </w:rPr>
              <w:t>包括：</w:t>
            </w:r>
            <w:r>
              <w:rPr>
                <w:rFonts w:hint="eastAsia" w:ascii="宋体" w:hAnsi="宋体" w:eastAsia="宋体" w:cs="宋体"/>
                <w:i w:val="0"/>
                <w:iCs w:val="0"/>
                <w:caps w:val="0"/>
                <w:spacing w:val="0"/>
                <w:sz w:val="21"/>
                <w:szCs w:val="21"/>
                <w:highlight w:val="none"/>
              </w:rPr>
              <w:t>对外担保总额、我行担保余额、净资产和担保倍率等）</w:t>
            </w:r>
            <w:r>
              <w:rPr>
                <w:rFonts w:hint="eastAsia" w:ascii="宋体" w:hAnsi="宋体" w:eastAsia="宋体" w:cs="宋体"/>
                <w:i w:val="0"/>
                <w:iCs w:val="0"/>
                <w:caps w:val="0"/>
                <w:spacing w:val="0"/>
                <w:sz w:val="21"/>
                <w:szCs w:val="21"/>
                <w:highlight w:val="none"/>
                <w:lang w:eastAsia="zh-CN"/>
              </w:rPr>
              <w:t>，</w:t>
            </w:r>
            <w:r>
              <w:rPr>
                <w:rFonts w:hint="eastAsia" w:ascii="宋体" w:hAnsi="宋体" w:eastAsia="宋体" w:cs="宋体"/>
                <w:i w:val="0"/>
                <w:iCs w:val="0"/>
                <w:caps w:val="0"/>
                <w:spacing w:val="0"/>
                <w:sz w:val="21"/>
                <w:szCs w:val="21"/>
                <w:highlight w:val="none"/>
              </w:rPr>
              <w:t>本次担保</w:t>
            </w:r>
            <w:r>
              <w:rPr>
                <w:rFonts w:hint="eastAsia" w:ascii="宋体" w:hAnsi="宋体" w:eastAsia="宋体" w:cs="宋体"/>
                <w:i w:val="0"/>
                <w:iCs w:val="0"/>
                <w:caps w:val="0"/>
                <w:spacing w:val="0"/>
                <w:sz w:val="21"/>
                <w:szCs w:val="21"/>
                <w:highlight w:val="none"/>
                <w:lang w:val="en-US" w:eastAsia="zh-CN"/>
              </w:rPr>
              <w:t>是否符合</w:t>
            </w:r>
            <w:r>
              <w:rPr>
                <w:rFonts w:hint="eastAsia" w:ascii="宋体" w:hAnsi="宋体" w:eastAsia="宋体" w:cs="宋体"/>
                <w:i w:val="0"/>
                <w:iCs w:val="0"/>
                <w:caps w:val="0"/>
                <w:spacing w:val="0"/>
                <w:sz w:val="21"/>
                <w:szCs w:val="21"/>
                <w:highlight w:val="none"/>
              </w:rPr>
              <w:t>准入</w:t>
            </w:r>
            <w:r>
              <w:rPr>
                <w:rFonts w:hint="eastAsia" w:ascii="宋体" w:hAnsi="宋体" w:eastAsia="宋体" w:cs="宋体"/>
                <w:i w:val="0"/>
                <w:iCs w:val="0"/>
                <w:caps w:val="0"/>
                <w:spacing w:val="0"/>
                <w:sz w:val="21"/>
                <w:szCs w:val="21"/>
                <w:highlight w:val="none"/>
                <w:lang w:val="en-US" w:eastAsia="zh-CN"/>
              </w:rPr>
              <w:t>要求</w:t>
            </w:r>
            <w:r>
              <w:rPr>
                <w:rFonts w:hint="eastAsia" w:ascii="宋体" w:hAnsi="宋体" w:eastAsia="宋体" w:cs="宋体"/>
                <w:i w:val="0"/>
                <w:iCs w:val="0"/>
                <w:caps w:val="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担保人福建中锐网络股份有限公司的经营稳定性存在波动。从历史数据看，其营业收入从2023年的12130万元下降至2024年的8712万元，2025年回升至10010万元，收入规模有所起伏。净利润从2023年的393万元下降至2024年的329万元，2025年回升至494万元，盈利能力不稳定。经营活动现金流方面，2023年为净流入269万元，2024年转为净流出896万元，2025年恢复净流入791万元，现金流波动剧烈，经营活动的造血能力不稳定。这种经营和现金流的波动性增加了其未来持续、稳定偿债能力的不确定性。</w:t>
            </w:r>
            <w:r>
              <w:rPr>
                <w:rFonts w:hint="eastAsia" w:ascii="宋体" w:hAnsi="宋体" w:eastAsia="宋体" w:cs="宋体"/>
                <w:b/>
                <w:sz w:val="21"/>
                <w:szCs w:val="21"/>
                <w:highlight w:val="none"/>
              </w:rPr>
            </w:r>
            <w:r>
              <w:rPr>
                <w:rFonts w:hint="eastAsia" w:ascii="宋体" w:hAnsi="宋体" w:cs="宋体"/>
                <w:b/>
                <w:sz w:val="21"/>
                <w:szCs w:val="21"/>
                <w:highlight w:val="none"/>
                <w:lang w:eastAsia="zh-CN"/>
              </w:rPr>
            </w:r>
            <w:r>
              <w:rPr>
                <w:rFonts w:hint="eastAsia" w:ascii="宋体" w:hAnsi="宋体" w:cs="宋体"/>
                <w:b/>
                <w:sz w:val="21"/>
                <w:szCs w:val="21"/>
                <w:highlight w:val="none"/>
                <w:lang w:val="en-US" w:eastAsia="zh-CN"/>
              </w:rPr>
            </w:r>
            <w:r>
              <w:rPr>
                <w:rFonts w:hint="eastAsia" w:ascii="宋体" w:hAnsi="宋体" w:cs="宋体"/>
                <w:b/>
                <w:sz w:val="21"/>
                <w:szCs w:val="21"/>
                <w:highlight w:val="none"/>
                <w:lang w:eastAsia="zh-CN"/>
              </w:rPr>
            </w:r>
            <w:r>
              <w:rPr>
                <w:rFonts w:hint="eastAsia" w:ascii="宋体" w:hAnsi="宋体" w:eastAsia="宋体" w:cs="宋体"/>
                <w:b/>
                <w:sz w:val="21"/>
                <w:szCs w:val="21"/>
                <w:highlight w:val="none"/>
              </w:rPr>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担保人福建中锐网络股份有限公司的现金流分析显示，其2025年度经营活动现金流为净流入791万元，主要来源于销售商品、提供劳务收到的现金10385万元。投资活动现金流为净流出586万元，主要用于支付投资款608万元。筹资活动现金流为净流出426万元，主要由于偿还债务支付现金4546万元及分配股利、偿付利息支付现金166万元。综合来看，2025年现金及现金等价物净减少221万元，期末余额为286万元。材料未提供关于每月现金流入流出及资金余额的预测数据，无法判断其日常经营周转的资金平衡情况。基于现有数据，其期末现金余额较低，对短期债务的覆盖能力弱，主要依赖外部融资周转。</w:t>
            </w:r>
            <w:r>
              <w:rPr>
                <w:rFonts w:hint="eastAsia" w:ascii="宋体" w:hAnsi="宋体" w:eastAsia="宋体" w:cs="宋体"/>
                <w:b/>
                <w:sz w:val="21"/>
                <w:szCs w:val="21"/>
                <w:highlight w:val="none"/>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lang w:val="en-US" w:eastAsia="zh-CN"/>
              </w:rPr>
            </w:r>
            <w:r>
              <w:rPr>
                <w:rFonts w:hint="eastAsia" w:ascii="宋体" w:hAnsi="宋体" w:eastAsia="宋体" w:cs="宋体"/>
                <w:i w:val="0"/>
                <w:iCs w:val="0"/>
                <w:caps w:val="0"/>
                <w:spacing w:val="0"/>
                <w:kern w:val="2"/>
                <w:sz w:val="21"/>
                <w:szCs w:val="21"/>
                <w:highlight w:val="none"/>
                <w:lang w:val="en-US" w:eastAsia="zh-CN" w:bidi="ar-SA"/>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rPr>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可持续：借款人主营业务聚焦智慧水利与智慧教育领域，符合国家政策导向。公司2025年实现营业收入1.00亿元，净利润494万元，经营活动现金流量净额为791万元，显示其主营业务具备持续造血能力。公司持续进行研发投入，2025年研发费用为1050万元。材料未提供公司成立时间、人员规模、技术团队构成及产能利用情况，无法判断其技术先进性、订单稳定性及产能扩张计划。</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垒小户（多头贷款、交叉授信、超融）：根据2025年末财务报表，公司短期借款余额为4730万元。材料未提供具体的合作银行家数、各行授信额度及贷款品种，无法判断其是否存在多头授信或交叉授信情况。公司2025年末资产负债率为42.5%，流动比率为1.82，整体负债水平适中，短期偿债能力尚可。公司名下固定资产主要为设备，2025年末固定资产净值为93万元，可用于抵押的实物资产有限。综合来看，材料未提供足够信息以判断是否存在融资银行垒小户现象。</w:t>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eastAsia="zh-CN"/>
              </w:rPr>
            </w:r>
            <w:r>
              <w:rPr>
                <w:rFonts w:hint="eastAsia" w:ascii="宋体" w:hAnsi="宋体" w:cs="宋体"/>
                <w:b/>
                <w:kern w:val="2"/>
                <w:sz w:val="21"/>
                <w:szCs w:val="21"/>
                <w:highlight w:val="none"/>
                <w:lang w:eastAsia="zh-CN"/>
              </w:rPr>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1882DF71">
            <w:commentRangeStart w:id="1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w:t>
            </w:r>
            <w:r>
              <w:rPr>
                <w:rFonts w:hint="eastAsia" w:ascii="宋体" w:hAnsi="宋体" w:eastAsia="宋体" w:cs="宋体"/>
                <w:snapToGrid w:val="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____行业多年的专业人员，公司可持续性发展趋势良好。</w:t>
            </w:r>
            <w:commentRangeEnd w:id="12"/>
            <w:r>
              <w:rPr>
                <w:rStyle w:val="CommentReference"/>
              </w:rPr>
              <w:commentReference w:id="12"/>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上</w:t>
            </w:r>
            <w:r>
              <w:rPr>
                <w:rFonts w:hint="eastAsia" w:ascii="宋体" w:hAnsi="宋体" w:eastAsia="宋体" w:cs="宋体"/>
                <w:b/>
                <w:bCs/>
                <w:snapToGrid w:val="0"/>
                <w:kern w:val="0"/>
                <w:szCs w:val="21"/>
                <w:highlight w:val="none"/>
                <w:u w:val="single"/>
                <w:lang w:val="en-US" w:eastAsia="zh-CN"/>
              </w:rPr>
              <w:t>游供应商主要包括：</w:t>
            </w:r>
            <w:r>
              <w:rPr>
                <w:rFonts w:hint="eastAsia" w:ascii="宋体" w:hAnsi="宋体" w:eastAsia="宋体" w:cs="宋体"/>
                <w:snapToGrid w:val="0"/>
                <w:kern w:val="0"/>
                <w:szCs w:val="21"/>
                <w:highlight w:val="none"/>
                <w:u w:val="single"/>
                <w:lang w:val="en-US" w:eastAsia="zh-CN"/>
              </w:rPr>
              <w:t>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w:t>
            </w:r>
            <w:r>
              <w:rPr>
                <w:rFonts w:hint="eastAsia" w:ascii="宋体" w:hAnsi="宋体" w:eastAsia="宋体" w:cs="宋体"/>
                <w:snapToGrid w:val="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借款人授信敞口1000万元，____     。</w:t>
            </w:r>
            <w:r>
              <w:rPr>
                <w:rFonts w:hint="eastAsia" w:ascii="宋体" w:hAnsi="宋体" w:cs="宋体"/>
                <w:b/>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0"/>
            <w:r>
              <w:rPr>
                <w:rStyle w:val="CommentReference"/>
              </w:rPr>
              <w:commentReference w:id="20"/>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7T14:52:10Z" w:initials="Agent">
    <w:p>
      <w:r>
        <w:rPr>
          <w:rStyle w:val="CommentReference"/>
        </w:rPr>
        <w:annotationRef/>
      </w:r>
      <w:r>
        <w:t xml:space="preserve">该处“申报单位”仍为空白，请人工确认。</w:t>
      </w:r>
    </w:p>
  </w:comment>
  <w:comment w:id="1" w:author="信贷报告 Agent" w:date="2026-04-07T14:52:10Z" w:initials="Agent">
    <w:p>
      <w:r>
        <w:rPr>
          <w:rStyle w:val="CommentReference"/>
        </w:rPr>
        <w:annotationRef/>
      </w:r>
      <w:r>
        <w:t xml:space="preserve">该处“绿通标识”仍为空白，请人工确认。</w:t>
      </w:r>
    </w:p>
  </w:comment>
  <w:comment w:id="2" w:author="信贷报告 Agent" w:date="2026-04-07T14:52:10Z" w:initials="Agent">
    <w:p>
      <w:r>
        <w:rPr>
          <w:rStyle w:val="CommentReference"/>
        </w:rPr>
        <w:annotationRef/>
      </w:r>
      <w:r>
        <w:t xml:space="preserve">该处“注册资本”仍为空白，请人工确认。</w:t>
      </w:r>
    </w:p>
  </w:comment>
  <w:comment w:id="3" w:author="信贷报告 Agent" w:date="2026-04-07T14:52:10Z" w:initials="Agent">
    <w:p>
      <w:r>
        <w:rPr>
          <w:rStyle w:val="CommentReference"/>
        </w:rPr>
        <w:annotationRef/>
      </w:r>
      <w:r>
        <w:t xml:space="preserve">该处“持股比例”仍为空白，请人工确认。</w:t>
      </w:r>
    </w:p>
  </w:comment>
  <w:comment w:id="4" w:author="信贷报告 Agent" w:date="2026-04-07T14:52:10Z" w:initials="Agent">
    <w:p>
      <w:r>
        <w:rPr>
          <w:rStyle w:val="CommentReference"/>
        </w:rPr>
        <w:annotationRef/>
      </w:r>
      <w:r>
        <w:t xml:space="preserve">该处“合计在”仍为空白，请人工确认。</w:t>
      </w:r>
    </w:p>
  </w:comment>
  <w:comment w:id="5" w:author="信贷报告 Agent" w:date="2026-04-07T14:52:10Z" w:initials="Agent">
    <w:p>
      <w:r>
        <w:rPr>
          <w:rStyle w:val="CommentReference"/>
        </w:rPr>
        <w:annotationRef/>
      </w:r>
      <w:r>
        <w:t xml:space="preserve">该处“主要上游（前五大）”仍为空白，请人工确认。</w:t>
      </w:r>
    </w:p>
  </w:comment>
  <w:comment w:id="6" w:author="信贷报告 Agent" w:date="2026-04-07T14:52:10Z" w:initials="Agent">
    <w:p>
      <w:r>
        <w:rPr>
          <w:rStyle w:val="CommentReference"/>
        </w:rPr>
        <w:annotationRef/>
      </w:r>
      <w:r>
        <w:t xml:space="preserve">该处“主要下游（前五大）”仍为空白，请人工确认。</w:t>
      </w:r>
    </w:p>
  </w:comment>
  <w:comment w:id="7" w:author="信贷报告 Agent" w:date="2026-04-07T14:52:10Z" w:initials="Agent">
    <w:p>
      <w:r>
        <w:rPr>
          <w:rStyle w:val="CommentReference"/>
        </w:rPr>
        <w:annotationRef/>
      </w:r>
      <w:r>
        <w:t xml:space="preserve">该处“最新在手订单列表”仍为空白，请人工确认。</w:t>
      </w:r>
    </w:p>
  </w:comment>
  <w:comment w:id="8" w:author="信贷报告 Agent" w:date="2026-04-07T14:52:10Z" w:initials="Agent">
    <w:p>
      <w:r>
        <w:rPr>
          <w:rStyle w:val="CommentReference"/>
        </w:rPr>
        <w:annotationRef/>
      </w:r>
      <w:r>
        <w:t xml:space="preserve">该处“（若有）对外担保情况”仍为空白，请人工确认。</w:t>
      </w:r>
    </w:p>
  </w:comment>
  <w:comment w:id="9" w:author="信贷报告 Agent" w:date="2026-04-07T14:52:10Z" w:initials="Agent">
    <w:p>
      <w:r>
        <w:rPr>
          <w:rStyle w:val="CommentReference"/>
        </w:rPr>
        <w:annotationRef/>
      </w:r>
      <w:r>
        <w:t xml:space="preserve">该处“3.实控人配偶情况： 陈____ ，中国”仍为空白，请人工确认。</w:t>
      </w:r>
    </w:p>
  </w:comment>
  <w:comment w:id="10" w:author="信贷报告 Agent" w:date="2026-04-07T14:52:10Z" w:initials="Agent">
    <w:p>
      <w:r>
        <w:rPr>
          <w:rStyle w:val="CommentReference"/>
        </w:rPr>
        <w:annotationRef/>
      </w:r>
      <w:r>
        <w:t xml:space="preserve">该处“企业营运资金需求”仍为空白，请人工确认。</w:t>
      </w:r>
    </w:p>
  </w:comment>
  <w:comment w:id="11" w:author="信贷报告 Agent" w:date="2026-04-07T14:52:10Z" w:initials="Agent">
    <w:p>
      <w:r>
        <w:rPr>
          <w:rStyle w:val="CommentReference"/>
        </w:rPr>
        <w:annotationRef/>
      </w:r>
      <w:r>
        <w:t xml:space="preserve">该处“变动原因”仍为空白，请人工确认。</w:t>
      </w:r>
    </w:p>
  </w:comment>
  <w:comment w:id="12" w:author="信贷报告 Agent" w:date="2026-04-07T14:52:10Z" w:initials="Agent">
    <w:p>
      <w:r>
        <w:rPr>
          <w:rStyle w:val="CommentReference"/>
        </w:rPr>
        <w:annotationRef/>
      </w:r>
      <w:r>
        <w:t xml:space="preserve">该处“研发团队领头人均是从事”仍为空白，请人工确认。</w:t>
      </w:r>
    </w:p>
  </w:comment>
  <w:comment w:id="13" w:author="信贷报告 Agent" w:date="2026-04-07T14:52:10Z" w:initials="Agent">
    <w:p>
      <w:r>
        <w:rPr>
          <w:rStyle w:val="CommentReference"/>
        </w:rPr>
        <w:annotationRef/>
      </w:r>
      <w:r>
        <w:t xml:space="preserve">该处“2.申报授信方案： 拟申请给予借款人授信”仍为空白，请人工确认。</w:t>
      </w:r>
    </w:p>
  </w:comment>
  <w:comment w:id="14" w:author="信贷报告 Agent" w:date="2026-04-07T14:52:10Z" w:initials="Agent">
    <w:p>
      <w:r>
        <w:rPr>
          <w:rStyle w:val="CommentReference"/>
        </w:rPr>
        <w:annotationRef/>
      </w:r>
      <w:r>
        <w:t xml:space="preserve">该处“客户经理”仍为空白，请人工确认。</w:t>
      </w:r>
    </w:p>
  </w:comment>
  <w:comment w:id="15" w:author="信贷报告 Agent" w:date="2026-04-07T14:52:10Z" w:initials="Agent">
    <w:p>
      <w:r>
        <w:rPr>
          <w:rStyle w:val="CommentReference"/>
        </w:rPr>
        <w:annotationRef/>
      </w:r>
      <w:r>
        <w:t xml:space="preserve">该处“共同调查人”仍为空白，请人工确认。</w:t>
      </w:r>
    </w:p>
  </w:comment>
  <w:comment w:id="16" w:author="信贷报告 Agent" w:date="2026-04-07T14:52:10Z" w:initials="Agent">
    <w:p>
      <w:r>
        <w:rPr>
          <w:rStyle w:val="CommentReference"/>
        </w:rPr>
        <w:annotationRef/>
      </w:r>
      <w:r>
        <w:t xml:space="preserve">该处“二级支行行长”仍为空白，请人工确认。</w:t>
      </w:r>
    </w:p>
  </w:comment>
  <w:comment w:id="17" w:author="信贷报告 Agent" w:date="2026-04-07T14:52:10Z" w:initials="Agent">
    <w:p>
      <w:r>
        <w:rPr>
          <w:rStyle w:val="CommentReference"/>
        </w:rPr>
        <w:annotationRef/>
      </w:r>
      <w:r>
        <w:t xml:space="preserve">该处“分管行长”仍为空白，请人工确认。</w:t>
      </w:r>
    </w:p>
  </w:comment>
  <w:comment w:id="18" w:author="信贷报告 Agent" w:date="2026-04-07T14:52:10Z" w:initials="Agent">
    <w:p>
      <w:r>
        <w:rPr>
          <w:rStyle w:val="CommentReference"/>
        </w:rPr>
        <w:annotationRef/>
      </w:r>
      <w:r>
        <w:t xml:space="preserve">该处“行长”仍为空白，请人工确认。</w:t>
      </w:r>
    </w:p>
  </w:comment>
  <w:comment w:id="19" w:author="信贷报告 Agent" w:date="2026-04-07T14:52:10Z" w:initials="Agent">
    <w:p>
      <w:r>
        <w:rPr>
          <w:rStyle w:val="CommentReference"/>
        </w:rPr>
        <w:annotationRef/>
      </w:r>
      <w:r>
        <w:t xml:space="preserve">该处“审查员”仍为空白，请人工确认。</w:t>
      </w:r>
    </w:p>
  </w:comment>
  <w:comment w:id="20" w:author="信贷报告 Agent" w:date="2026-04-07T14:52:10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