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福建中锐网络股份有限公司主营业务为智慧水利与智慧教育解决方案的提供与实施。公司2025年末总资产为1.70亿元，资产负债率为42.5%，负债结构以流动负债为主。公司2025年度实现营业收入1.00亿元，净利润494万元，经营活动现金流量净额为791万元，显示其主营业务具备一定的盈利能力和现金生成能力。</w:t>
            </w:r>
            <w:r>
              <w:rPr>
                <w:rFonts w:hint="eastAsia" w:ascii="宋体" w:hAnsi="宋体" w:cs="宋体"/>
                <w:snapToGrid w:val="0"/>
                <w:color w:val="000000"/>
                <w:kern w:val="0"/>
                <w:szCs w:val="21"/>
              </w:rPr>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commentRangeEnd w:id="0"/>
            <w:r>
              <w:rPr>
                <w:rStyle w:val="CommentReference"/>
              </w:rPr>
              <w:commentReference w:id="0"/>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公司2025年末短期借款余额为4730万元，构成其银行融资的主要部分。从偿债能力指标看，2025年末流动比率为1.82，流动资产对流动负债的覆盖倍数尚可。公司2025年度经营活动产生的现金流量净额为791万元，能够覆盖同期财务费用166万元，表明其主营业务现金流对利息支出具备基本的保障能力。</w:t>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p>
          <w:p w14:paraId="68968EB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公司资产结构以流动资产为主，2025年末流动资产占总资产比例为77.3%。流动资产中，应收账款余额为7430万元，占流动资产比重达56.7%，占比较高，需关注其回收进度及对营运资金占用的影响。存货余额为2192万元，较年初增长87.9%，主要因业务开展备货增加所致。</w:t>
            </w:r>
            <w:r>
              <w:rPr>
                <w:rFonts w:hint="eastAsia" w:ascii="宋体" w:hAnsi="宋体" w:cs="宋体"/>
                <w:b/>
                <w:bCs/>
                <w:snapToGrid w:val="0"/>
                <w:color w:val="000000"/>
                <w:kern w:val="0"/>
                <w:szCs w:val="21"/>
              </w:rPr>
            </w:r>
            <w:r>
              <w:rPr>
                <w:rFonts w:hint="eastAsia" w:ascii="宋体" w:hAnsi="宋体" w:eastAsia="宋体" w:cs="宋体"/>
                <w:b/>
                <w:bCs/>
                <w:snapToGrid w:val="0"/>
                <w:kern w:val="0"/>
                <w:szCs w:val="21"/>
                <w:lang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eastAsia="zh-CN"/>
              </w:rPr>
            </w:r>
            <w:r>
              <w:rPr>
                <w:rFonts w:hint="eastAsia" w:ascii="宋体" w:hAnsi="宋体" w:cs="宋体"/>
                <w:b/>
                <w:bCs/>
                <w:snapToGrid w:val="0"/>
                <w:color w:val="000000"/>
                <w:kern w:val="0"/>
                <w:szCs w:val="21"/>
              </w:rPr>
            </w:r>
            <w:r>
              <w:rPr>
                <w:rFonts w:hint="eastAsia" w:ascii="宋体" w:hAnsi="宋体" w:cs="宋体"/>
                <w:b/>
                <w:bCs/>
                <w:snapToGrid w:val="0"/>
                <w:color w:val="000000"/>
                <w:kern w:val="0"/>
                <w:szCs w:val="21"/>
                <w:u w:val="single"/>
                <w:lang w:val="en-US" w:eastAsia="zh-CN"/>
              </w:rPr>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公司2025年度营业收入为1.00亿元，较2024年度的8712万元增长14.9%，显示业务规模有所恢复。同期净利润为494万元，销售净利率为4.9%，盈利能力处于较低水平。从成本费用结构看，营业成本占收入比重为62.0%，期间费用（销售、管理、研发、财务费用）合计占收入比重为34.2%，费用控制压力较大。</w:t>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napToGrid w:val="0"/>
                <w:kern w:val="0"/>
                <w:szCs w:val="21"/>
                <w:lang w:val="en-US" w:eastAsia="zh-CN"/>
              </w:rPr>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18575万元；上年度销售额 8712万元；上年度末员工人数      人</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公司2025年度经营活动现金流量净额为791万元，投资活动现金流量净额为-586万元，筹资活动现金流量净额为-426万元。经营活动现金流由2024年度的净流出转为净流入，主要系销售商品回款增加及收到其他经营款项所致。投资活动现金流出主要用于支付投资款。筹资活动现金净流出主要系偿还债务及支付利息所致。期末货币资金余额为286万元，较年初下降43.6%，流动性趋紧。</w:t>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eastAsia="宋体" w:cs="宋体"/>
                <w:b/>
                <w:bCs/>
                <w:strike w:val="0"/>
                <w:dstrike w:val="0"/>
                <w:sz w:val="21"/>
                <w:szCs w:val="21"/>
                <w:highlight w:val="none"/>
                <w:lang w:val="en-US" w:eastAsia="zh-CN"/>
              </w:rPr>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公司2023年至2025年连续三年由德赢（福建）会计师事务所出具标准无保留意见审计报告，财务报表审计质量良好。2023年度完税证明显示其缴纳各项税费合计439万元，纳税记录正常。材料未提供公司注册资本信息。</w:t>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z w:val="21"/>
                <w:szCs w:val="21"/>
                <w:highlight w:val="none"/>
                <w:lang w:val="en-US" w:eastAsia="zh-CN"/>
              </w:rPr>
            </w:r>
            <w:r>
              <w:rPr>
                <w:rFonts w:hint="eastAsia" w:ascii="宋体" w:hAnsi="宋体" w:eastAsia="宋体" w:cs="宋体"/>
                <w:b/>
                <w:bCs/>
                <w:sz w:val="21"/>
                <w:szCs w:val="21"/>
                <w:highlight w:val="none"/>
                <w:lang w:eastAsia="zh-CN"/>
              </w:rPr>
            </w:r>
          </w:p>
          <w:p w14:paraId="11732687">
            <w:commentRangeStart w:id="1"/>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注册地址为福州市马尾区罗星东路2号海峡经贸广场1#楼A615室（自贸试验区内），生产经营地址为福州保税区综合大楼15层20#（自贸试验区内）。材料未提供经营场所的具体面积、权属（自有或租用）及抵押情况。</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材料未提供企业成立时间、注册资本及所属行业信息。</w:t>
            </w:r>
            <w:r>
              <w:rPr>
                <w:rFonts w:hint="eastAsia" w:ascii="宋体" w:hAnsi="宋体" w:eastAsia="宋体" w:cs="宋体"/>
                <w:b/>
                <w:bCs/>
                <w:sz w:val="21"/>
                <w:szCs w:val="21"/>
                <w:highlight w:val="non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z w:val="21"/>
                <w:szCs w:val="21"/>
                <w:highlight w:val="none"/>
                <w:lang w:val="en-US" w:eastAsia="zh-CN"/>
              </w:rPr>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企业实际主营业务为智慧水利与智慧教育。智慧水利业务提供涵盖水灾害、水工程、水资源、水生态水环境、水监督、水政务等六大重点应用的解决方案。智慧教育业务聚焦网络、人工智能、智慧行业领域，提供数字人才培养解决方案，旨在对接产业用人需求与院校人才培养。</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t>。</w:t>
            </w:r>
            <w:commentRangeEnd w:id="2"/>
            <w:r>
              <w:rPr>
                <w:rStyle w:val="CommentReference"/>
              </w:rPr>
              <w:commentReference w:id="2"/>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材料未提供企业股权结构、主要股东及关联企业信息。</w:t>
            </w:r>
            <w:r>
              <w:rPr>
                <w:rFonts w:hint="eastAsia" w:ascii="宋体" w:hAnsi="宋体" w:cs="宋体"/>
                <w:snapToGrid w:val="0"/>
                <w:kern w:val="0"/>
                <w:szCs w:val="21"/>
              </w:rPr>
            </w:r>
            <w:r>
              <w:rPr>
                <w:rFonts w:hint="eastAsia" w:ascii="宋体" w:hAnsi="宋体" w:cs="宋体"/>
                <w:snapToGrid w:val="0"/>
                <w:kern w:val="0"/>
                <w:szCs w:val="21"/>
                <w:lang w:val="en-US" w:eastAsia="zh-CN"/>
              </w:rPr>
            </w:r>
            <w:r>
              <w:rPr>
                <w:rFonts w:hint="eastAsia" w:ascii="宋体" w:hAnsi="宋体" w:cs="宋体"/>
                <w:snapToGrid w:val="0"/>
                <w:kern w:val="0"/>
                <w:szCs w:val="21"/>
              </w:rPr>
            </w:r>
            <w:r>
              <w:rPr>
                <w:rFonts w:hint="eastAsia" w:ascii="宋体" w:hAnsi="宋体" w:cs="宋体"/>
                <w:snapToGrid w:val="0"/>
                <w:color w:val="000000"/>
                <w:kern w:val="0"/>
                <w:szCs w:val="21"/>
              </w:rPr>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commentRangeStart w:id="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股权穿透后实际控制人持股比例：</w:t>
            </w:r>
            <w:r>
              <w:rPr>
                <w:rFonts w:hint="eastAsia" w:ascii="宋体" w:hAnsi="宋体" w:cs="宋体"/>
                <w:snapToGrid w:val="0"/>
                <w:kern w:val="0"/>
                <w:szCs w:val="21"/>
                <w:highlight w:val="none"/>
                <w:u w:val="single"/>
                <w:lang w:val="en-US" w:eastAsia="zh-CN"/>
              </w:rPr>
              <w:t>实控人黄祖海，持股比例____%。</w:t>
            </w:r>
            <w:commentRangeEnd w:id="3"/>
            <w:r>
              <w:rPr>
                <w:rStyle w:val="CommentReference"/>
              </w:rPr>
              <w:commentReference w:id="3"/>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材料未提供企业组织架构、核心管理层及员工规模信息。</w:t>
            </w:r>
            <w:r>
              <w:rPr>
                <w:rFonts w:hint="eastAsia" w:ascii="宋体" w:hAnsi="宋体" w:cs="宋体"/>
                <w:snapToGrid w:val="0"/>
                <w:color w:val="000000"/>
                <w:kern w:val="0"/>
                <w:szCs w:val="21"/>
              </w:rPr>
            </w:r>
            <w:r>
              <w:rPr>
                <w:rFonts w:hint="eastAsia" w:ascii="宋体" w:hAnsi="宋体" w:cs="宋体"/>
                <w:bCs/>
                <w:snapToGrid w:val="0"/>
                <w:color w:val="000000"/>
                <w:kern w:val="0"/>
                <w:szCs w:val="21"/>
                <w:u w:val="single"/>
              </w:rPr>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材料未提供对实际控制人黄祖海的面访记录，包括面访时间、参与人员及对其个人资信、行业经验、经营风格的评价。</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材料未提供实地走访企业生产经营场所的观察记录，包括办公环境、人员到岗、存货状况及内部管理情况。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材料未提供企业历史沿革、重大变更及过往授信合作情况。</w:t>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napToGrid w:val="0"/>
                <w:kern w:val="0"/>
                <w:szCs w:val="21"/>
                <w:highlight w:val="none"/>
              </w:rPr>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2025 年 12 月 2025年12月31日 日，经531系统查询，借款人 2025 年 12 月   日提贷 0万元，到期日 2025 年 12 月   日，贷款采取自主支付方式发放，通过调取借款人账户流水，1. 0万元向 福建中锐网络股份有限公司 有限公司支付 福建中锐网络股份有限公司 货款（已提供发票）；2. 0万元转至工行同户名账户，穿透查看用于向 0 个人支付采购竹刨花原料款 0万元，其余用于支付税款；3.____万元元转至农行同户名账户(基本户），用于向37个员工支付工资款。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授信条件1</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授信条件2</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贷后要求1</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贷后要求2</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kern w:val="0"/>
                <w:szCs w:val="21"/>
                <w:highlight w:val="none"/>
                <w:u w:val="single"/>
              </w:rPr>
              <w:t>黄色</w:t>
            </w:r>
            <w:r>
              <w:rPr>
                <w:rFonts w:hint="eastAsia" w:ascii="宋体" w:hAnsi="宋体" w:cs="宋体"/>
                <w:snapToGrid w:val="0"/>
                <w:kern w:val="0"/>
                <w:szCs w:val="21"/>
                <w:highlight w:val="none"/>
                <w:u w:val="single"/>
                <w:lang w:val="en-US" w:eastAsia="zh-CN"/>
              </w:rPr>
              <w:t>预警</w:t>
            </w:r>
            <w:r>
              <w:rPr>
                <w:rFonts w:hint="eastAsia" w:ascii="宋体" w:hAnsi="宋体" w:cs="宋体"/>
                <w:snapToGrid w:val="0"/>
                <w:kern w:val="0"/>
                <w:szCs w:val="21"/>
                <w:highlight w:val="none"/>
                <w:u w:val="single"/>
              </w:rPr>
              <w:t>提示法定代表人目前信用卡存在逾期，经核实</w:t>
            </w:r>
            <w:r>
              <w:rPr>
                <w:rFonts w:hint="eastAsia" w:ascii="宋体" w:hAnsi="宋体" w:cs="宋体"/>
                <w:snapToGrid w:val="0"/>
                <w:kern w:val="0"/>
                <w:szCs w:val="21"/>
                <w:highlight w:val="none"/>
                <w:u w:val="single"/>
                <w:lang w:eastAsia="zh-CN"/>
              </w:rPr>
              <w:t>，</w:t>
            </w:r>
            <w:r>
              <w:rPr>
                <w:rFonts w:hint="eastAsia" w:ascii="宋体" w:hAnsi="宋体" w:cs="宋体"/>
                <w:snapToGrid w:val="0"/>
                <w:kern w:val="0"/>
                <w:szCs w:val="21"/>
                <w:highlight w:val="none"/>
                <w:u w:val="single"/>
              </w:rPr>
              <w:t>……。</w:t>
            </w:r>
            <w:r>
              <w:rPr>
                <w:rFonts w:hint="eastAsia" w:ascii="宋体" w:hAnsi="宋体" w:cs="宋体"/>
                <w:snapToGrid w:val="0"/>
                <w:kern w:val="0"/>
                <w:szCs w:val="21"/>
                <w:highlight w:val="none"/>
                <w:u w:val="single"/>
                <w:lang w:val="en-US" w:eastAsia="zh-CN"/>
              </w:rPr>
              <w:t>综合评判，未对借款人造成</w:t>
            </w:r>
            <w:r>
              <w:rPr>
                <w:rFonts w:hint="eastAsia" w:ascii="宋体" w:hAnsi="宋体" w:cs="宋体"/>
                <w:snapToGrid w:val="0"/>
                <w:kern w:val="0"/>
                <w:szCs w:val="21"/>
                <w:highlight w:val="none"/>
                <w:u w:val="single"/>
              </w:rPr>
              <w:t>实质性风险。</w:t>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材料未提供关于企业的诉讼、行政处罚、环保（ESG）评价、反洗钱风险等级等负面信息。</w:t>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材料未提供企业其他需说明的重要事项。</w:t>
            </w:r>
            <w:r>
              <w:rPr>
                <w:rFonts w:hint="eastAsia" w:ascii="宋体" w:hAnsi="宋体" w:cs="宋体"/>
                <w:bCs/>
                <w:snapToGrid w:val="0"/>
                <w:color w:val="000000"/>
                <w:kern w:val="0"/>
                <w:szCs w:val="21"/>
                <w:highlight w:val="none"/>
                <w:u w:val="none"/>
                <w:lang w:val="en-US" w:eastAsia="zh-CN"/>
              </w:rPr>
            </w:r>
            <w:r>
              <w:rPr>
                <w:rFonts w:hint="eastAsia" w:ascii="宋体" w:hAnsi="宋体" w:eastAsia="宋体" w:cs="宋体"/>
                <w:b/>
                <w:bCs/>
                <w:snapToGrid w:val="0"/>
                <w:color w:val="000000"/>
                <w:kern w:val="0"/>
                <w:szCs w:val="21"/>
                <w:highlight w:val="none"/>
                <w:lang w:val="en-US" w:eastAsia="zh-CN"/>
              </w:rPr>
            </w:r>
            <w:r>
              <w:rPr>
                <w:rFonts w:hint="eastAsia" w:ascii="宋体" w:hAnsi="宋体" w:cs="宋体"/>
                <w:b/>
                <w:snapToGrid w:val="0"/>
                <w:color w:val="000000"/>
                <w:kern w:val="0"/>
                <w:szCs w:val="21"/>
                <w:u w:val="single"/>
                <w:lang w:val="en-US" w:eastAsia="zh-CN"/>
              </w:rPr>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材料未提供法定代表人信息，无法对其个人背景、从业经历及管理能力进行评估。</w:t>
            </w:r>
            <w:r>
              <w:rPr>
                <w:rFonts w:hint="eastAsia" w:ascii="宋体" w:hAnsi="宋体" w:cs="宋体"/>
                <w:b/>
                <w:snapToGrid w:val="0"/>
                <w:kern w:val="0"/>
                <w:szCs w:val="21"/>
              </w:rPr>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材料未提供法定代表人信息，无法对其个人背景、从业经历及管理能力进行评估。</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材料未提供其出生年份、籍贯、婚姻状况、学历及过往从业任职经历等详细信息，无法对其行业经验、管理能力及个人信用状况进行深入评估。</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材料未提供借款人及实际控制人黄祖海的家庭资产情况，包括房产、投资、金融资产等具体信息。该信息缺失使得银行无法评估其个人财富实力、资产变现能力及对企业的潜在支持力度，增加了对借款人第一还款来源依赖的风险。</w:t>
            </w:r>
            <w:r>
              <w:rPr>
                <w:rFonts w:hint="eastAsia" w:ascii="宋体" w:hAnsi="宋体" w:cs="宋体"/>
                <w:b/>
                <w:bCs/>
                <w:snapToGrid w:val="0"/>
                <w:color w:val="auto"/>
                <w:kern w:val="0"/>
                <w:szCs w:val="21"/>
                <w:highlight w:val="none"/>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000000"/>
                <w:kern w:val="0"/>
                <w:szCs w:val="21"/>
              </w:rPr>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出租，出租方陈独熹公司/个人，年租金____万元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5万元，较年初的2518万元有所增加，主要投向联营或合营企业。其他权益工具投资期末余额为81万元，较年初的100万元略有减少。材料未提供被投资企业的具体名称、持股比例及经营状况，无法评估关联企业间的交易往来、资金占用及对申请人偿债能力的潜在影响。</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 w:val="21"/>
                <w:szCs w:val="21"/>
                <w:highlight w:val="none"/>
                <w:lang w:val="en-US" w:eastAsia="zh-CN"/>
              </w:rPr>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w:t>
            </w:r>
            <w:r>
              <w:rPr>
                <w:rFonts w:hint="eastAsia" w:ascii="宋体" w:hAnsi="宋体" w:eastAsia="宋体" w:cs="宋体"/>
                <w:b/>
                <w:bCs/>
                <w:snapToGrid w:val="0"/>
                <w:kern w:val="0"/>
                <w:szCs w:val="21"/>
                <w:highlight w:val="none"/>
                <w:lang w:eastAsia="zh-CN"/>
              </w:rPr>
              <w:t>：</w:t>
            </w:r>
            <w:r>
              <w:rPr>
                <w:rFonts w:hint="eastAsia" w:ascii="宋体" w:hAnsi="宋体" w:eastAsia="宋体" w:cs="宋体"/>
                <w:snapToGrid w:val="0"/>
                <w:kern w:val="0"/>
                <w:szCs w:val="21"/>
                <w:lang w:eastAsia="zh-CN"/>
              </w:rPr>
              <w:t>可附图</w:t>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w:t>
            </w:r>
            <w:r>
              <w:rPr>
                <w:rFonts w:hint="eastAsia" w:ascii="宋体" w:hAnsi="宋体" w:cs="宋体"/>
                <w:snapToGrid w:val="0"/>
                <w:kern w:val="0"/>
                <w:szCs w:val="21"/>
                <w:highlight w:val="none"/>
                <w:u w:val="single"/>
              </w:rPr>
              <w:t>企业关联方众多，但仅关联企业1、2有实际经营，总体经营规模不大，与借款企业存在少量关联交易、资金往来。</w:t>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commentRangeStart w:id="4"/>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集团内因生产工艺等原因，互有关联销售，合计在____亿左右，剔除关联交易后，集团整体销售约____亿。</w:t>
            </w:r>
            <w:commentRangeEnd w:id="4"/>
            <w:r>
              <w:rPr>
                <w:rStyle w:val="CommentReference"/>
              </w:rPr>
              <w:commentReference w:id="4"/>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w:t>
            </w:r>
            <w:r>
              <w:rPr>
                <w:rFonts w:hint="eastAsia" w:ascii="宋体" w:hAnsi="宋体" w:cs="宋体"/>
                <w:b/>
                <w:bCs/>
                <w:snapToGrid w:val="0"/>
                <w:color w:val="000000"/>
                <w:kern w:val="0"/>
                <w:szCs w:val="21"/>
                <w:highlight w:val="none"/>
              </w:rPr>
              <w:t>产品（业务）</w:t>
            </w:r>
            <w:r>
              <w:rPr>
                <w:rFonts w:hint="eastAsia" w:ascii="宋体" w:hAnsi="宋体" w:cs="宋体"/>
                <w:b/>
                <w:bCs/>
                <w:snapToGrid w:val="0"/>
                <w:color w:val="000000"/>
                <w:kern w:val="0"/>
                <w:szCs w:val="21"/>
                <w:highlight w:val="none"/>
                <w:lang w:val="en-US" w:eastAsia="zh-CN"/>
              </w:rPr>
              <w:t>及其市场应用</w:t>
            </w:r>
            <w:r>
              <w:rPr>
                <w:rFonts w:hint="eastAsia" w:ascii="宋体" w:hAnsi="宋体" w:cs="宋体"/>
                <w:b/>
                <w:bCs/>
                <w:snapToGrid w:val="0"/>
                <w:color w:val="000000"/>
                <w:kern w:val="0"/>
                <w:szCs w:val="21"/>
                <w:highlight w:val="none"/>
              </w:rPr>
              <w:t>：</w:t>
            </w:r>
            <w:r>
              <w:rPr>
                <w:rFonts w:hint="eastAsia" w:ascii="宋体" w:hAnsi="宋体" w:cs="宋体"/>
                <w:snapToGrid w:val="0"/>
                <w:kern w:val="0"/>
                <w:szCs w:val="21"/>
                <w:highlight w:val="none"/>
                <w:u w:val="single"/>
              </w:rPr>
              <w:t>主营芯片设计，主要销售的芯片为28nm级，产品主要</w:t>
            </w:r>
            <w:r>
              <w:rPr>
                <w:rFonts w:hint="eastAsia" w:ascii="宋体" w:hAnsi="宋体" w:cs="宋体"/>
                <w:snapToGrid w:val="0"/>
                <w:kern w:val="0"/>
                <w:szCs w:val="21"/>
                <w:highlight w:val="none"/>
                <w:u w:val="single"/>
                <w:lang w:val="en-US" w:eastAsia="zh-CN"/>
              </w:rPr>
              <w:t>用于智慧水利、智慧教育</w:t>
            </w:r>
            <w:r>
              <w:rPr>
                <w:rFonts w:hint="eastAsia" w:ascii="宋体" w:hAnsi="宋体" w:cs="宋体"/>
                <w:snapToGrid w:val="0"/>
                <w:kern w:val="0"/>
                <w:szCs w:val="21"/>
                <w:highlight w:val="none"/>
                <w:u w:val="single"/>
              </w:rPr>
              <w:t>等。</w:t>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材料未提供借款人主营业务的具体经营模式、主要产品、销售区域及上下游客户情况，无法对其经营稳定性及市场竞争力进行分析。</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rPr>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材料未提供借款人的产能、产量、设备及生产流程信息，无法进行生产分析。</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eastAsia="宋体" w:cs="宋体"/>
                <w:snapToGrid w:val="0"/>
                <w:kern w:val="0"/>
                <w:szCs w:val="21"/>
                <w:highlight w:val="none"/>
                <w:lang w:eastAsia="zh-CN"/>
              </w:rPr>
            </w:r>
            <w:r>
              <w:rPr>
                <w:rFonts w:hint="eastAsia" w:ascii="宋体" w:hAnsi="宋体" w:cs="宋体"/>
                <w:snapToGrid w:val="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材料未提供借款人的生产设备、产能、产量、产能利用率及产销率信息，无法进行生产分析。材料亦未提供用电量数据，无法分析其生产能耗变动情况。</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w:t>
            </w:r>
            <w:r>
              <w:rPr>
                <w:rFonts w:hint="eastAsia" w:ascii="宋体" w:hAnsi="宋体" w:cs="宋体"/>
                <w:b/>
                <w:bCs/>
                <w:snapToGrid w:val="0"/>
                <w:color w:val="000000"/>
                <w:kern w:val="0"/>
                <w:szCs w:val="21"/>
                <w:highlight w:val="none"/>
              </w:rPr>
              <w:t>上下游情况：</w:t>
            </w:r>
            <w:r>
              <w:rPr>
                <w:rFonts w:hint="eastAsia" w:ascii="宋体" w:hAnsi="宋体" w:cs="宋体"/>
                <w:snapToGrid w:val="0"/>
                <w:color w:val="000000"/>
                <w:kern w:val="0"/>
                <w:szCs w:val="21"/>
                <w:highlight w:val="none"/>
                <w:u w:val="single"/>
              </w:rPr>
              <w:t>企业上游为中芯国际等，部分晶圆通过骏方微电子、成都锐杰微等民营企业下单采购</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下游</w:t>
            </w:r>
            <w:r>
              <w:rPr>
                <w:rFonts w:hint="eastAsia" w:ascii="宋体" w:hAnsi="宋体" w:cs="宋体"/>
                <w:snapToGrid w:val="0"/>
                <w:color w:val="000000"/>
                <w:kern w:val="0"/>
                <w:szCs w:val="21"/>
                <w:highlight w:val="none"/>
                <w:u w:val="single"/>
              </w:rPr>
              <w:t>客户有中电二十七所、中电五十四所、中电西安乾景防务、中国兵器工业导航与控制技术研究所等，客户资质较强，均为国有大型企业、院所。</w:t>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材料未提供借款人的销售模式、主要客户、销售区域及市场占有率信息，无法进行销售分析。</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材料未提供借款人的采购模式、主要供应商、采购结算方式及原材料价格波动情况，无法进行采购分析。</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材料未提供借款人的研发投入、研发团队、核心技术及知识产权情况，无法进行研发分析。</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材料未提供借款人的员工构成、薪酬水平及人力资源管理情况，无法进行人力资源分析。</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____研究所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材料未提供借款人的公司治理结构、内部控制制度及管理层信息，无法进行公司治理分析。</w:t>
            </w:r>
            <w:r>
              <w:rPr>
                <w:rFonts w:ascii="宋体" w:hAnsi="宋体"/>
                <w:b/>
                <w:bCs/>
                <w:color w:val="000000"/>
                <w:highlight w:val="none"/>
              </w:rPr>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r>
                    <w:t>财报销售收入与纳税申报表合计收入一致</w:t>
                  </w: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r>
                    <w:t>纳税申报表合计收入与财报销售收入一致</w:t>
                  </w: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r>
                    <w:t>纳税收入占财报百分比均为100%，数据一致</w:t>
                  </w: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材料未提供借款人的行业地位、竞争优势及面临的主要风险，无法进行行业与竞争分析。</w:t>
            </w:r>
            <w:r>
              <w:rPr>
                <w:rFonts w:ascii="宋体" w:hAnsi="宋体"/>
                <w:b/>
                <w:bCs/>
                <w:color w:val="000000"/>
                <w:highlight w:val="none"/>
              </w:rPr>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借款人近三年财务报表均经德赢（福建）会计师事务所（普通合伙）审计，并出具了标准无保留意见的审计报告。审计机构未发生变动。近三年主要财务数据如下（单位：万元）：| :--- | :--- | :--- | :--- || 总资产 | 17,940.21 | 18,575.43 | 16,956.49 || 流动资产 | 14,191.91 | 14,707.62 | 13,109.52 || 总负债 | 9,013.59 | 9,319.80 | 7,207.09 || 所有者权益 | 8,926.62 | 9,255.63 | 9,749.40 || 营业收入 | 12,130.09 | 8,712.37 | 10,009.63 || 净利润 | 392.52 | 329.01 | 493.77 || 经营活动现金流量净额 | 269.34 | -896.01 | 791.17 |</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注：以下财务数据明细为</w:t>
            </w:r>
            <w:r>
              <w:rPr>
                <w:rFonts w:hint="eastAsia" w:ascii="宋体" w:hAnsi="宋体" w:cs="宋体"/>
                <w:bCs/>
                <w:snapToGrid w:val="0"/>
                <w:kern w:val="0"/>
                <w:szCs w:val="21"/>
                <w:highlight w:val="none"/>
                <w:u w:val="single"/>
                <w:lang w:val="en-US" w:eastAsia="zh-CN"/>
              </w:rPr>
              <w:t>2025年X月</w:t>
            </w:r>
            <w:r>
              <w:rPr>
                <w:rFonts w:hint="eastAsia" w:ascii="宋体" w:hAnsi="宋体" w:cs="宋体"/>
                <w:bCs/>
                <w:snapToGrid w:val="0"/>
                <w:color w:val="000000"/>
                <w:kern w:val="0"/>
                <w:szCs w:val="21"/>
                <w:highlight w:val="none"/>
                <w:lang w:val="en-US" w:eastAsia="zh-CN"/>
              </w:rPr>
              <w:t>数据</w:t>
            </w:r>
            <w:r>
              <w:rPr>
                <w:rFonts w:hint="eastAsia" w:ascii="宋体" w:hAnsi="宋体" w:cs="宋体"/>
                <w:bCs/>
                <w:snapToGrid w:val="0"/>
                <w:kern w:val="0"/>
                <w:szCs w:val="21"/>
                <w:highlight w:val="none"/>
                <w:lang w:val="en-US" w:eastAsia="zh-CN"/>
              </w:rPr>
              <w:t>（若该科目占比超10%或变动超20%的需做具体分析，其他可视情况简要说明）</w:t>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应收账款余额为7,430万元，占总资产的43.82%，占流动资产的56.69%。较2024年末的9,253万元下降19.70%，回款情况有所改善。应收账款规模较大，占用了较多营运资金，需关注其回收风险及对现金流的影响。</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截至2025年末，其他应收款余额为2,774万元，占总资产的16.36%，占流动资产的21.16%。较2024年末的3,522万元下降21.24%。材料未提供其他应收款的具体构成，无法判断其性质及回收风险。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截至2025年末，存货余额为2,192万元，占总资产的12.93%，占流动资产的16.73%。较2024年末的1,166万元大幅增长87.96%。存货快速增长，可能占压营运资金，需关注其构成、周转情况及减值风险。</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截至2025年末，长期股权投资余额为3,123万元，占总资产的18.42%。较2024年末的2,518万元增长24.02%。其他权益工具投资余额为81万元。材料未提供长期投资的具体构成及投资效益，无法判断其风险。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截至2025年末，应付账款余额为1,26万元，占总负债的14.23%。较2024年末的2,333万元大幅下降56.05%，显示公司对上游供应商的付款压力有所缓解，或调整了采购结算策略。</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截至2025年末，其他应付款余额为168万元，占总负债的2.33%。较2024年末的648万元下降74.10%。材料未提供其他应付款的具体构成。</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材料未提供借款人的短期借款、长期借款的明细构成、利率、担保方式及还款计划。</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材料未提供借款人的所有者权益变动详情，包括实收资本、资本公积、盈余公积及未分配利润的具体变动原因。</w:t>
            </w:r>
            <w:r>
              <w:rPr>
                <w:rFonts w:hint="eastAsia" w:ascii="宋体" w:hAnsi="宋体" w:cs="宋体"/>
                <w:b w:val="0"/>
                <w:bCs w:val="0"/>
                <w:snapToGrid w:val="0"/>
                <w:color w:val="000000"/>
                <w:kern w:val="0"/>
                <w:szCs w:val="21"/>
                <w:highlight w:val="none"/>
                <w:lang w:val="en-US" w:eastAsia="zh-CN"/>
              </w:rPr>
            </w:r>
            <w:r>
              <w:rPr>
                <w:rFonts w:hint="eastAsia" w:ascii="宋体" w:hAnsi="宋体" w:cs="宋体"/>
                <w:b w:val="0"/>
                <w:bCs w:val="0"/>
                <w:snapToGrid w:val="0"/>
                <w:color w:val="000000"/>
                <w:kern w:val="0"/>
                <w:szCs w:val="21"/>
                <w:highlight w:val="none"/>
                <w:lang w:val="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固定资产投资方面，2025年现金流量表显示“购建固定资产、无形资产和其他长期资产支付的现金”为0元，而2024年此项支出为27万元，2023年为199万元。2025年末固定资产净值较年初减少71万元。材料未提供后续大额固定资产投入计划。</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
                <w:bCs w:val="0"/>
                <w:snapToGrid w:val="0"/>
                <w:kern w:val="0"/>
                <w:szCs w:val="21"/>
                <w:highlight w:val="none"/>
                <w:lang w:val="zh-CN"/>
              </w:rPr>
            </w:r>
            <w:r>
              <w:rPr>
                <w:rFonts w:hint="eastAsia" w:ascii="宋体" w:hAnsi="宋体" w:cs="宋体"/>
                <w:b/>
                <w:bCs w:val="0"/>
                <w:snapToGrid w:val="0"/>
                <w:kern w:val="0"/>
                <w:szCs w:val="21"/>
                <w:highlight w:val="none"/>
                <w:lang w:val="en-US" w:eastAsia="zh-CN"/>
              </w:rPr>
            </w:r>
            <w:r>
              <w:rPr>
                <w:rFonts w:hint="eastAsia" w:ascii="宋体" w:hAnsi="宋体" w:cs="宋体"/>
                <w:b/>
                <w:bCs w:val="0"/>
                <w:snapToGrid w:val="0"/>
                <w:kern w:val="0"/>
                <w:szCs w:val="21"/>
                <w:highlight w:val="none"/>
                <w:lang w:val="zh-CN"/>
              </w:rPr>
            </w:r>
            <w:r>
              <w:rPr>
                <w:rFonts w:hint="eastAsia" w:ascii="宋体" w:hAnsi="宋体" w:cs="宋体"/>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2025年变动较大的财务指标还包括：预付款项期末余额428万元，较年初260万元增长64.39%；预收款项（合同负债）期末余额978万元，较年初890万元增长9.82%。预付款项增长较快，需关注其商业合理性。</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现金流分析</w:t>
            </w:r>
            <w:r>
              <w:rPr>
                <w:rFonts w:hint="eastAsia" w:ascii="宋体" w:hAnsi="宋体" w:cs="宋体"/>
                <w:b w:val="0"/>
                <w:bCs/>
                <w:snapToGrid w:val="0"/>
                <w:kern w:val="0"/>
                <w:szCs w:val="21"/>
                <w:highlight w:val="none"/>
                <w:lang w:val="en-US" w:eastAsia="zh-CN"/>
              </w:rPr>
              <w:t>（</w:t>
            </w:r>
            <w:r>
              <w:rPr>
                <w:rFonts w:hint="eastAsia" w:ascii="宋体" w:hAnsi="宋体" w:eastAsia="宋体" w:cs="宋体"/>
                <w:b w:val="0"/>
                <w:bCs/>
                <w:snapToGrid w:val="0"/>
                <w:kern w:val="0"/>
                <w:szCs w:val="21"/>
                <w:highlight w:val="none"/>
                <w:lang w:val="en-US" w:eastAsia="zh-CN"/>
              </w:rPr>
              <w:t>例：</w:t>
            </w:r>
            <w:r>
              <w:rPr>
                <w:rFonts w:hint="eastAsia" w:ascii="宋体" w:hAnsi="宋体" w:eastAsia="宋体" w:cs="宋体"/>
                <w:b w:val="0"/>
                <w:bCs/>
                <w:snapToGrid w:val="0"/>
                <w:szCs w:val="21"/>
                <w:highlight w:val="none"/>
                <w:u w:val="single"/>
                <w:lang w:val="en-US" w:eastAsia="zh-CN"/>
              </w:rPr>
              <w:t>去年至今年的应收账期一般在240天，预计明年将恢复至4个月左右，公司也在管控账期，所以现有1.05亿元应收款预计2025年能收回，按照25年3.6亿元营收预测，能回收2.4-2.5亿元，合计现金流入3.4-3.5亿元。当年成本支出约2.66亿，管理费用、研发费用、销售费用支出约0.96亿，合计支出约3.62亿；现金流稍有流出，基本实现平衡。反向预估，明年预计债权融资控制在1亿元左右（较目前增加约3000万），无大额固定资产投入，账面资金预计保持在2000-3000万元（较目前增加1000-2000万），现金流同样稍有流出，基本实现平衡。</w:t>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材料未提供借款人的现金流量结构分析、盈利质量分析及同行业对比数据。</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总体财务情况小结：借款人近三年营业收入存在波动，2025年实现营业收入10,10万元，同比增长14.89%，净利润494万元，同比增长50.06%，盈利能力有所恢复。2025年经营活动现金流量净额为791万元，由负转正，现金流状况改善。截至2025年末，资产负债率为42.50%，负债水平适中；流动比率为1.82，短期偿债能力尚可。但需关注应收账款和存货占比较高对资金周转效率的影响，以及营业收入规模尚未恢复至2023年水平所反映的业务稳定性问题。</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材料未提供借款人的或有负债、诉讼仲裁、行政处罚等重大事项情况。</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材料未提供借款人的关联方及关联交易情况。</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0万元（报表数据）。材料未提供各行贷款的具体分布、担保方式及五级分类情况。材料亦未提供对外担保及被追偿记录信息。</w:t>
            </w:r>
          </w:p>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t>材料未涉及中长期借款，故无相关还款计划及资金安排信息。</w:t>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材料未提供借款人固定资产贷款还款计划相关信息，无法评估其长期债务的还款安排及对本次授信的影响。</w:t>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lang w:eastAsia="zh-CN"/>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2025年度，借款人经营活动产生的现金流量净额为791万元，投资活动净流出586万元，筹资活动净流出426万元，整体现金净减少221万元。期末货币资金余额为286万元，对短期借款的覆盖能力较弱，主要依赖经营回款和外部融资周转。</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5"/>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5"/>
            <w:r>
              <w:rPr>
                <w:rStyle w:val="CommentReference"/>
              </w:rPr>
              <w:commentReference w:id="5"/>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（若有）固贷还款计划如下：建设银行项目贷款（配套项目均已建成，已有经营回款能力）</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2025年还款1188万元、2026年1926万元、2027年2430万元、2028年2330万元、2029年2500万元、2030年1637万元，按预测销售趋势及净利润水平来看，可足额归还相关项目贷款资金。</w:t>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commentRangeStart w:id="7"/>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7"/>
            <w:r>
              <w:rPr>
                <w:rStyle w:val="CommentReference"/>
              </w:rPr>
              <w:commentReference w:id="7"/>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材料未提供借款人对外担保情况以及实际控制人黄祖海的个人征信报告，无法评估其或有负债风险及实际控制人的信用状况。</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commentRangeStart w:id="8"/>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实控人配偶情况：</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陈</w:t>
            </w:r>
            <w:r>
              <w:rPr>
                <w:rFonts w:hint="eastAsia" w:ascii="宋体" w:hAnsi="宋体" w:cs="宋体"/>
                <w:snapToGrid w:val="0"/>
                <w:color w:val="000000"/>
                <w:kern w:val="0"/>
                <w:szCs w:val="21"/>
                <w:highlight w:val="none"/>
                <w:u w:val="single"/>
                <w:lang w:val="en-US" w:eastAsia="zh-CN"/>
              </w:rPr>
              <w:t>____</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highlight w:val="none"/>
                <w:u w:val="single"/>
              </w:rPr>
              <w:t>19</w:t>
            </w:r>
            <w:r>
              <w:rPr>
                <w:rFonts w:hint="eastAsia" w:ascii="宋体" w:hAnsi="宋体" w:cs="宋体"/>
                <w:snapToGrid w:val="0"/>
                <w:color w:val="000000"/>
                <w:kern w:val="0"/>
                <w:szCs w:val="21"/>
                <w:highlight w:val="none"/>
                <w:u w:val="single"/>
                <w:lang w:val="en-US" w:eastAsia="zh-CN"/>
              </w:rPr>
              <w:t>78</w:t>
            </w:r>
            <w:r>
              <w:rPr>
                <w:rFonts w:hint="eastAsia" w:ascii="宋体" w:hAnsi="宋体" w:cs="宋体"/>
                <w:snapToGrid w:val="0"/>
                <w:color w:val="000000"/>
                <w:kern w:val="0"/>
                <w:szCs w:val="21"/>
                <w:highlight w:val="none"/>
                <w:u w:val="single"/>
              </w:rPr>
              <w:t>年</w:t>
            </w:r>
            <w:r>
              <w:rPr>
                <w:rFonts w:hint="eastAsia" w:ascii="宋体" w:hAnsi="宋体" w:cs="宋体"/>
                <w:snapToGrid w:val="0"/>
                <w:color w:val="000000"/>
                <w:kern w:val="0"/>
                <w:szCs w:val="21"/>
                <w:highlight w:val="none"/>
              </w:rPr>
              <w:t>生，</w:t>
            </w:r>
            <w:r>
              <w:rPr>
                <w:rFonts w:hint="eastAsia" w:ascii="宋体" w:hAnsi="宋体" w:cs="宋体"/>
                <w:snapToGrid w:val="0"/>
                <w:color w:val="000000"/>
                <w:kern w:val="0"/>
                <w:szCs w:val="21"/>
                <w:highlight w:val="none"/>
                <w:lang w:val="en-US" w:eastAsia="zh-CN"/>
              </w:rPr>
              <w:t>个人</w:t>
            </w:r>
            <w:r>
              <w:rPr>
                <w:rFonts w:hint="eastAsia" w:ascii="宋体" w:hAnsi="宋体" w:cs="宋体"/>
                <w:snapToGrid w:val="0"/>
                <w:color w:val="000000"/>
                <w:kern w:val="0"/>
                <w:szCs w:val="21"/>
                <w:highlight w:val="none"/>
              </w:rPr>
              <w:t>征信信息：</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kern w:val="0"/>
                <w:szCs w:val="21"/>
                <w:highlight w:val="none"/>
                <w:u w:val="single"/>
                <w:lang w:val="en-US" w:eastAsia="zh-CN"/>
              </w:rPr>
              <w:t>可参考实控人征信描述格式</w:t>
            </w:r>
            <w:r>
              <w:rPr>
                <w:rFonts w:hint="eastAsia" w:ascii="宋体" w:hAnsi="宋体" w:cs="宋体"/>
                <w:bCs/>
                <w:snapToGrid w:val="0"/>
                <w:color w:val="000000"/>
                <w:kern w:val="0"/>
                <w:szCs w:val="21"/>
                <w:highlight w:val="none"/>
                <w:u w:val="single"/>
              </w:rPr>
              <w:t xml:space="preserve"> </w:t>
            </w:r>
            <w:commentRangeEnd w:id="8"/>
            <w:r>
              <w:rPr>
                <w:rStyle w:val="CommentReference"/>
              </w:rPr>
              <w:commentReference w:id="8"/>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材料未提供企业所属行业信息，无法进行行业分类分析。</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材料未提供企业注册资本信息，无法分析其资本实力。</w:t>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企业实际控制人为黄祖海，材料未提供其个人背景、从业经验及控制的其他企业信息，无法评估其管理能力及关联风险。</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企业2025年营业收入为10010万元，净利润为494万元。根据2023-2025年审计报告及财务报表，企业营业收入从2023年的12130万元下降至2025年的10010万元，呈波动下滑趋势；净利润从2023年的393万元波动增长至2025年的494万元，盈利能力有所恢复但整体规模有限。</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6C01223F">
            <w:commentRangeStart w:id="9"/>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9"/>
            <w:r>
              <w:rPr>
                <w:rStyle w:val="CommentReference"/>
              </w:rPr>
              <w:commentReference w:id="9"/>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企业2025年末总资产为16956万元，资产负债率为42.5%，流动比率为1.82。资产规模较2024年末的18575万元有所收缩，主要系流动资产减少所致。资产负债率处于适中水平，流动比率显示短期偿债能力尚可，但需关注其流动资产中应收账款占比较高（2025年末为7430万元，占流动资产56.7%）对资金周转的影响。</w:t>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r>
              <w:rPr>
                <w:rFonts w:hint="eastAsia" w:ascii="宋体" w:hAnsi="宋体" w:eastAsia="宋体" w:cs="宋体"/>
                <w:b/>
                <w:bCs w:val="0"/>
                <w:kern w:val="2"/>
                <w:szCs w:val="21"/>
                <w:highlight w:val="none"/>
                <w:lang w:val="en-US"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材料未提供企业在申请行的历史结算、存款、代发等业务数据，无法评估其过往综合贡献度。</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材料未提供企业在申请行的预计结算、存款、代发等业务承诺数据，无法评估其未来综合效益潜力。</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本次申请为续贷业务，旨在满足企业日常经营周转需求。企业2025年度经营活动产生的现金流量净额为791万元，但期末货币资金余额仅为286万元，现金储备相对紧张。结合其2025年营业收入为10010万元，业务规模保持一定体量，本次续贷有助于保障其智慧水利、智慧教育等主营业务的正常开展，稳定现有融资渠道，避免因贷款到期偿还而影响其资金链的连续性。</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材料未提供关于本次授信所能产生的社会效益（如促进就业、增加税收、支持特定产业或区域发展）的具体信息，无法对此进行分析。</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借款原因说明：</w:t>
            </w:r>
            <w:r>
              <w:rPr>
                <w:rFonts w:hint="eastAsia" w:ascii="宋体" w:hAnsi="宋体" w:cs="宋体"/>
                <w:snapToGrid w:val="0"/>
                <w:color w:val="000000"/>
                <w:kern w:val="0"/>
                <w:szCs w:val="21"/>
                <w:highlight w:val="none"/>
                <w:u w:val="single"/>
              </w:rPr>
              <w:t>借款</w:t>
            </w:r>
            <w:r>
              <w:rPr>
                <w:rFonts w:hint="eastAsia" w:ascii="宋体" w:hAnsi="宋体" w:cs="宋体"/>
                <w:snapToGrid w:val="0"/>
                <w:color w:val="000000"/>
                <w:kern w:val="0"/>
                <w:szCs w:val="21"/>
                <w:highlight w:val="none"/>
                <w:u w:val="single"/>
                <w:lang w:val="en-US" w:eastAsia="zh-CN"/>
              </w:rPr>
              <w:t>人</w:t>
            </w:r>
            <w:r>
              <w:rPr>
                <w:rFonts w:hint="eastAsia" w:ascii="宋体" w:hAnsi="宋体" w:cs="宋体"/>
                <w:snapToGrid w:val="0"/>
                <w:color w:val="000000"/>
                <w:kern w:val="0"/>
                <w:szCs w:val="21"/>
                <w:highlight w:val="none"/>
                <w:u w:val="single"/>
              </w:rPr>
              <w:t>目前经营性现金流状况</w:t>
            </w:r>
            <w:r>
              <w:rPr>
                <w:rFonts w:hint="eastAsia" w:ascii="宋体" w:hAnsi="宋体" w:cs="宋体"/>
                <w:snapToGrid w:val="0"/>
                <w:color w:val="000000"/>
                <w:kern w:val="0"/>
                <w:szCs w:val="21"/>
                <w:highlight w:val="none"/>
                <w:u w:val="single"/>
                <w:lang w:val="en-US" w:eastAsia="zh-CN"/>
              </w:rPr>
              <w:t>整体</w:t>
            </w:r>
            <w:r>
              <w:rPr>
                <w:rFonts w:hint="eastAsia" w:ascii="宋体" w:hAnsi="宋体" w:cs="宋体"/>
                <w:snapToGrid w:val="0"/>
                <w:color w:val="000000"/>
                <w:kern w:val="0"/>
                <w:szCs w:val="21"/>
                <w:highlight w:val="none"/>
                <w:u w:val="single"/>
              </w:rPr>
              <w:t>较好</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且账上拥有</w:t>
            </w:r>
            <w:r>
              <w:rPr>
                <w:rFonts w:hint="eastAsia" w:ascii="宋体" w:hAnsi="宋体" w:cs="宋体"/>
                <w:snapToGrid w:val="0"/>
                <w:color w:val="000000"/>
                <w:kern w:val="0"/>
                <w:szCs w:val="21"/>
                <w:highlight w:val="none"/>
                <w:u w:val="single"/>
              </w:rPr>
              <w:t>货币资金1500万，但因对上游账款预付或现付、下游货款回笼较慢，且前端工序处于涨价周期，对营运资金需求较大</w:t>
            </w:r>
            <w:r>
              <w:rPr>
                <w:rFonts w:hint="eastAsia" w:ascii="宋体" w:hAnsi="宋体" w:cs="宋体"/>
                <w:snapToGrid w:val="0"/>
                <w:color w:val="000000"/>
                <w:kern w:val="0"/>
                <w:szCs w:val="21"/>
                <w:highlight w:val="none"/>
                <w:u w:val="single"/>
                <w:lang w:eastAsia="zh-CN"/>
              </w:rPr>
              <w:t>，</w:t>
            </w:r>
            <w:r>
              <w:rPr>
                <w:rFonts w:hint="eastAsia" w:ascii="宋体" w:hAnsi="宋体" w:cs="宋体"/>
                <w:snapToGrid w:val="0"/>
                <w:color w:val="000000"/>
                <w:kern w:val="0"/>
                <w:szCs w:val="21"/>
                <w:highlight w:val="none"/>
                <w:u w:val="single"/>
                <w:lang w:val="en-US" w:eastAsia="zh-CN"/>
              </w:rPr>
              <w:t>故需申请部分贷款用于补充流动资金</w:t>
            </w:r>
            <w:r>
              <w:rPr>
                <w:rFonts w:hint="eastAsia" w:ascii="宋体" w:hAnsi="宋体" w:cs="宋体"/>
                <w:snapToGrid w:val="0"/>
                <w:color w:val="000000"/>
                <w:kern w:val="0"/>
                <w:szCs w:val="21"/>
                <w:highlight w:val="none"/>
                <w:u w:val="single"/>
              </w:rPr>
              <w:t>。</w:t>
            </w:r>
          </w:p>
          <w:p w14:paraId="13F0D54A">
            <w:commentRangeStart w:id="10"/>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10"/>
            <w:r>
              <w:rPr>
                <w:rStyle w:val="CommentReference"/>
              </w:rPr>
              <w:commentReference w:id="10"/>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commentRangeStart w:id="1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w:t>
            </w:r>
            <w:r>
              <w:rPr>
                <w:rFonts w:hint="eastAsia" w:ascii="宋体" w:hAnsi="宋体" w:cs="宋体"/>
                <w:b/>
                <w:bCs/>
                <w:snapToGrid w:val="0"/>
                <w:color w:val="auto"/>
                <w:kern w:val="0"/>
                <w:szCs w:val="21"/>
                <w:highlight w:val="none"/>
                <w:lang w:val="en-US" w:eastAsia="zh-CN"/>
              </w:rPr>
              <w:t>流动资金需求</w:t>
            </w:r>
            <w:r>
              <w:rPr>
                <w:rFonts w:hint="eastAsia" w:ascii="宋体" w:hAnsi="宋体" w:cs="宋体"/>
                <w:b/>
                <w:bCs/>
                <w:snapToGrid w:val="0"/>
                <w:color w:val="auto"/>
                <w:kern w:val="0"/>
                <w:szCs w:val="21"/>
                <w:highlight w:val="none"/>
              </w:rPr>
              <w:t>测算，</w:t>
            </w:r>
            <w:r>
              <w:rPr>
                <w:rFonts w:hint="eastAsia" w:ascii="宋体" w:hAnsi="宋体" w:cs="宋体"/>
                <w:snapToGrid w:val="0"/>
                <w:color w:val="auto"/>
                <w:kern w:val="0"/>
                <w:szCs w:val="21"/>
                <w:highlight w:val="none"/>
              </w:rPr>
              <w:t>企业</w:t>
            </w:r>
            <w:r>
              <w:rPr>
                <w:rFonts w:hint="eastAsia" w:ascii="宋体" w:hAnsi="宋体" w:cs="宋体"/>
                <w:snapToGrid w:val="0"/>
                <w:color w:val="auto"/>
                <w:kern w:val="0"/>
                <w:szCs w:val="21"/>
                <w:highlight w:val="none"/>
                <w:lang w:val="en-US" w:eastAsia="zh-CN"/>
              </w:rPr>
              <w:t>营运资金需求</w:t>
            </w:r>
            <w:r>
              <w:rPr>
                <w:rFonts w:hint="eastAsia" w:ascii="宋体" w:hAnsi="宋体" w:cs="宋体"/>
                <w:snapToGrid w:val="0"/>
                <w:color w:val="auto"/>
                <w:kern w:val="0"/>
                <w:szCs w:val="21"/>
                <w:highlight w:val="none"/>
              </w:rPr>
              <w:t>：</w:t>
            </w:r>
            <w:r>
              <w:rPr>
                <w:rFonts w:hint="eastAsia" w:ascii="宋体" w:hAnsi="宋体" w:cs="宋体"/>
                <w:snapToGrid w:val="0"/>
                <w:color w:val="auto"/>
                <w:kern w:val="0"/>
                <w:szCs w:val="21"/>
                <w:highlight w:val="none"/>
                <w:u w:val="single"/>
              </w:rPr>
              <w:t xml:space="preserve">    </w:t>
            </w:r>
            <w:r>
              <w:rPr>
                <w:rFonts w:hint="eastAsia" w:ascii="宋体" w:hAnsi="宋体" w:cs="宋体"/>
                <w:snapToGrid w:val="0"/>
                <w:color w:val="auto"/>
                <w:kern w:val="0"/>
                <w:szCs w:val="21"/>
                <w:highlight w:val="none"/>
                <w:u w:val="single"/>
                <w:lang w:val="en-US" w:eastAsia="zh-CN"/>
              </w:rPr>
              <w:t xml:space="preserve">     </w:t>
            </w:r>
            <w:r>
              <w:rPr>
                <w:rFonts w:hint="eastAsia" w:ascii="宋体" w:hAnsi="宋体" w:cs="宋体"/>
                <w:snapToGrid w:val="0"/>
                <w:color w:val="auto"/>
                <w:kern w:val="0"/>
                <w:szCs w:val="21"/>
                <w:highlight w:val="none"/>
                <w:u w:val="none"/>
                <w:lang w:val="en-US" w:eastAsia="zh-CN"/>
              </w:rPr>
              <w:t>万元</w:t>
            </w:r>
            <w:commentRangeEnd w:id="11"/>
            <w:r>
              <w:rPr>
                <w:rStyle w:val="CommentReference"/>
              </w:rPr>
              <w:commentReference w:id="11"/>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（请附531系统测算表截图）</w:t>
            </w:r>
          </w:p>
          <w:p w14:paraId="64AA94E5">
            <w:pPr>
              <w:pStyle w:val="11"/>
              <w:rPr>
                <w:rFonts w:hint="eastAsia"/>
              </w:rPr>
            </w:pPr>
          </w:p>
          <w:p w14:paraId="1970A0F7">
            <w:commentRangeStart w:id="12"/>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2"/>
            <w:r>
              <w:rPr>
                <w:rStyle w:val="CommentReference"/>
              </w:rPr>
              <w:commentReference w:id="12"/>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本次申请借款主要用于补充企业日常经营周转资金。根据企业提供的2025年财务报表，其期末短期借款余额为4730万元，较年初的4990万元有所下降，但整体融资规模仍处于较高水平。2025年度，公司经营活动产生的现金流量净额为791万元，虽为正数，但期末货币资金余额仅为286万元，较年初的506万元大幅减少，显示其自身经营活动产生的现金积累有限，对营运资金形成补充的能力不足。同时，公司2025年营业收入为10010万元，较2024年的8712万元有所增长，业务规模的扩张对营运资金提出了增量需求。综合来看，企业存在通过外部融资补充营运资金缺口、支持业务发展的客观需求。</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企业第一还款来源主要依赖于其主营业务经营产生的现金流。从历史经营业绩看，公司2023年至2025年连续三年实现盈利，净利润分别为393万元、329万元和494万元，显示出一定的持续盈利能力。2025年经营活动现金流量净额为791万元，表明其主营业务现金回笼情况尚可。从偿债能力指标看，截至2025年末，公司资产负债率为42.5%，负债水平适中；流动比率为1.82，短期偿债能力尚可。但需关注的是，公司应收账款规模较大，2025年末余额为7430万元，占流动资产的56.7%，资产流动性受到一定影响。总体判断，企业具备一定的第一还款来源基础，但需关注其应收账款回收情况对现金流的影响。</w:t>
            </w:r>
            <w:r>
              <w:rPr>
                <w:rFonts w:hint="eastAsia" w:ascii="宋体" w:hAnsi="宋体" w:cs="宋体"/>
                <w:bCs/>
                <w:snapToGrid w:val="0"/>
                <w:kern w:val="0"/>
                <w:sz w:val="21"/>
                <w:szCs w:val="21"/>
                <w:highlight w:val="none"/>
                <w:u w:val="single"/>
                <w:lang w:val="en-US" w:eastAsia="zh-CN"/>
              </w:rPr>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（注：若还款来源为股权融资款，需分析估值合理性、股权融资金额、当前进展、预计落地时间、投资方情况，并提供</w:t>
            </w:r>
            <w:r>
              <w:rPr>
                <w:rFonts w:hint="eastAsia" w:ascii="宋体" w:hAnsi="宋体" w:cs="宋体"/>
                <w:snapToGrid w:val="0"/>
                <w:kern w:val="0"/>
                <w:sz w:val="21"/>
                <w:szCs w:val="21"/>
                <w:highlight w:val="none"/>
                <w:lang w:val="en-US" w:eastAsia="zh-CN"/>
              </w:rPr>
              <w:t>相关</w:t>
            </w:r>
            <w:r>
              <w:rPr>
                <w:rFonts w:hint="eastAsia" w:ascii="宋体" w:hAnsi="宋体" w:cs="宋体"/>
                <w:snapToGrid w:val="0"/>
                <w:kern w:val="0"/>
                <w:sz w:val="21"/>
                <w:szCs w:val="21"/>
                <w:highlight w:val="none"/>
                <w:lang w:eastAsia="zh-CN"/>
              </w:rPr>
              <w:t>依据）</w:t>
            </w:r>
          </w:p>
          <w:p w14:paraId="5874C0C9">
            <w:commentRangeStart w:id="13"/>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2523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福州大学国家科技园8号楼5层</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r>
                    <w:t>920</w:t>
                  </w: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r>
                    <w:t>/</w:t>
                  </w: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其他补充说明：（</w:t>
            </w:r>
            <w:r>
              <w:rPr>
                <w:rFonts w:hint="eastAsia" w:ascii="宋体" w:hAnsi="宋体" w:eastAsia="宋体" w:cs="宋体"/>
                <w:b w:val="0"/>
                <w:bCs/>
                <w:kern w:val="2"/>
                <w:sz w:val="21"/>
                <w:szCs w:val="21"/>
                <w:highlight w:val="none"/>
              </w:rPr>
              <w:t>①抵押物土地性质不是“出让”的应重点说明；②如已对外出租</w:t>
            </w:r>
            <w:r>
              <w:rPr>
                <w:rFonts w:hint="eastAsia" w:ascii="宋体" w:hAnsi="宋体" w:cs="宋体"/>
                <w:b w:val="0"/>
                <w:bCs/>
                <w:kern w:val="2"/>
                <w:sz w:val="21"/>
                <w:szCs w:val="21"/>
                <w:highlight w:val="none"/>
                <w:lang w:eastAsia="zh-CN"/>
              </w:rPr>
              <w:t>，</w:t>
            </w:r>
            <w:r>
              <w:rPr>
                <w:rFonts w:hint="eastAsia" w:ascii="宋体" w:hAnsi="宋体" w:eastAsia="宋体" w:cs="宋体"/>
                <w:b w:val="0"/>
                <w:bCs/>
                <w:kern w:val="2"/>
                <w:sz w:val="21"/>
                <w:szCs w:val="21"/>
                <w:highlight w:val="none"/>
              </w:rPr>
              <w:t>应说明承租人是否同意放弃优先受让权；③如为个人住宅应说明权利人别处可供居住的房屋</w:t>
            </w:r>
            <w:r>
              <w:rPr>
                <w:rFonts w:hint="eastAsia" w:ascii="宋体" w:hAnsi="宋体" w:eastAsia="宋体" w:cs="宋体"/>
                <w:b w:val="0"/>
                <w:bCs/>
                <w:kern w:val="2"/>
                <w:sz w:val="21"/>
                <w:szCs w:val="21"/>
                <w:highlight w:val="none"/>
                <w:lang w:eastAsia="zh-CN"/>
              </w:rPr>
              <w:t>（非唯一住宅说明）</w:t>
            </w:r>
            <w:r>
              <w:rPr>
                <w:rFonts w:hint="eastAsia" w:ascii="宋体" w:hAnsi="宋体" w:eastAsia="宋体" w:cs="宋体"/>
                <w:b w:val="0"/>
                <w:bCs/>
                <w:kern w:val="2"/>
                <w:sz w:val="21"/>
                <w:szCs w:val="21"/>
                <w:highlight w:val="none"/>
              </w:rPr>
              <w:t>。</w:t>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本次授信由福建中锐网络股份有限公司提供连带责任保证担保。担保人主营业务为智慧水利与智慧教育解决方案的提供，实际控制人为黄祖海。担保人2025年末总资产为1696万元，所有者权益为975万元，资产负债率为42.5%，财务杠杆水平适中。担保人2025年度实现营业收入1001万元，净利润49万元，保持盈利。担保人2025年末货币资金为286万元，短期借款为4730万元，银行融资余额较高，自身流动性偏紧。总体来看，担保人经营规模有限，盈利能力尚可，但自身债务负担较重，对本次授信的担保能力一般。</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担保人福建中锐网络股份有限公司的资产结构以流动资产为主，2025年末流动资产合计1311万元，占总资产的77.3%。流动资产主要由应收账款743万元、其他应收款277万元和存货219万元构成，三项合计占流动资产的94.6%，资产流动性受限于应收款项的回收效率。非流动资产主要为长期股权投资3123万元。负债方面，担保人负债总额为721万元，全部为流动负债，其中短期借款4730万元，占流动负债的65.6%，债务结构单一，对银行短期融资依赖度高。</w:t>
            </w:r>
            <w:r>
              <w:rPr>
                <w:rFonts w:hint="eastAsia" w:ascii="宋体" w:hAnsi="宋体" w:eastAsia="宋体" w:cs="宋体"/>
                <w:b w:val="0"/>
                <w:bCs/>
                <w:kern w:val="2"/>
                <w:sz w:val="21"/>
                <w:szCs w:val="21"/>
                <w:highlight w:val="none"/>
                <w:lang w:eastAsia="zh-CN"/>
              </w:rPr>
            </w:r>
            <w:r>
              <w:rPr>
                <w:rFonts w:hint="eastAsia" w:ascii="宋体" w:hAnsi="宋体" w:eastAsia="宋体" w:cs="宋体"/>
                <w:snapToGrid w:val="0"/>
                <w:kern w:val="0"/>
                <w:sz w:val="21"/>
                <w:szCs w:val="21"/>
                <w:highlight w:val="none"/>
                <w:lang w:val="en-US" w:eastAsia="zh-CN" w:bidi="ar-SA"/>
              </w:rPr>
            </w:r>
            <w:r>
              <w:rPr>
                <w:rFonts w:hint="eastAsia" w:ascii="宋体" w:hAnsi="宋体" w:eastAsia="宋体" w:cs="宋体"/>
                <w:snapToGrid w:val="0"/>
                <w:kern w:val="0"/>
                <w:sz w:val="21"/>
                <w:szCs w:val="21"/>
                <w:highlight w:val="none"/>
                <w:u w:val="none"/>
                <w:lang w:val="en-US" w:eastAsia="zh-CN" w:bidi="ar-SA"/>
              </w:rPr>
            </w:r>
            <w:r>
              <w:rPr>
                <w:rFonts w:hint="eastAsia" w:ascii="宋体" w:hAnsi="宋体" w:eastAsia="宋体" w:cs="宋体"/>
                <w:snapToGrid w:val="0"/>
                <w:kern w:val="0"/>
                <w:sz w:val="21"/>
                <w:szCs w:val="21"/>
                <w:highlight w:val="none"/>
                <w:u w:val="single"/>
                <w:lang w:val="en-US" w:eastAsia="zh-CN" w:bidi="ar-SA"/>
              </w:rPr>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担保人福建中锐网络股份有限公司的盈利能力呈现波动。2023年至2025年，营业收入分别为1213万元、871万元和1001万元，2024年收入有所下滑，2025年有所回升。同期净利润分别为39万元、33万元和49万元，整体保持微利状态。2025年销售净利率为4.93%，盈利能力较弱。从现金流看，2023年经营活动现金流净额为269万元，2024年为-896万元，2025年转为净流入791万元，经营活动现金流波动较大，2024年存在净流出压力。担保人整体经营规模不大，盈利水平不高，现金流稳定性有待观察。</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3.</w:t>
            </w:r>
            <w:r>
              <w:rPr>
                <w:rFonts w:hint="eastAsia" w:ascii="宋体" w:hAnsi="宋体" w:eastAsia="宋体" w:cs="宋体"/>
                <w:b/>
                <w:color w:val="auto"/>
                <w:sz w:val="21"/>
                <w:szCs w:val="21"/>
                <w:highlight w:val="none"/>
              </w:rPr>
              <w:t>我行认可的专业担保公司担保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w:t>
            </w:r>
            <w:r>
              <w:rPr>
                <w:rFonts w:hint="eastAsia" w:ascii="宋体" w:hAnsi="宋体" w:cs="宋体"/>
                <w:b/>
                <w:color w:val="auto"/>
                <w:sz w:val="21"/>
                <w:szCs w:val="21"/>
                <w:highlight w:val="none"/>
                <w:lang w:val="en-US" w:eastAsia="zh-CN"/>
              </w:rPr>
              <w:t>涉及</w:t>
            </w:r>
            <w:r>
              <w:rPr>
                <w:rFonts w:hint="eastAsia" w:ascii="宋体" w:hAnsi="宋体" w:eastAsia="宋体" w:cs="宋体"/>
                <w:b/>
                <w:color w:val="auto"/>
                <w:sz w:val="21"/>
                <w:szCs w:val="21"/>
                <w:highlight w:val="none"/>
                <w:lang w:eastAsia="zh-CN"/>
              </w:rPr>
              <w:t>）</w:t>
            </w:r>
            <w:r>
              <w:rPr>
                <w:rFonts w:hint="eastAsia" w:ascii="宋体" w:hAnsi="宋体" w:eastAsia="宋体" w:cs="宋体"/>
                <w:color w:val="auto"/>
                <w:sz w:val="21"/>
                <w:szCs w:val="21"/>
                <w:highlight w:val="none"/>
              </w:rPr>
              <w:t>：</w:t>
            </w:r>
            <w:r>
              <w:rPr>
                <w:rFonts w:hint="eastAsia" w:ascii="宋体" w:hAnsi="宋体" w:eastAsia="宋体" w:cs="宋体"/>
                <w:i w:val="0"/>
                <w:iCs w:val="0"/>
                <w:caps w:val="0"/>
                <w:spacing w:val="0"/>
                <w:sz w:val="21"/>
                <w:szCs w:val="21"/>
                <w:highlight w:val="none"/>
              </w:rPr>
              <w:t>简要阐述我行内部审批结论（额度、风险分担比例、放大倍数、单户上限等），并说明截止上报日该担保公司</w:t>
            </w:r>
            <w:r>
              <w:rPr>
                <w:rFonts w:hint="eastAsia" w:ascii="宋体" w:hAnsi="宋体" w:eastAsia="宋体" w:cs="宋体"/>
                <w:i w:val="0"/>
                <w:iCs w:val="0"/>
                <w:caps w:val="0"/>
                <w:spacing w:val="0"/>
                <w:sz w:val="21"/>
                <w:szCs w:val="21"/>
                <w:highlight w:val="none"/>
                <w:lang w:val="en-US" w:eastAsia="zh-CN"/>
              </w:rPr>
              <w:t>最新担保</w:t>
            </w:r>
            <w:r>
              <w:rPr>
                <w:rFonts w:hint="eastAsia" w:ascii="宋体" w:hAnsi="宋体" w:eastAsia="宋体" w:cs="宋体"/>
                <w:i w:val="0"/>
                <w:iCs w:val="0"/>
                <w:caps w:val="0"/>
                <w:spacing w:val="0"/>
                <w:sz w:val="21"/>
                <w:szCs w:val="21"/>
                <w:highlight w:val="none"/>
              </w:rPr>
              <w:t>情况是否</w:t>
            </w:r>
            <w:r>
              <w:rPr>
                <w:rFonts w:hint="eastAsia" w:ascii="宋体" w:hAnsi="宋体" w:eastAsia="宋体" w:cs="宋体"/>
                <w:i w:val="0"/>
                <w:iCs w:val="0"/>
                <w:caps w:val="0"/>
                <w:spacing w:val="0"/>
                <w:sz w:val="21"/>
                <w:szCs w:val="21"/>
                <w:highlight w:val="none"/>
                <w:lang w:val="en-US" w:eastAsia="zh-CN"/>
              </w:rPr>
              <w:t>符合</w:t>
            </w:r>
            <w:r>
              <w:rPr>
                <w:rFonts w:hint="eastAsia" w:ascii="宋体" w:hAnsi="宋体" w:eastAsia="宋体" w:cs="宋体"/>
                <w:i w:val="0"/>
                <w:iCs w:val="0"/>
                <w:caps w:val="0"/>
                <w:spacing w:val="0"/>
                <w:sz w:val="21"/>
                <w:szCs w:val="21"/>
                <w:highlight w:val="none"/>
              </w:rPr>
              <w:t>要求（</w:t>
            </w:r>
            <w:r>
              <w:rPr>
                <w:rFonts w:hint="eastAsia" w:ascii="宋体" w:hAnsi="宋体" w:eastAsia="宋体" w:cs="宋体"/>
                <w:i w:val="0"/>
                <w:iCs w:val="0"/>
                <w:caps w:val="0"/>
                <w:spacing w:val="0"/>
                <w:sz w:val="21"/>
                <w:szCs w:val="21"/>
                <w:highlight w:val="none"/>
                <w:lang w:val="en-US" w:eastAsia="zh-CN"/>
              </w:rPr>
              <w:t>包括：</w:t>
            </w:r>
            <w:r>
              <w:rPr>
                <w:rFonts w:hint="eastAsia" w:ascii="宋体" w:hAnsi="宋体" w:eastAsia="宋体" w:cs="宋体"/>
                <w:i w:val="0"/>
                <w:iCs w:val="0"/>
                <w:caps w:val="0"/>
                <w:spacing w:val="0"/>
                <w:sz w:val="21"/>
                <w:szCs w:val="21"/>
                <w:highlight w:val="none"/>
              </w:rPr>
              <w:t>对外担保总额、我行担保余额、净资产和担保倍率等）</w:t>
            </w:r>
            <w:r>
              <w:rPr>
                <w:rFonts w:hint="eastAsia" w:ascii="宋体" w:hAnsi="宋体" w:eastAsia="宋体" w:cs="宋体"/>
                <w:i w:val="0"/>
                <w:iCs w:val="0"/>
                <w:caps w:val="0"/>
                <w:spacing w:val="0"/>
                <w:sz w:val="21"/>
                <w:szCs w:val="21"/>
                <w:highlight w:val="none"/>
                <w:lang w:eastAsia="zh-CN"/>
              </w:rPr>
              <w:t>，</w:t>
            </w:r>
            <w:r>
              <w:rPr>
                <w:rFonts w:hint="eastAsia" w:ascii="宋体" w:hAnsi="宋体" w:eastAsia="宋体" w:cs="宋体"/>
                <w:i w:val="0"/>
                <w:iCs w:val="0"/>
                <w:caps w:val="0"/>
                <w:spacing w:val="0"/>
                <w:sz w:val="21"/>
                <w:szCs w:val="21"/>
                <w:highlight w:val="none"/>
              </w:rPr>
              <w:t>本次担保</w:t>
            </w:r>
            <w:r>
              <w:rPr>
                <w:rFonts w:hint="eastAsia" w:ascii="宋体" w:hAnsi="宋体" w:eastAsia="宋体" w:cs="宋体"/>
                <w:i w:val="0"/>
                <w:iCs w:val="0"/>
                <w:caps w:val="0"/>
                <w:spacing w:val="0"/>
                <w:sz w:val="21"/>
                <w:szCs w:val="21"/>
                <w:highlight w:val="none"/>
                <w:lang w:val="en-US" w:eastAsia="zh-CN"/>
              </w:rPr>
              <w:t>是否符合</w:t>
            </w:r>
            <w:r>
              <w:rPr>
                <w:rFonts w:hint="eastAsia" w:ascii="宋体" w:hAnsi="宋体" w:eastAsia="宋体" w:cs="宋体"/>
                <w:i w:val="0"/>
                <w:iCs w:val="0"/>
                <w:caps w:val="0"/>
                <w:spacing w:val="0"/>
                <w:sz w:val="21"/>
                <w:szCs w:val="21"/>
                <w:highlight w:val="none"/>
              </w:rPr>
              <w:t>准入</w:t>
            </w:r>
            <w:r>
              <w:rPr>
                <w:rFonts w:hint="eastAsia" w:ascii="宋体" w:hAnsi="宋体" w:eastAsia="宋体" w:cs="宋体"/>
                <w:i w:val="0"/>
                <w:iCs w:val="0"/>
                <w:caps w:val="0"/>
                <w:spacing w:val="0"/>
                <w:sz w:val="21"/>
                <w:szCs w:val="21"/>
                <w:highlight w:val="none"/>
                <w:lang w:val="en-US" w:eastAsia="zh-CN"/>
              </w:rPr>
              <w:t>要求</w:t>
            </w:r>
            <w:r>
              <w:rPr>
                <w:rFonts w:hint="eastAsia" w:ascii="宋体" w:hAnsi="宋体" w:eastAsia="宋体" w:cs="宋体"/>
                <w:i w:val="0"/>
                <w:iCs w:val="0"/>
                <w:caps w:val="0"/>
                <w:spacing w:val="0"/>
                <w:sz w:val="21"/>
                <w:szCs w:val="21"/>
                <w:highlight w:val="none"/>
              </w:rPr>
              <w:t>。</w:t>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担保人福建中锐网络股份有限公司的偿债能力指标显示其短期偿债压力较大。2025年末流动比率为1.82，速动比率（以流动资产扣除存货计算）约为0.85，短期偿债能力偏弱。担保人2025年末货币资金余额为286万元，而短期借款高达4730万元，货币资金对短期债务的覆盖严重不足。担保人2025年利息保障倍数（以净利润加财务费用除以财务费用估算）约为3.97倍，利息支付能力尚可。综合来看，担保人自身流动性紧张，对银行短期借款依赖度高，第一还款来源主要依赖外部融资周转，内生偿债能力有限。</w:t>
            </w:r>
            <w:r>
              <w:rPr>
                <w:rFonts w:hint="eastAsia" w:ascii="宋体" w:hAnsi="宋体" w:eastAsia="宋体" w:cs="宋体"/>
                <w:b/>
                <w:sz w:val="21"/>
                <w:szCs w:val="21"/>
                <w:highlight w:val="none"/>
              </w:rPr>
            </w:r>
            <w:r>
              <w:rPr>
                <w:rFonts w:hint="eastAsia" w:ascii="宋体" w:hAnsi="宋体" w:cs="宋体"/>
                <w:b/>
                <w:sz w:val="21"/>
                <w:szCs w:val="21"/>
                <w:highlight w:val="none"/>
                <w:lang w:eastAsia="zh-CN"/>
              </w:rPr>
            </w:r>
            <w:r>
              <w:rPr>
                <w:rFonts w:hint="eastAsia" w:ascii="宋体" w:hAnsi="宋体" w:cs="宋体"/>
                <w:b/>
                <w:sz w:val="21"/>
                <w:szCs w:val="21"/>
                <w:highlight w:val="none"/>
                <w:lang w:val="en-US" w:eastAsia="zh-CN"/>
              </w:rPr>
            </w:r>
            <w:r>
              <w:rPr>
                <w:rFonts w:hint="eastAsia" w:ascii="宋体" w:hAnsi="宋体" w:cs="宋体"/>
                <w:b/>
                <w:sz w:val="21"/>
                <w:szCs w:val="21"/>
                <w:highlight w:val="none"/>
                <w:lang w:eastAsia="zh-CN"/>
              </w:rPr>
            </w:r>
            <w:r>
              <w:rPr>
                <w:rFonts w:hint="eastAsia" w:ascii="宋体" w:hAnsi="宋体" w:eastAsia="宋体" w:cs="宋体"/>
                <w:b/>
                <w:sz w:val="21"/>
                <w:szCs w:val="21"/>
                <w:highlight w:val="none"/>
              </w:rPr>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担保人福建中锐网络股份有限公司2025年经营性现金流为净流入791万元，主要来源于销售商品、提供劳务收到的现金1.04亿元以及收到其他与经营活动有关的现金4157万元。同期投资活动现金流净流出586万元，主要用于支付投资款608万元。筹资活动现金流净流出426万元，主要为偿还债务支付4546万元及分配股利、偿付利息支付166万元。2025年末现金及现金等价物余额为286万元，较年初下降221万元。材料未提供关于每月现金流入流出及资金余额的具体预测数据，无法判断其未来现金流平衡情况。从历史数据看，担保人经营活动现金流有所改善，但期末现金存量较低，且面临较大的债务偿还压力。</w:t>
            </w:r>
            <w:r>
              <w:rPr>
                <w:rFonts w:hint="eastAsia" w:ascii="宋体" w:hAnsi="宋体" w:eastAsia="宋体" w:cs="宋体"/>
                <w:b/>
                <w:sz w:val="21"/>
                <w:szCs w:val="21"/>
                <w:highlight w:val="none"/>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lang w:val="en-US" w:eastAsia="zh-CN"/>
              </w:rPr>
            </w:r>
            <w:r>
              <w:rPr>
                <w:rFonts w:hint="eastAsia" w:ascii="宋体" w:hAnsi="宋体" w:eastAsia="宋体" w:cs="宋体"/>
                <w:i w:val="0"/>
                <w:iCs w:val="0"/>
                <w:caps w:val="0"/>
                <w:spacing w:val="0"/>
                <w:kern w:val="2"/>
                <w:sz w:val="21"/>
                <w:szCs w:val="21"/>
                <w:highlight w:val="none"/>
                <w:lang w:val="en-US" w:eastAsia="zh-CN" w:bidi="ar-SA"/>
              </w:rPr>
            </w:r>
            <w:r>
              <w:rPr>
                <w:rFonts w:hint="eastAsia" w:ascii="宋体" w:hAnsi="宋体" w:eastAsia="宋体" w:cs="宋体"/>
                <w:b/>
                <w:sz w:val="21"/>
                <w:szCs w:val="21"/>
                <w:highlight w:val="none"/>
                <w:lang w:eastAsia="zh-CN"/>
              </w:rPr>
            </w:r>
            <w:r>
              <w:rPr>
                <w:rFonts w:hint="eastAsia" w:ascii="宋体" w:hAnsi="宋体" w:eastAsia="宋体" w:cs="宋体"/>
                <w:b/>
                <w:sz w:val="21"/>
                <w:szCs w:val="21"/>
                <w:highlight w:val="none"/>
              </w:rPr>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可持续：借款人主营业务聚焦智慧水利与智慧教育领域，符合国家政策导向。公司2023年至2025年连续三年实现盈利，2025年实现营业收入1.00亿元，净利润494万元，经营活动现金流净额为791万元，显示其主营业务具备持续造血能力。公司持续进行研发投入，2025年研发费用为1050万元，占营业收入比重约10.5%，有助于维持技术竞争力。材料未提供公司成立时间、人员规模及核心团队背景信息，无法就此判断其经营稳定性与团队专业能力。</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垒小户（多头贷款、交叉授信、超融）：根据2025年末财务报表，公司短期借款余额为4730万元。材料未提供具体的合作银行家数、各行授信额度及贷款余额分布情况，无法准确判断其是否存在多头授信及融资集中度风险。公司2025年末资产负债率为42.5%，负债水平适中；流动比率为1.82，短期偿债能力尚可。公司名下固定资产规模较小（2025年末为93万元），主要资产为应收账款（7430万元）和长期股权投资（3123万元），可用于抵押的实物资产有限。</w:t>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eastAsia="宋体" w:cs="宋体"/>
                <w:b/>
                <w:kern w:val="2"/>
                <w:sz w:val="21"/>
                <w:szCs w:val="21"/>
                <w:highlight w:val="none"/>
              </w:rPr>
            </w:r>
            <w:r>
              <w:rPr>
                <w:rFonts w:hint="eastAsia" w:ascii="宋体" w:hAnsi="宋体" w:eastAsia="宋体" w:cs="宋体"/>
                <w:b/>
                <w:kern w:val="2"/>
                <w:sz w:val="21"/>
                <w:szCs w:val="21"/>
                <w:highlight w:val="none"/>
                <w:lang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eastAsia="zh-CN"/>
              </w:rPr>
            </w:r>
            <w:r>
              <w:rPr>
                <w:rFonts w:hint="eastAsia" w:ascii="宋体" w:hAnsi="宋体" w:cs="宋体"/>
                <w:b/>
                <w:kern w:val="2"/>
                <w:sz w:val="21"/>
                <w:szCs w:val="21"/>
                <w:highlight w:val="none"/>
                <w:lang w:eastAsia="zh-CN"/>
              </w:rPr>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w:t>
            </w:r>
            <w:r>
              <w:rPr>
                <w:rFonts w:hint="eastAsia" w:ascii="宋体" w:hAnsi="宋体" w:eastAsia="宋体" w:cs="宋体"/>
                <w:snapToGrid w:val="0"/>
                <w:kern w:val="0"/>
                <w:szCs w:val="21"/>
                <w:highlight w:val="none"/>
                <w:u w:val="single"/>
                <w:lang w:val="en-US" w:eastAsia="zh-CN"/>
              </w:rPr>
              <w:t>借款人2022年经营性现金流-739万元，2023年502万元，2024年按企业自编流量表也呈流入状态。2025年预计与2024年无重大变化，现金流能平衡。公司每月现金流入1000万元左右，日常开销流出900万元左右，账上资金余额维持在100万元左右，能维持日常经营周转。</w:t>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w:t>
            </w:r>
            <w:r>
              <w:rPr>
                <w:rFonts w:hint="eastAsia" w:ascii="宋体" w:hAnsi="宋体" w:eastAsia="宋体" w:cs="宋体"/>
                <w:snapToGrid w:val="0"/>
                <w:kern w:val="0"/>
                <w:szCs w:val="21"/>
                <w:highlight w:val="none"/>
                <w:u w:val="single"/>
                <w:lang w:val="en-US" w:eastAsia="zh-CN"/>
              </w:rPr>
              <w:t>借款人负债率一般在65-70%之间，流动比在1.4-1.5，整体比较稳定，综合评判该公司具备偿还贷款本息的能力。</w:t>
            </w:r>
          </w:p>
          <w:p w14:paraId="1882DF71">
            <w:commentRangeStart w:id="14"/>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w:t>
            </w:r>
            <w:r>
              <w:rPr>
                <w:rFonts w:hint="eastAsia" w:ascii="宋体" w:hAnsi="宋体" w:eastAsia="宋体" w:cs="宋体"/>
                <w:snapToGrid w:val="0"/>
                <w:kern w:val="0"/>
                <w:szCs w:val="21"/>
                <w:highlight w:val="none"/>
                <w:u w:val="single"/>
                <w:lang w:val="en-US" w:eastAsia="zh-CN"/>
              </w:rPr>
              <w:t>借款人成立时间较长，技术先进，订单稳定，部分订单会外发加工，产能已满负荷，2025年正在考虑扩大经营地增加产能，公司人员配备齐全，现有240多名员工，其法人就是该公司的技术骨干，研发团队领头人均是从事____行业多年的专业人员，公司可持续性发展趋势良好。</w:t>
            </w:r>
            <w:commentRangeEnd w:id="14"/>
            <w:r>
              <w:rPr>
                <w:rStyle w:val="CommentReference"/>
              </w:rPr>
              <w:commentReference w:id="14"/>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上</w:t>
            </w:r>
            <w:r>
              <w:rPr>
                <w:rFonts w:hint="eastAsia" w:ascii="宋体" w:hAnsi="宋体" w:eastAsia="宋体" w:cs="宋体"/>
                <w:b/>
                <w:bCs/>
                <w:snapToGrid w:val="0"/>
                <w:kern w:val="0"/>
                <w:szCs w:val="21"/>
                <w:highlight w:val="none"/>
                <w:u w:val="single"/>
                <w:lang w:val="en-US" w:eastAsia="zh-CN"/>
              </w:rPr>
              <w:t>游供应商主要包括：</w:t>
            </w:r>
            <w:r>
              <w:rPr>
                <w:rFonts w:hint="eastAsia" w:ascii="宋体" w:hAnsi="宋体" w:eastAsia="宋体" w:cs="宋体"/>
                <w:snapToGrid w:val="0"/>
                <w:kern w:val="0"/>
                <w:szCs w:val="21"/>
                <w:highlight w:val="none"/>
                <w:u w:val="single"/>
                <w:lang w:val="en-US" w:eastAsia="zh-CN"/>
              </w:rPr>
              <w:t>锐捷网络股份有限公司、北京星链南天科技有限公司、广州浩瀚星图信息技术有限公司、新天科技股份有限公司、精导信息技术有限公司司等。下游客户主要包括：涵江水利局、福建省翔远电子科技有限公司、三明水利水电工程有限公司顺昌分公司、福州市福清公路事业发展中心、济南展雄电子有限公司等。</w:t>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w:t>
            </w:r>
            <w:r>
              <w:rPr>
                <w:rFonts w:hint="eastAsia" w:ascii="宋体" w:hAnsi="宋体" w:eastAsia="宋体" w:cs="宋体"/>
                <w:snapToGrid w:val="0"/>
                <w:kern w:val="0"/>
                <w:szCs w:val="21"/>
                <w:highlight w:val="none"/>
                <w:u w:val="single"/>
                <w:lang w:val="en-US" w:eastAsia="zh-CN"/>
              </w:rPr>
              <w:t>借款人在我行开户时间较长，由于近两年在我行贷款提用不多，整体结算减少，后续将加强营销结算和代发业务。</w:t>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w:t>
            </w:r>
            <w:r>
              <w:rPr>
                <w:rFonts w:hint="eastAsia" w:ascii="宋体" w:hAnsi="宋体" w:eastAsia="宋体" w:cs="宋体"/>
                <w:snapToGrid w:val="0"/>
                <w:kern w:val="0"/>
                <w:szCs w:val="21"/>
                <w:highlight w:val="none"/>
                <w:u w:val="single"/>
                <w:lang w:val="en-US" w:eastAsia="zh-CN"/>
              </w:rPr>
              <w:t>该公司名下无房产，他行贷款均是信用方式，我行此次申请授信敞口1000万，其中500万元由实控人个人房产抵押，剩余500万元为信用方式，并追加实控人个人连带责任保证。</w:t>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基于以上六要素综合评判，借款人予以准入。</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5"/>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借款人授信敞口1000万元，____     。</w:t>
            </w:r>
            <w:r>
              <w:rPr>
                <w:rFonts w:hint="eastAsia" w:ascii="宋体" w:hAnsi="宋体" w:cs="宋体"/>
                <w:b/>
                <w:kern w:val="2"/>
                <w:sz w:val="21"/>
                <w:szCs w:val="21"/>
                <w:highlight w:val="none"/>
                <w:u w:val="single"/>
                <w:lang w:val="en-US" w:eastAsia="zh-CN"/>
              </w:rPr>
              <w:t xml:space="preserve"> </w:t>
            </w:r>
            <w:commentRangeEnd w:id="15"/>
            <w:r>
              <w:rPr>
                <w:rStyle w:val="CommentReference"/>
              </w:rPr>
              <w:commentReference w:id="15"/>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6AC425A6">
            <w:commentRangeStart w:id="17"/>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7"/>
            <w:r>
              <w:rPr>
                <w:rStyle w:val="CommentReference"/>
              </w:rPr>
              <w:commentReference w:id="17"/>
            </w:r>
          </w:p>
          <w:p w14:paraId="2FC82B07">
            <w:commentRangeStart w:id="18"/>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p w14:paraId="269107E9">
            <w:commentRangeStart w:id="19"/>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9"/>
            <w:r>
              <w:rPr>
                <w:rStyle w:val="CommentReference"/>
              </w:rPr>
              <w:commentReference w:id="19"/>
            </w:r>
          </w:p>
          <w:p w14:paraId="3096CC3B">
            <w:commentRangeStart w:id="20"/>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0"/>
            <w:r>
              <w:rPr>
                <w:rStyle w:val="CommentReference"/>
              </w:rPr>
              <w:commentReference w:id="20"/>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2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1"/>
            <w:r>
              <w:rPr>
                <w:rStyle w:val="CommentReference"/>
              </w:rPr>
              <w:commentReference w:id="21"/>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22"/>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22"/>
            <w:r>
              <w:rPr>
                <w:rStyle w:val="CommentReference"/>
              </w:rPr>
              <w:commentReference w:id="22"/>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07T15:00:58Z" w:initials="Agent">
    <w:p>
      <w:r>
        <w:rPr>
          <w:rStyle w:val="CommentReference"/>
        </w:rPr>
        <w:annotationRef/>
      </w:r>
      <w:r>
        <w:t xml:space="preserve">该处“申报单位”仍为空白，请人工确认。</w:t>
      </w:r>
    </w:p>
  </w:comment>
  <w:comment w:id="1" w:author="信贷报告 Agent" w:date="2026-04-07T15:00:58Z" w:initials="Agent">
    <w:p>
      <w:r>
        <w:rPr>
          <w:rStyle w:val="CommentReference"/>
        </w:rPr>
        <w:annotationRef/>
      </w:r>
      <w:r>
        <w:t xml:space="preserve">该处“绿通标识”仍为空白，请人工确认。</w:t>
      </w:r>
    </w:p>
  </w:comment>
  <w:comment w:id="2" w:author="信贷报告 Agent" w:date="2026-04-07T15:00:58Z" w:initials="Agent">
    <w:p>
      <w:r>
        <w:rPr>
          <w:rStyle w:val="CommentReference"/>
        </w:rPr>
        <w:annotationRef/>
      </w:r>
      <w:r>
        <w:t xml:space="preserve">该处“注册资本”仍为空白，请人工确认。</w:t>
      </w:r>
    </w:p>
  </w:comment>
  <w:comment w:id="3" w:author="信贷报告 Agent" w:date="2026-04-07T15:00:58Z" w:initials="Agent">
    <w:p>
      <w:r>
        <w:rPr>
          <w:rStyle w:val="CommentReference"/>
        </w:rPr>
        <w:annotationRef/>
      </w:r>
      <w:r>
        <w:t xml:space="preserve">该处“持股比例”仍为空白，请人工确认。</w:t>
      </w:r>
    </w:p>
  </w:comment>
  <w:comment w:id="4" w:author="信贷报告 Agent" w:date="2026-04-07T15:00:58Z" w:initials="Agent">
    <w:p>
      <w:r>
        <w:rPr>
          <w:rStyle w:val="CommentReference"/>
        </w:rPr>
        <w:annotationRef/>
      </w:r>
      <w:r>
        <w:t xml:space="preserve">该处“合计在”仍为空白，请人工确认。</w:t>
      </w:r>
    </w:p>
  </w:comment>
  <w:comment w:id="5" w:author="信贷报告 Agent" w:date="2026-04-07T15:00:58Z" w:initials="Agent">
    <w:p>
      <w:r>
        <w:rPr>
          <w:rStyle w:val="CommentReference"/>
        </w:rPr>
        <w:annotationRef/>
      </w:r>
      <w:r>
        <w:t xml:space="preserve">该处“反馈中长期借款还款计划及还款资金安排情况”仍为空白，请人工确认。</w:t>
      </w:r>
    </w:p>
  </w:comment>
  <w:comment w:id="6" w:author="信贷报告 Agent" w:date="2026-04-07T15:00:58Z" w:initials="Agent">
    <w:p>
      <w:r>
        <w:rPr>
          <w:rStyle w:val="CommentReference"/>
        </w:rPr>
        <w:annotationRef/>
      </w:r>
      <w:r>
        <w:t xml:space="preserve">该处“（若有）对外担保情况”仍为空白，请人工确认。</w:t>
      </w:r>
    </w:p>
  </w:comment>
  <w:comment w:id="7" w:author="信贷报告 Agent" w:date="2026-04-07T15:00:58Z" w:initials="Agent">
    <w:p>
      <w:r>
        <w:rPr>
          <w:rStyle w:val="CommentReference"/>
        </w:rPr>
        <w:annotationRef/>
      </w:r>
      <w:r>
        <w:t xml:space="preserve">该处“（若有）不良记录情况”仍为空白，请人工确认。</w:t>
      </w:r>
    </w:p>
  </w:comment>
  <w:comment w:id="8" w:author="信贷报告 Agent" w:date="2026-04-07T15:00:58Z" w:initials="Agent">
    <w:p>
      <w:r>
        <w:rPr>
          <w:rStyle w:val="CommentReference"/>
        </w:rPr>
        <w:annotationRef/>
      </w:r>
      <w:r>
        <w:t xml:space="preserve">该处“3.实控人配偶情况： 陈____ ，中国”仍为空白，请人工确认。</w:t>
      </w:r>
    </w:p>
  </w:comment>
  <w:comment w:id="9" w:author="信贷报告 Agent" w:date="2026-04-07T15:00:58Z" w:initials="Agent">
    <w:p>
      <w:r>
        <w:rPr>
          <w:rStyle w:val="CommentReference"/>
        </w:rPr>
        <w:annotationRef/>
      </w:r>
      <w:r>
        <w:t xml:space="preserve">该处“科技型企业评分”仍为空白，请人工确认。</w:t>
      </w:r>
    </w:p>
  </w:comment>
  <w:comment w:id="10" w:author="信贷报告 Agent" w:date="2026-04-07T15:00:58Z" w:initials="Agent">
    <w:p>
      <w:r>
        <w:rPr>
          <w:rStyle w:val="CommentReference"/>
        </w:rPr>
        <w:annotationRef/>
      </w:r>
      <w:r>
        <w:t xml:space="preserve">该处“请补充分析原因”仍为空白，请人工确认。</w:t>
      </w:r>
    </w:p>
  </w:comment>
  <w:comment w:id="11" w:author="信贷报告 Agent" w:date="2026-04-07T15:00:58Z" w:initials="Agent">
    <w:p>
      <w:r>
        <w:rPr>
          <w:rStyle w:val="CommentReference"/>
        </w:rPr>
        <w:annotationRef/>
      </w:r>
      <w:r>
        <w:t xml:space="preserve">该处“企业营运资金需求”仍为空白，请人工确认。</w:t>
      </w:r>
    </w:p>
  </w:comment>
  <w:comment w:id="12" w:author="信贷报告 Agent" w:date="2026-04-07T15:00:58Z" w:initials="Agent">
    <w:p>
      <w:r>
        <w:rPr>
          <w:rStyle w:val="CommentReference"/>
        </w:rPr>
        <w:annotationRef/>
      </w:r>
      <w:r>
        <w:t xml:space="preserve">该处“请补充说明”仍为空白，请人工确认。</w:t>
      </w:r>
    </w:p>
  </w:comment>
  <w:comment w:id="13" w:author="信贷报告 Agent" w:date="2026-04-07T15:00:58Z" w:initials="Agent">
    <w:p>
      <w:r>
        <w:rPr>
          <w:rStyle w:val="CommentReference"/>
        </w:rPr>
        <w:annotationRef/>
      </w:r>
      <w:r>
        <w:t xml:space="preserve">该处“变动原因”仍为空白，请人工确认。</w:t>
      </w:r>
    </w:p>
  </w:comment>
  <w:comment w:id="14" w:author="信贷报告 Agent" w:date="2026-04-07T15:00:58Z" w:initials="Agent">
    <w:p>
      <w:r>
        <w:rPr>
          <w:rStyle w:val="CommentReference"/>
        </w:rPr>
        <w:annotationRef/>
      </w:r>
      <w:r>
        <w:t xml:space="preserve">该处“研发团队领头人均是从事”仍为空白，请人工确认。</w:t>
      </w:r>
    </w:p>
  </w:comment>
  <w:comment w:id="15" w:author="信贷报告 Agent" w:date="2026-04-07T15:00:58Z" w:initials="Agent">
    <w:p>
      <w:r>
        <w:rPr>
          <w:rStyle w:val="CommentReference"/>
        </w:rPr>
        <w:annotationRef/>
      </w:r>
      <w:r>
        <w:t xml:space="preserve">该处“2.申报授信方案： 拟申请给予借款人授信”仍为空白，请人工确认。</w:t>
      </w:r>
    </w:p>
  </w:comment>
  <w:comment w:id="16" w:author="信贷报告 Agent" w:date="2026-04-07T15:00:58Z" w:initials="Agent">
    <w:p>
      <w:r>
        <w:rPr>
          <w:rStyle w:val="CommentReference"/>
        </w:rPr>
        <w:annotationRef/>
      </w:r>
      <w:r>
        <w:t xml:space="preserve">该处“客户经理”仍为空白，请人工确认。</w:t>
      </w:r>
    </w:p>
  </w:comment>
  <w:comment w:id="17" w:author="信贷报告 Agent" w:date="2026-04-07T15:00:58Z" w:initials="Agent">
    <w:p>
      <w:r>
        <w:rPr>
          <w:rStyle w:val="CommentReference"/>
        </w:rPr>
        <w:annotationRef/>
      </w:r>
      <w:r>
        <w:t xml:space="preserve">该处“共同调查人”仍为空白，请人工确认。</w:t>
      </w:r>
    </w:p>
  </w:comment>
  <w:comment w:id="18" w:author="信贷报告 Agent" w:date="2026-04-07T15:00:58Z" w:initials="Agent">
    <w:p>
      <w:r>
        <w:rPr>
          <w:rStyle w:val="CommentReference"/>
        </w:rPr>
        <w:annotationRef/>
      </w:r>
      <w:r>
        <w:t xml:space="preserve">该处“二级支行行长”仍为空白，请人工确认。</w:t>
      </w:r>
    </w:p>
  </w:comment>
  <w:comment w:id="19" w:author="信贷报告 Agent" w:date="2026-04-07T15:00:58Z" w:initials="Agent">
    <w:p>
      <w:r>
        <w:rPr>
          <w:rStyle w:val="CommentReference"/>
        </w:rPr>
        <w:annotationRef/>
      </w:r>
      <w:r>
        <w:t xml:space="preserve">该处“分管行长”仍为空白，请人工确认。</w:t>
      </w:r>
    </w:p>
  </w:comment>
  <w:comment w:id="20" w:author="信贷报告 Agent" w:date="2026-04-07T15:00:58Z" w:initials="Agent">
    <w:p>
      <w:r>
        <w:rPr>
          <w:rStyle w:val="CommentReference"/>
        </w:rPr>
        <w:annotationRef/>
      </w:r>
      <w:r>
        <w:t xml:space="preserve">该处“行长”仍为空白，请人工确认。</w:t>
      </w:r>
    </w:p>
  </w:comment>
  <w:comment w:id="21" w:author="信贷报告 Agent" w:date="2026-04-07T15:00:58Z" w:initials="Agent">
    <w:p>
      <w:r>
        <w:rPr>
          <w:rStyle w:val="CommentReference"/>
        </w:rPr>
        <w:annotationRef/>
      </w:r>
      <w:r>
        <w:t xml:space="preserve">该处“审查员”仍为空白，请人工确认。</w:t>
      </w:r>
    </w:p>
  </w:comment>
  <w:comment w:id="22" w:author="信贷报告 Agent" w:date="2026-04-07T15:00:58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