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C6C9D">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03987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1064" w:type="dxa"/>
            <w:noWrap w:val="0"/>
            <w:vAlign w:val="top"/>
          </w:tcPr>
          <w:p w14:paraId="14139A0C">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384D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20598783">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福建中锐网络股份有限公司主营业务聚焦于智慧水利与智慧教育两大领域。在智慧水利方面，公司积极响应国家水利政策，提供涵盖水灾害、水工程、水资源、水生态水环境、水监督、水政务等六大重点应用的解决方案。在智慧教育方面，公司聚焦网络、人工智能、智慧行业领域，提供数字人才培养解决方案，致力于实现产业与人才需求对接。公司拥有发明专利24项、实用新型专利6项，技术储备主要围绕水利监测预警、物联网、人工智能及教育实训设备等领域，体现了其研发驱动的业务特征。材料未提供公司所属行业信息。</w:t>
            </w:r>
            <w:r>
              <w:rPr>
                <w:rFonts w:hint="eastAsia" w:ascii="宋体" w:hAnsi="宋体" w:cs="宋体"/>
                <w:snapToGrid w:val="0"/>
                <w:color w:val="000000"/>
                <w:kern w:val="0"/>
                <w:szCs w:val="21"/>
              </w:rPr>
            </w:r>
          </w:p>
          <w:p w14:paraId="5694E38F">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30424384">
            <w:commentRangeStart w:id="0"/>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0"/>
            <w:r>
              <w:rPr>
                <w:rStyle w:val="CommentReference"/>
              </w:rPr>
              <w:commentReference w:id="0"/>
            </w:r>
          </w:p>
          <w:p w14:paraId="30B93947">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75F7F45A">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公司实际控制人为黄祖海，其配偶为康恩慧。实际控制人行业经验丰富，管理团队相对稳定。材料未提供公司注册资本信息。</w:t>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p>
          <w:p w14:paraId="09E3741B">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公司2025年末总资产为16956万元，资产负债率为42.5%，负债水平适中。流动资产合计13110万元，流动负债合计7207万元，流动比率为1.82，短期偿债能力尚可。公司资产主要由应收账款（7430万元）、其他应收款（2774万元）、存货（2192万元）及长期股权投资（3123万元）构成。应收账款规模较大，占总资产比重较高，需关注其回收进度及对流动性的影响。</w:t>
            </w:r>
            <w:r>
              <w:rPr>
                <w:rFonts w:hint="eastAsia" w:ascii="宋体" w:hAnsi="宋体" w:cs="宋体"/>
                <w:b/>
                <w:bCs/>
                <w:snapToGrid w:val="0"/>
                <w:color w:val="000000"/>
                <w:kern w:val="0"/>
                <w:szCs w:val="21"/>
              </w:rPr>
            </w:r>
            <w:r>
              <w:rPr>
                <w:rFonts w:hint="eastAsia" w:ascii="宋体" w:hAnsi="宋体" w:eastAsia="宋体" w:cs="宋体"/>
                <w:b/>
                <w:bCs/>
                <w:snapToGrid w:val="0"/>
                <w:kern w:val="0"/>
                <w:szCs w:val="21"/>
                <w:lang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eastAsia="zh-CN"/>
              </w:rPr>
            </w:r>
            <w:r>
              <w:rPr>
                <w:rFonts w:hint="eastAsia" w:ascii="宋体" w:hAnsi="宋体" w:cs="宋体"/>
                <w:b/>
                <w:bCs/>
                <w:snapToGrid w:val="0"/>
                <w:color w:val="000000"/>
                <w:kern w:val="0"/>
                <w:szCs w:val="21"/>
              </w:rPr>
            </w:r>
            <w:r>
              <w:rPr>
                <w:rFonts w:hint="eastAsia" w:ascii="宋体" w:hAnsi="宋体" w:cs="宋体"/>
                <w:b/>
                <w:bCs/>
                <w:snapToGrid w:val="0"/>
                <w:color w:val="000000"/>
                <w:kern w:val="0"/>
                <w:szCs w:val="21"/>
                <w:u w:val="single"/>
                <w:lang w:val="en-US" w:eastAsia="zh-CN"/>
              </w:rPr>
            </w:r>
          </w:p>
          <w:p w14:paraId="622E4365">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公司2025年度实现营业收入1010万元，同比增长14.88%；实现净利润494万元，同比增长50.08%。公司主营业务结构为智慧水利占比46%，智慧教育占比54%，业务构成相对均衡。从利润表看，公司期间费用中销售费用、管理费用及研发费用合计占营收比重较高，显示公司在市场拓展、管理及研发方面投入较大。2025年经营活动产生的现金流量净额为791万元，现金流状况有所改善。</w:t>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napToGrid w:val="0"/>
                <w:kern w:val="0"/>
                <w:szCs w:val="21"/>
                <w:lang w:val="en-US" w:eastAsia="zh-CN"/>
              </w:rPr>
            </w:r>
          </w:p>
          <w:p w14:paraId="2410C49C">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16956万元；上年度销售额 10010万元；上年度末员工人数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6CCF26FD">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公司融资渠道以银行短期借款为主。截至2025年末，短期借款余额为4730万元。根据补充材料，公司合计银行授信额度为4640万元，已使用4440万元，融资额度使用率较高。主要融资担保方式为实际控制人黄祖海及其关联方个人保证。公司存在对外担保情况，为关联方福建中锐汉鼎数字科技有限公司提供担保。公司整体负债以短期有息债务为主，融资担保链条清晰但集中于实际控制人，需关注其集中度风险及或有负债风险。</w:t>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eastAsia="宋体" w:cs="宋体"/>
                <w:b/>
                <w:bCs/>
                <w:strike w:val="0"/>
                <w:dstrike w:val="0"/>
                <w:sz w:val="21"/>
                <w:szCs w:val="21"/>
                <w:highlight w:val="none"/>
                <w:lang w:val="en-US" w:eastAsia="zh-CN"/>
              </w:rPr>
            </w:r>
          </w:p>
          <w:p w14:paraId="6BEF9415">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公司经营存在以下主要风险点：一是应收账款规模较大，2025年末余额达7430万元，占流动资产比重过半，存在一定的资金占用和坏账风险。二是公司存货及在建项目（根据在手订单清单显示大量未回款项目）可能占用营运资金，影响流动性。三是公司银行融资已使用额度较高，进一步债务融资空间可能受限。优势在于公司主营业务符合国家政策导向，拥有一定的专利技术储备，实际控制人行业经验丰富。偿债能力方面，公司目前盈利及现金流可覆盖利息支出，但需持续关注应收账款回收及项目回款情况对现金流的影响。</w:t>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lang w:eastAsia="zh-CN"/>
              </w:rPr>
            </w:r>
          </w:p>
          <w:p w14:paraId="7DE8C1EF">
            <w:commentRangeStart w:id="1"/>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tc>
      </w:tr>
      <w:tr w14:paraId="02DE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31C5562D">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9E5B6E3">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710CB7AB">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34A827BE">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0E6FAB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955E8A8">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25A79EDE">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FBC58C5">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05ACE00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材料未提供企业的具体经营地址、场地面积、产权性质及抵押情况。</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6D3486A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12D48987">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材料未提供企业所属行业信息。</w:t>
            </w:r>
            <w:r>
              <w:rPr>
                <w:rFonts w:hint="eastAsia" w:ascii="宋体" w:hAnsi="宋体" w:eastAsia="宋体" w:cs="宋体"/>
                <w:b/>
                <w:bCs/>
                <w:sz w:val="21"/>
                <w:szCs w:val="21"/>
                <w:highlight w:val="non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z w:val="21"/>
                <w:szCs w:val="21"/>
                <w:highlight w:val="none"/>
                <w:lang w:val="en-US" w:eastAsia="zh-CN"/>
              </w:rPr>
            </w:r>
          </w:p>
          <w:p w14:paraId="46793B69">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BB6A48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企业主营业务聚焦于智慧水利与智慧教育两大领域。在智慧水利方面，公司提供覆盖水灾害、水工程、水资源、水生态水环境、水监督、水政务六大重点应用的解决方案。在智慧教育方面，公司聚焦网络、人工智能、智慧行业领域，提供数字人才培养解决方案，旨在实现产业与人才需求对接。</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56CA58B3">
            <w:commentRangeStart w:id="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commentRangeEnd w:id="2"/>
            <w:r>
              <w:rPr>
                <w:rStyle w:val="CommentReference"/>
              </w:rPr>
              <w:commentReference w:id="2"/>
            </w:r>
          </w:p>
          <w:p w14:paraId="37ECC251">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材料未提供企业注册资本信息。</w:t>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color w:val="000000"/>
                <w:kern w:val="0"/>
                <w:szCs w:val="21"/>
              </w:rPr>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65E2E1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0B0CBE8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4140CD3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1DEB486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48DAE815">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55E1EB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1776044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047064D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54B89AD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943</w:t>
                  </w:r>
                </w:p>
              </w:tc>
              <w:tc>
                <w:tcPr>
                  <w:tcW w:w="0" w:type="auto"/>
                  <w:noWrap w:val="0"/>
                  <w:vAlign w:val="center"/>
                </w:tcPr>
                <w:p w14:paraId="56BBEA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19.77%</w:t>
                  </w:r>
                </w:p>
              </w:tc>
              <w:tc>
                <w:tcPr>
                  <w:tcW w:w="0" w:type="auto"/>
                  <w:noWrap w:val="0"/>
                  <w:vAlign w:val="center"/>
                </w:tcPr>
                <w:p w14:paraId="482CBAA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943</w:t>
                  </w:r>
                </w:p>
              </w:tc>
              <w:tc>
                <w:tcPr>
                  <w:tcW w:w="0" w:type="auto"/>
                  <w:noWrap w:val="0"/>
                  <w:vAlign w:val="center"/>
                </w:tcPr>
                <w:p w14:paraId="57F787B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分期</w:t>
                  </w:r>
                </w:p>
              </w:tc>
            </w:tr>
            <w:tr w14:paraId="3E2EAD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655329B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0B37A0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186</w:t>
                  </w:r>
                </w:p>
              </w:tc>
              <w:tc>
                <w:tcPr>
                  <w:tcW w:w="0" w:type="auto"/>
                  <w:noWrap w:val="0"/>
                  <w:vAlign w:val="center"/>
                </w:tcPr>
                <w:p w14:paraId="7898CC6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3.90%</w:t>
                  </w:r>
                </w:p>
              </w:tc>
              <w:tc>
                <w:tcPr>
                  <w:tcW w:w="0" w:type="auto"/>
                  <w:noWrap w:val="0"/>
                  <w:vAlign w:val="center"/>
                </w:tcPr>
                <w:p w14:paraId="71A63CB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186</w:t>
                  </w:r>
                </w:p>
              </w:tc>
              <w:tc>
                <w:tcPr>
                  <w:tcW w:w="0" w:type="auto"/>
                  <w:noWrap w:val="0"/>
                  <w:vAlign w:val="center"/>
                </w:tcPr>
                <w:p w14:paraId="3EAB827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分期</w:t>
                  </w:r>
                </w:p>
              </w:tc>
            </w:tr>
            <w:tr w14:paraId="0E76212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6CC6B89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3041F30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172</w:t>
                  </w:r>
                </w:p>
              </w:tc>
              <w:tc>
                <w:tcPr>
                  <w:tcW w:w="0" w:type="auto"/>
                  <w:noWrap w:val="0"/>
                  <w:vAlign w:val="center"/>
                </w:tcPr>
                <w:p w14:paraId="5362482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3.61%</w:t>
                  </w:r>
                </w:p>
              </w:tc>
              <w:tc>
                <w:tcPr>
                  <w:tcW w:w="0" w:type="auto"/>
                  <w:noWrap w:val="0"/>
                  <w:vAlign w:val="center"/>
                </w:tcPr>
                <w:p w14:paraId="262F9D8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172</w:t>
                  </w:r>
                </w:p>
              </w:tc>
              <w:tc>
                <w:tcPr>
                  <w:tcW w:w="0" w:type="auto"/>
                  <w:noWrap w:val="0"/>
                  <w:vAlign w:val="center"/>
                </w:tcPr>
                <w:p w14:paraId="496A96F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分期</w:t>
                  </w:r>
                </w:p>
              </w:tc>
            </w:tr>
            <w:tr w14:paraId="0DC963B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617826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75D43F5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90</w:t>
                  </w:r>
                </w:p>
              </w:tc>
              <w:tc>
                <w:tcPr>
                  <w:tcW w:w="0" w:type="auto"/>
                  <w:noWrap w:val="0"/>
                  <w:vAlign w:val="center"/>
                </w:tcPr>
                <w:p w14:paraId="23B3339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1.88%</w:t>
                  </w:r>
                </w:p>
              </w:tc>
              <w:tc>
                <w:tcPr>
                  <w:tcW w:w="0" w:type="auto"/>
                  <w:noWrap w:val="0"/>
                  <w:vAlign w:val="center"/>
                </w:tcPr>
                <w:p w14:paraId="6D292CA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90</w:t>
                  </w:r>
                </w:p>
              </w:tc>
              <w:tc>
                <w:tcPr>
                  <w:tcW w:w="0" w:type="auto"/>
                  <w:noWrap w:val="0"/>
                  <w:vAlign w:val="center"/>
                </w:tcPr>
                <w:p w14:paraId="1F3358D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分期</w:t>
                  </w:r>
                </w:p>
              </w:tc>
            </w:tr>
            <w:tr w14:paraId="3C558A4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50A0557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3EA66C6B">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1500</w:t>
                  </w:r>
                </w:p>
              </w:tc>
              <w:tc>
                <w:tcPr>
                  <w:tcW w:w="0" w:type="auto"/>
                  <w:noWrap w:val="0"/>
                  <w:vAlign w:val="center"/>
                </w:tcPr>
                <w:p w14:paraId="55C50FA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2BD4E8F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1500</w:t>
                  </w:r>
                </w:p>
              </w:tc>
              <w:tc>
                <w:tcPr>
                  <w:tcW w:w="0" w:type="auto"/>
                  <w:noWrap w:val="0"/>
                  <w:vAlign w:val="center"/>
                </w:tcPr>
                <w:p w14:paraId="2E02CFEE">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分期</w:t>
                  </w:r>
                </w:p>
              </w:tc>
            </w:tr>
          </w:tbl>
          <w:p w14:paraId="55EB831D">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材料未提供股权穿透后实际控制人黄祖海的具体持股比例。</w:t>
            </w:r>
            <w:r>
              <w:rPr>
                <w:rFonts w:hint="eastAsia" w:ascii="宋体" w:hAnsi="宋体" w:cs="宋体"/>
                <w:snapToGrid w:val="0"/>
                <w:kern w:val="0"/>
                <w:szCs w:val="21"/>
                <w:highlight w:val="none"/>
                <w:u w:val="single"/>
                <w:lang w:val="en-US" w:eastAsia="zh-CN"/>
              </w:rPr>
            </w:r>
          </w:p>
          <w:p w14:paraId="56E33846">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材料未提供企业成立时间信息。</w:t>
            </w:r>
            <w:r>
              <w:rPr>
                <w:rFonts w:hint="eastAsia" w:ascii="宋体" w:hAnsi="宋体" w:cs="宋体"/>
                <w:snapToGrid w:val="0"/>
                <w:color w:val="000000"/>
                <w:kern w:val="0"/>
                <w:szCs w:val="21"/>
              </w:rPr>
            </w:r>
            <w:r>
              <w:rPr>
                <w:rFonts w:hint="eastAsia" w:ascii="宋体" w:hAnsi="宋体" w:cs="宋体"/>
                <w:bCs/>
                <w:snapToGrid w:val="0"/>
                <w:color w:val="000000"/>
                <w:kern w:val="0"/>
                <w:szCs w:val="21"/>
                <w:u w:val="single"/>
              </w:rPr>
            </w:r>
          </w:p>
          <w:p w14:paraId="05F7258E">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材料未提供对实际控制人黄祖海的面访记录，包括面访时间、参与人员及访谈评价。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31CD8EC4">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材料未提供实地走访企业生产经营场所的观察记录。</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76A7907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材料未提供相关信息。</w:t>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napToGrid w:val="0"/>
                <w:kern w:val="0"/>
                <w:szCs w:val="21"/>
                <w:highlight w:val="none"/>
              </w:rPr>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5CB2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43524EB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204B349F">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8D0B61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D16029E">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2F10593B">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2DF305B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672016C7">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0F65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09B4D328">
                  <w:pPr>
                    <w:adjustRightInd w:val="0"/>
                    <w:snapToGrid w:val="0"/>
                    <w:jc w:val="center"/>
                    <w:rPr>
                      <w:rFonts w:hint="eastAsia" w:ascii="宋体" w:hAnsi="宋体" w:cs="宋体"/>
                      <w:bCs/>
                      <w:snapToGrid w:val="0"/>
                      <w:color w:val="000000"/>
                      <w:kern w:val="0"/>
                      <w:sz w:val="18"/>
                      <w:szCs w:val="18"/>
                      <w:highlight w:val="none"/>
                    </w:rPr>
                  </w:pPr>
                  <w:r>
                    <w:t>涵江水利局</w:t>
                  </w:r>
                </w:p>
              </w:tc>
              <w:tc>
                <w:tcPr>
                  <w:tcW w:w="1204" w:type="dxa"/>
                  <w:noWrap w:val="0"/>
                  <w:vAlign w:val="center"/>
                </w:tcPr>
                <w:p w14:paraId="0257E413">
                  <w:pPr>
                    <w:adjustRightInd w:val="0"/>
                    <w:snapToGrid w:val="0"/>
                    <w:jc w:val="center"/>
                    <w:rPr>
                      <w:rFonts w:hint="eastAsia" w:ascii="宋体" w:hAnsi="宋体" w:cs="宋体"/>
                      <w:bCs/>
                      <w:snapToGrid w:val="0"/>
                      <w:color w:val="000000"/>
                      <w:kern w:val="0"/>
                      <w:sz w:val="18"/>
                      <w:szCs w:val="18"/>
                      <w:highlight w:val="none"/>
                    </w:rPr>
                  </w:pPr>
                  <w:r>
                    <w:t>1116</w:t>
                  </w:r>
                </w:p>
              </w:tc>
              <w:tc>
                <w:tcPr>
                  <w:tcW w:w="1359" w:type="dxa"/>
                  <w:noWrap w:val="0"/>
                  <w:vAlign w:val="center"/>
                </w:tcPr>
                <w:p w14:paraId="6331DD94">
                  <w:pPr>
                    <w:adjustRightInd w:val="0"/>
                    <w:snapToGrid w:val="0"/>
                    <w:jc w:val="center"/>
                    <w:rPr>
                      <w:rFonts w:hint="eastAsia" w:ascii="宋体" w:hAnsi="宋体" w:cs="宋体"/>
                      <w:bCs/>
                      <w:snapToGrid w:val="0"/>
                      <w:color w:val="000000"/>
                      <w:kern w:val="0"/>
                      <w:sz w:val="18"/>
                      <w:szCs w:val="18"/>
                      <w:highlight w:val="none"/>
                    </w:rPr>
                  </w:pPr>
                  <w:r>
                    <w:t>10.02%</w:t>
                  </w:r>
                </w:p>
              </w:tc>
              <w:tc>
                <w:tcPr>
                  <w:tcW w:w="1950" w:type="dxa"/>
                  <w:noWrap w:val="0"/>
                  <w:vAlign w:val="center"/>
                </w:tcPr>
                <w:p w14:paraId="0A66C8FB">
                  <w:pPr>
                    <w:adjustRightInd w:val="0"/>
                    <w:snapToGrid w:val="0"/>
                    <w:jc w:val="center"/>
                    <w:rPr>
                      <w:rFonts w:hint="eastAsia" w:ascii="宋体" w:hAnsi="宋体" w:cs="宋体"/>
                      <w:bCs/>
                      <w:snapToGrid w:val="0"/>
                      <w:color w:val="000000"/>
                      <w:kern w:val="0"/>
                      <w:sz w:val="18"/>
                      <w:szCs w:val="18"/>
                      <w:highlight w:val="none"/>
                    </w:rPr>
                  </w:pPr>
                  <w:r>
                    <w:t>分期</w:t>
                  </w:r>
                </w:p>
              </w:tc>
              <w:tc>
                <w:tcPr>
                  <w:tcW w:w="1919" w:type="dxa"/>
                  <w:noWrap w:val="0"/>
                  <w:vAlign w:val="center"/>
                </w:tcPr>
                <w:p w14:paraId="271A72D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640BCCCF">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5388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654A5E">
                  <w:pPr>
                    <w:adjustRightInd w:val="0"/>
                    <w:snapToGrid w:val="0"/>
                    <w:jc w:val="center"/>
                    <w:rPr>
                      <w:rFonts w:hint="eastAsia" w:ascii="宋体" w:hAnsi="宋体" w:cs="宋体"/>
                      <w:bCs/>
                      <w:snapToGrid w:val="0"/>
                      <w:color w:val="000000"/>
                      <w:kern w:val="0"/>
                      <w:sz w:val="18"/>
                      <w:szCs w:val="18"/>
                      <w:highlight w:val="none"/>
                    </w:rPr>
                  </w:pPr>
                  <w:r>
                    <w:t>福建省翔远电子科技有限公司</w:t>
                  </w:r>
                </w:p>
              </w:tc>
              <w:tc>
                <w:tcPr>
                  <w:tcW w:w="1204" w:type="dxa"/>
                  <w:noWrap w:val="0"/>
                  <w:vAlign w:val="center"/>
                </w:tcPr>
                <w:p w14:paraId="540DBD45">
                  <w:pPr>
                    <w:adjustRightInd w:val="0"/>
                    <w:snapToGrid w:val="0"/>
                    <w:jc w:val="center"/>
                    <w:rPr>
                      <w:rFonts w:hint="eastAsia" w:ascii="宋体" w:hAnsi="宋体" w:cs="宋体"/>
                      <w:bCs/>
                      <w:snapToGrid w:val="0"/>
                      <w:color w:val="000000"/>
                      <w:kern w:val="0"/>
                      <w:sz w:val="18"/>
                      <w:szCs w:val="18"/>
                      <w:highlight w:val="none"/>
                    </w:rPr>
                  </w:pPr>
                  <w:r>
                    <w:t>1122</w:t>
                  </w:r>
                </w:p>
              </w:tc>
              <w:tc>
                <w:tcPr>
                  <w:tcW w:w="1359" w:type="dxa"/>
                  <w:noWrap w:val="0"/>
                  <w:vAlign w:val="center"/>
                </w:tcPr>
                <w:p w14:paraId="5382B6CD">
                  <w:pPr>
                    <w:adjustRightInd w:val="0"/>
                    <w:snapToGrid w:val="0"/>
                    <w:jc w:val="center"/>
                    <w:rPr>
                      <w:rFonts w:hint="eastAsia" w:ascii="宋体" w:hAnsi="宋体" w:cs="宋体"/>
                      <w:bCs/>
                      <w:snapToGrid w:val="0"/>
                      <w:color w:val="000000"/>
                      <w:kern w:val="0"/>
                      <w:sz w:val="18"/>
                      <w:szCs w:val="18"/>
                      <w:highlight w:val="none"/>
                    </w:rPr>
                  </w:pPr>
                  <w:r>
                    <w:t>9.92%</w:t>
                  </w:r>
                </w:p>
              </w:tc>
              <w:tc>
                <w:tcPr>
                  <w:tcW w:w="1950" w:type="dxa"/>
                  <w:noWrap w:val="0"/>
                  <w:vAlign w:val="center"/>
                </w:tcPr>
                <w:p w14:paraId="253DFD40">
                  <w:pPr>
                    <w:adjustRightInd w:val="0"/>
                    <w:snapToGrid w:val="0"/>
                    <w:jc w:val="center"/>
                    <w:rPr>
                      <w:rFonts w:hint="eastAsia" w:ascii="宋体" w:hAnsi="宋体" w:cs="宋体"/>
                      <w:bCs/>
                      <w:snapToGrid w:val="0"/>
                      <w:color w:val="000000"/>
                      <w:kern w:val="0"/>
                      <w:sz w:val="18"/>
                      <w:szCs w:val="18"/>
                      <w:highlight w:val="none"/>
                    </w:rPr>
                  </w:pPr>
                  <w:r>
                    <w:t>分期</w:t>
                  </w:r>
                </w:p>
              </w:tc>
              <w:tc>
                <w:tcPr>
                  <w:tcW w:w="1919" w:type="dxa"/>
                  <w:noWrap w:val="0"/>
                  <w:vAlign w:val="center"/>
                </w:tcPr>
                <w:p w14:paraId="300551F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49D7D534">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570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64B888D6">
                  <w:pPr>
                    <w:adjustRightInd w:val="0"/>
                    <w:snapToGrid w:val="0"/>
                    <w:jc w:val="center"/>
                    <w:rPr>
                      <w:rFonts w:hint="eastAsia" w:ascii="宋体" w:hAnsi="宋体" w:cs="宋体"/>
                      <w:bCs/>
                      <w:snapToGrid w:val="0"/>
                      <w:color w:val="000000"/>
                      <w:kern w:val="0"/>
                      <w:sz w:val="18"/>
                      <w:szCs w:val="18"/>
                      <w:highlight w:val="none"/>
                    </w:rPr>
                  </w:pPr>
                  <w:r>
                    <w:t>三明水利水电工程有限公司顺昌分公司</w:t>
                  </w:r>
                </w:p>
              </w:tc>
              <w:tc>
                <w:tcPr>
                  <w:tcW w:w="1204" w:type="dxa"/>
                  <w:noWrap w:val="0"/>
                  <w:vAlign w:val="center"/>
                </w:tcPr>
                <w:p w14:paraId="2EB53AAF">
                  <w:pPr>
                    <w:adjustRightInd w:val="0"/>
                    <w:snapToGrid w:val="0"/>
                    <w:jc w:val="center"/>
                    <w:rPr>
                      <w:rFonts w:hint="eastAsia" w:ascii="宋体" w:hAnsi="宋体" w:cs="宋体"/>
                      <w:bCs/>
                      <w:snapToGrid w:val="0"/>
                      <w:color w:val="000000"/>
                      <w:kern w:val="0"/>
                      <w:sz w:val="18"/>
                      <w:szCs w:val="18"/>
                      <w:highlight w:val="none"/>
                    </w:rPr>
                  </w:pPr>
                  <w:r>
                    <w:t>572</w:t>
                  </w:r>
                </w:p>
              </w:tc>
              <w:tc>
                <w:tcPr>
                  <w:tcW w:w="1359" w:type="dxa"/>
                  <w:noWrap w:val="0"/>
                  <w:vAlign w:val="center"/>
                </w:tcPr>
                <w:p w14:paraId="63225DCC">
                  <w:pPr>
                    <w:adjustRightInd w:val="0"/>
                    <w:snapToGrid w:val="0"/>
                    <w:jc w:val="center"/>
                    <w:rPr>
                      <w:rFonts w:hint="eastAsia" w:ascii="宋体" w:hAnsi="宋体" w:cs="宋体"/>
                      <w:bCs/>
                      <w:snapToGrid w:val="0"/>
                      <w:color w:val="000000"/>
                      <w:kern w:val="0"/>
                      <w:sz w:val="18"/>
                      <w:szCs w:val="18"/>
                      <w:highlight w:val="none"/>
                    </w:rPr>
                  </w:pPr>
                  <w:r>
                    <w:t>5.07%</w:t>
                  </w:r>
                </w:p>
              </w:tc>
              <w:tc>
                <w:tcPr>
                  <w:tcW w:w="1950" w:type="dxa"/>
                  <w:noWrap w:val="0"/>
                  <w:vAlign w:val="center"/>
                </w:tcPr>
                <w:p w14:paraId="40E437BC">
                  <w:pPr>
                    <w:adjustRightInd w:val="0"/>
                    <w:snapToGrid w:val="0"/>
                    <w:jc w:val="center"/>
                    <w:rPr>
                      <w:rFonts w:hint="eastAsia" w:ascii="宋体" w:hAnsi="宋体" w:cs="宋体"/>
                      <w:bCs/>
                      <w:snapToGrid w:val="0"/>
                      <w:color w:val="000000"/>
                      <w:kern w:val="0"/>
                      <w:sz w:val="18"/>
                      <w:szCs w:val="18"/>
                      <w:highlight w:val="none"/>
                    </w:rPr>
                  </w:pPr>
                  <w:r>
                    <w:t>分期</w:t>
                  </w:r>
                </w:p>
              </w:tc>
              <w:tc>
                <w:tcPr>
                  <w:tcW w:w="1919" w:type="dxa"/>
                  <w:noWrap w:val="0"/>
                  <w:vAlign w:val="center"/>
                </w:tcPr>
                <w:p w14:paraId="48B39A6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144EC347">
                  <w:pPr>
                    <w:adjustRightInd w:val="0"/>
                    <w:snapToGrid w:val="0"/>
                    <w:jc w:val="center"/>
                    <w:rPr>
                      <w:rFonts w:hint="eastAsia" w:ascii="宋体" w:hAnsi="宋体" w:cs="宋体"/>
                      <w:bCs/>
                      <w:snapToGrid w:val="0"/>
                      <w:color w:val="000000"/>
                      <w:kern w:val="0"/>
                      <w:sz w:val="18"/>
                      <w:szCs w:val="18"/>
                      <w:highlight w:val="none"/>
                    </w:rPr>
                  </w:pPr>
                </w:p>
              </w:tc>
            </w:tr>
          </w:tbl>
          <w:p w14:paraId="1257A487">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3409B1D9">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0498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6175E6E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22F412C3">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 日，经531系统查询，借款人 2025 年 12 月   日提贷 1000万元，到期日 2025 年 12 月   日，贷款采取自主支付方式发放，通过调取借款人账户流水，1. 1000万元向 福建中锐网络股份有限公司 有限公司支付 福建中锐网络股份有限公司 货款（已提供发票）；2. 1000万元转至工行同户名账户，穿透查看用于向 1 个人支付采购竹刨花原料款 1000万元，其余用于支付税款；3.____万元元转至农行同户名账户(基本户），用于向37个员工支付工资款。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29AA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7DF76519">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5CEA56DF">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1570AAC2">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4715834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EA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336511F">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5994A19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2E13BDC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交通银行屏东支行</w:t>
                  </w:r>
                </w:p>
              </w:tc>
              <w:tc>
                <w:tcPr>
                  <w:tcW w:w="0" w:type="auto"/>
                  <w:noWrap w:val="0"/>
                  <w:vAlign w:val="top"/>
                </w:tcPr>
                <w:p w14:paraId="618D54E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5AE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8709546">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74AFE2A6">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21468788">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海峡银行-金山支行</w:t>
                  </w:r>
                </w:p>
              </w:tc>
              <w:tc>
                <w:tcPr>
                  <w:tcW w:w="0" w:type="auto"/>
                  <w:noWrap w:val="0"/>
                  <w:vAlign w:val="top"/>
                </w:tcPr>
                <w:p w14:paraId="0AB12E71">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500</w:t>
                  </w:r>
                </w:p>
              </w:tc>
            </w:tr>
            <w:tr w14:paraId="7009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742B26F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58D2924C">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5C948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5C15082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7556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FF27F1">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54C09B6B">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27C95D1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厦门国际银行台江支行</w:t>
                  </w:r>
                </w:p>
              </w:tc>
              <w:tc>
                <w:tcPr>
                  <w:tcW w:w="0" w:type="auto"/>
                  <w:noWrap w:val="0"/>
                  <w:vAlign w:val="top"/>
                </w:tcPr>
                <w:p w14:paraId="211C32A1">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5897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18F4E156">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74E9992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69114191">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兴业银行-环球支行</w:t>
                  </w:r>
                </w:p>
              </w:tc>
              <w:tc>
                <w:tcPr>
                  <w:tcW w:w="0" w:type="auto"/>
                  <w:noWrap w:val="0"/>
                  <w:vAlign w:val="top"/>
                </w:tcPr>
                <w:p w14:paraId="49BB70A6">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1000</w:t>
                  </w:r>
                </w:p>
              </w:tc>
            </w:tr>
          </w:tbl>
          <w:p w14:paraId="484B80A4">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1D98B4A6">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材料未提供关于企业ESG评价、涉诉、反洗钱风险等级等负面信息的说明。</w:t>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007400E1">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材料未提供相关信息。</w:t>
            </w:r>
            <w:r>
              <w:rPr>
                <w:rFonts w:hint="eastAsia" w:ascii="宋体" w:hAnsi="宋体" w:cs="宋体"/>
                <w:bCs/>
                <w:snapToGrid w:val="0"/>
                <w:color w:val="000000"/>
                <w:kern w:val="0"/>
                <w:szCs w:val="21"/>
                <w:highlight w:val="none"/>
                <w:u w:val="none"/>
                <w:lang w:val="en-US" w:eastAsia="zh-CN"/>
              </w:rPr>
            </w:r>
            <w:r>
              <w:rPr>
                <w:rFonts w:hint="eastAsia" w:ascii="宋体" w:hAnsi="宋体" w:eastAsia="宋体" w:cs="宋体"/>
                <w:b/>
                <w:bCs/>
                <w:snapToGrid w:val="0"/>
                <w:color w:val="000000"/>
                <w:kern w:val="0"/>
                <w:szCs w:val="21"/>
                <w:highlight w:val="none"/>
                <w:lang w:val="en-US" w:eastAsia="zh-CN"/>
              </w:rPr>
            </w:r>
            <w:r>
              <w:rPr>
                <w:rFonts w:hint="eastAsia" w:ascii="宋体" w:hAnsi="宋体" w:cs="宋体"/>
                <w:b/>
                <w:snapToGrid w:val="0"/>
                <w:color w:val="000000"/>
                <w:kern w:val="0"/>
                <w:szCs w:val="21"/>
                <w:u w:val="single"/>
                <w:lang w:val="en-US" w:eastAsia="zh-CN"/>
              </w:rPr>
            </w:r>
          </w:p>
          <w:p w14:paraId="4C2D12E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材料未提供法定代表人相关信息。</w:t>
            </w:r>
            <w:r>
              <w:rPr>
                <w:rFonts w:hint="eastAsia" w:ascii="宋体" w:hAnsi="宋体" w:cs="宋体"/>
                <w:b/>
                <w:snapToGrid w:val="0"/>
                <w:kern w:val="0"/>
                <w:szCs w:val="21"/>
              </w:rPr>
            </w:r>
          </w:p>
          <w:p w14:paraId="3A081F54">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材料未提供法定代表人相关信息。</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5614C27D">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根据补充材料，其为湖南大学电子商务专业本科学历。其行业经验超过20年，专注于网络技术及智慧行业领域。</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2081646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材料未提供相关信息。</w:t>
            </w:r>
            <w:r>
              <w:rPr>
                <w:rFonts w:hint="eastAsia" w:ascii="宋体" w:hAnsi="宋体" w:cs="宋体"/>
                <w:b/>
                <w:bCs/>
                <w:snapToGrid w:val="0"/>
                <w:color w:val="auto"/>
                <w:kern w:val="0"/>
                <w:szCs w:val="21"/>
                <w:highlight w:val="none"/>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000000"/>
                <w:kern w:val="0"/>
                <w:szCs w:val="21"/>
              </w:rPr>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19FF07A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BB1A5C1">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6B3155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84CBC60">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0D68E1B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9C9D747">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6B7234">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CEEAC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37925B5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4CA2F4">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2C1C7AD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F1AD414">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B30DF75">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06F9C713">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2968D82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C78BA4">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4285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0A1520">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2DA20A1F">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3BE0F62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F4CE8AB">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73012AF">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F4CA3D9">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9BC0E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E7AB2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1A17CE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32A2A5AA">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9EB4D74">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出租，出租方____公司/个人，年租金____万元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1BA210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A04832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0510B4A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DB48C0">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4C7CC0C">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5391E99">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075D1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EC3BD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8CA65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0939A54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73E93C5">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54379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072C66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1747B84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574399C">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3D88032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49724C8">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0397AF0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536A9C">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08A6244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D2F56F">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2E66506">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7FC9F7">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4DBF2870">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A4395C1">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2ED396E6">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303F3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15E5E107">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01AC92EF">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26C41DD8">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617A5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492F90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DAAD8C">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633AAA9D">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038BE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4035F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134E50B">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D1E3EC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ED93955">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361E98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889B6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23D20A7">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5D64C">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AB1FE7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47984DD">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6C1C4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D1D3FD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22B3C9">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70845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AE9E61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44A1E3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97080FF">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33CD4AB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70A998">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24DF8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A30E3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E77F8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D856D57">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7CA99633">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F4D83C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根据补充材料，福建中锐网络股份有限公司存在多家关联企业。其中，全资控股的福建中锐汉鼎信息技术有限公司、福建中锐教育科技有限公司、北京中锐青云科技有限公司及厦门中锐软件科技有限公司，以及持股84%的中锐海沃水利技术(福建)有限公司，均与中锐网络在智慧水利、智慧教育等主营业务领域存在协同。材料显示，2025年，中锐汉鼎、中锐教育、中锐青云及中锐海沃四家关联企业合计实现营业收入约1455万元，但合计净利润为负值，显示部分关联企业经营处于投入或亏损阶段。材料未提供关联企业间具体的关联交易金额、资金往来及担保情况。关联企业整体规模较小，但需关注其经营亏损可能对母公司产生的潜在资金占用或支持压力。</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 w:val="21"/>
                <w:szCs w:val="21"/>
                <w:highlight w:val="none"/>
                <w:lang w:val="en-US" w:eastAsia="zh-CN"/>
              </w:rPr>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28AA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7F5770">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4BEF2471">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2C59401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3E82081C">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B0D8C0">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3FCA50E5">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AFAA4D1">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291206F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0B45C606">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1966426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61D3EA45">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45B5D08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44F4C023">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3998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0FF76378">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75F13528">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7B5F5B51">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9220BC0">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3B656F5F">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CDB1073">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598E0448">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4475D1FC">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3091D0EE">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46EFE488">
                  <w:pPr>
                    <w:adjustRightInd w:val="0"/>
                    <w:snapToGrid w:val="0"/>
                    <w:jc w:val="center"/>
                    <w:rPr>
                      <w:rFonts w:hint="eastAsia" w:ascii="宋体" w:hAnsi="宋体" w:cs="宋体"/>
                      <w:snapToGrid w:val="0"/>
                      <w:kern w:val="0"/>
                      <w:sz w:val="18"/>
                      <w:szCs w:val="18"/>
                      <w:highlight w:val="none"/>
                    </w:rPr>
                  </w:pPr>
                </w:p>
              </w:tc>
            </w:tr>
            <w:tr w14:paraId="1ED9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47BBA114">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67B7A771">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51977305">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CA711F2">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722E80CA">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44DA6D0F">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7B8D6093">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7DEC2A58">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144A841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580976E6">
                  <w:pPr>
                    <w:adjustRightInd w:val="0"/>
                    <w:snapToGrid w:val="0"/>
                    <w:jc w:val="center"/>
                    <w:rPr>
                      <w:rFonts w:hint="eastAsia" w:ascii="宋体" w:hAnsi="宋体" w:cs="宋体"/>
                      <w:snapToGrid w:val="0"/>
                      <w:kern w:val="0"/>
                      <w:sz w:val="18"/>
                      <w:szCs w:val="18"/>
                      <w:highlight w:val="none"/>
                    </w:rPr>
                  </w:pPr>
                </w:p>
              </w:tc>
            </w:tr>
            <w:tr w14:paraId="5F0E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1028267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ACE863C">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70985DFB">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0D3C22A5">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2355123E">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E903649">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15F18B6">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477A3299">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0136361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07D64C3A">
                  <w:pPr>
                    <w:adjustRightInd w:val="0"/>
                    <w:snapToGrid w:val="0"/>
                    <w:jc w:val="center"/>
                    <w:rPr>
                      <w:rFonts w:hint="eastAsia" w:ascii="宋体" w:hAnsi="宋体" w:cs="宋体"/>
                      <w:snapToGrid w:val="0"/>
                      <w:kern w:val="0"/>
                      <w:sz w:val="18"/>
                      <w:szCs w:val="18"/>
                      <w:highlight w:val="none"/>
                    </w:rPr>
                  </w:pPr>
                </w:p>
              </w:tc>
            </w:tr>
          </w:tbl>
          <w:p w14:paraId="0132417A">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4E7250B9">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kern w:val="0"/>
                <w:szCs w:val="21"/>
                <w:highlight w:val="none"/>
                <w:u w:val="single"/>
              </w:rPr>
              <w:t>企业关联方众多，但仅关联企业1、2有实际经营，总体经营规模不大，与借款企业存在少量关联交易、资金往来。</w:t>
            </w:r>
          </w:p>
          <w:p w14:paraId="6871C53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33AE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4E560B9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AD69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BFD44E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AEB69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26174316">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FDA082E">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0A75CF8C">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6F7B84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4178A1FC">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5A80D1D3">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24CEFC13">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1DE46A7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17729C2C">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90694E2">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0F0B288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3FCA12D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1BF1A3C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6E9B7A9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604331F2">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15DEABD">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4DA535C4">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18375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58199BDF">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378EC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2F78989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EC6376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5ADDE9A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3F69EA4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0B6284A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4D5AB3E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25E568B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3DF720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A4B97A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2214745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8E85C3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E847E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25B325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5BDC1C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86D16E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06F4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35A859F">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1A60AD4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6383166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1ECB93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128DF3D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16204A8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626055F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788DEE45">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3DE725D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7BF0CB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B2EE89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25D9F6A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7DC153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435284D">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7FD6DB0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37111EC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A5E16C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6E84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53E67D04">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16AA001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62942DF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1D4706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663FF1B2">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6991DE9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3B4129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2121D9AD">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38254442">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716D4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564D5FE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073457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B88199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0218B01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7BB6E5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22BB4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4910A2D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D95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2D8DA499">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0A87F21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4BEA528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1932B5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61D8095">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1C86CF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6C2E7F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4E6875E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1F0C97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3B1B467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F40143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08250A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D39CE2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A5FB23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0F61D58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315543B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2A4EA9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D60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08440A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3E7B08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15B42E1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0A28E6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4B585A3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60EB18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53D7745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3F054C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546258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1B17218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5828642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75CF24E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0618BA6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34854E0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42978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450A083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4C43D8D7">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集团内因生产工艺等原因，互有关联销售，合计在（材料未提供）亿左右，剔除关联交易后，集团整体销售约（材料未提供）亿。</w:t>
            </w:r>
          </w:p>
          <w:p w14:paraId="61B5553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4A741A0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3F23B5E0">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产品（业务）及其市场应用：公司主营业务为智慧水利与智慧教育。智慧水利业务方面，公司提供涵盖水灾害、水工程、水资源、水生态水环境、水监督、水政务六大重点应用的解决方案，已应用于福建省内300余座大中小型水库。智慧教育业务方面，公司聚焦网络、人工智能、智慧行业领域，提供数字人才培养解决方案，与全国超过1000所高校及科研院所建立产学研合作，服务1600多家政企客户。2025年，公司水利与教育业务收入占比分别为46%和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186C7B24">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FC519B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42C19A84">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11177C9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材料未提供生产设备、产能、产销率及用电量等相关信息。</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739C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center"/>
                </w:tcPr>
                <w:p w14:paraId="2F4708F4">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037FF81">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30F45B32">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90E9FA9">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3217F470">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4B3C64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492768B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0E6C938">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25DA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5827F353">
                  <w:pPr>
                    <w:rPr>
                      <w:rFonts w:hint="eastAsia"/>
                      <w:vertAlign w:val="baseline"/>
                      <w:lang w:val="en-US" w:eastAsia="zh-CN"/>
                    </w:rPr>
                  </w:pPr>
                </w:p>
              </w:tc>
              <w:tc>
                <w:tcPr>
                  <w:tcW w:w="0" w:type="auto"/>
                  <w:noWrap w:val="0"/>
                  <w:vAlign w:val="top"/>
                </w:tcPr>
                <w:p w14:paraId="019BB082">
                  <w:pPr>
                    <w:rPr>
                      <w:rFonts w:hint="eastAsia"/>
                      <w:vertAlign w:val="baseline"/>
                      <w:lang w:val="en-US" w:eastAsia="zh-CN"/>
                    </w:rPr>
                  </w:pPr>
                </w:p>
              </w:tc>
              <w:tc>
                <w:tcPr>
                  <w:tcW w:w="0" w:type="auto"/>
                  <w:noWrap w:val="0"/>
                  <w:vAlign w:val="top"/>
                </w:tcPr>
                <w:p w14:paraId="018D62A1">
                  <w:pPr>
                    <w:rPr>
                      <w:rFonts w:hint="eastAsia"/>
                      <w:vertAlign w:val="baseline"/>
                      <w:lang w:val="en-US" w:eastAsia="zh-CN"/>
                    </w:rPr>
                  </w:pPr>
                </w:p>
              </w:tc>
              <w:tc>
                <w:tcPr>
                  <w:tcW w:w="0" w:type="auto"/>
                  <w:noWrap w:val="0"/>
                  <w:vAlign w:val="top"/>
                </w:tcPr>
                <w:p w14:paraId="48457F5E">
                  <w:pPr>
                    <w:rPr>
                      <w:rFonts w:hint="eastAsia"/>
                      <w:vertAlign w:val="baseline"/>
                      <w:lang w:val="en-US" w:eastAsia="zh-CN"/>
                    </w:rPr>
                  </w:pPr>
                </w:p>
              </w:tc>
              <w:tc>
                <w:tcPr>
                  <w:tcW w:w="0" w:type="auto"/>
                  <w:noWrap w:val="0"/>
                  <w:vAlign w:val="top"/>
                </w:tcPr>
                <w:p w14:paraId="68CB5432">
                  <w:pPr>
                    <w:rPr>
                      <w:rFonts w:hint="eastAsia"/>
                      <w:vertAlign w:val="baseline"/>
                      <w:lang w:val="en-US" w:eastAsia="zh-CN"/>
                    </w:rPr>
                  </w:pPr>
                </w:p>
              </w:tc>
              <w:tc>
                <w:tcPr>
                  <w:tcW w:w="0" w:type="auto"/>
                  <w:noWrap w:val="0"/>
                  <w:vAlign w:val="top"/>
                </w:tcPr>
                <w:p w14:paraId="31FBBD5A">
                  <w:pPr>
                    <w:rPr>
                      <w:rFonts w:hint="eastAsia"/>
                      <w:vertAlign w:val="baseline"/>
                      <w:lang w:val="en-US" w:eastAsia="zh-CN"/>
                    </w:rPr>
                  </w:pPr>
                </w:p>
              </w:tc>
            </w:tr>
            <w:tr w14:paraId="4FCA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1410ADA7">
                  <w:pPr>
                    <w:rPr>
                      <w:rFonts w:hint="eastAsia"/>
                      <w:vertAlign w:val="baseline"/>
                      <w:lang w:val="en-US" w:eastAsia="zh-CN"/>
                    </w:rPr>
                  </w:pPr>
                </w:p>
              </w:tc>
              <w:tc>
                <w:tcPr>
                  <w:tcW w:w="0" w:type="auto"/>
                  <w:noWrap w:val="0"/>
                  <w:vAlign w:val="top"/>
                </w:tcPr>
                <w:p w14:paraId="4E0A43C9">
                  <w:pPr>
                    <w:rPr>
                      <w:rFonts w:hint="eastAsia"/>
                      <w:vertAlign w:val="baseline"/>
                      <w:lang w:val="en-US" w:eastAsia="zh-CN"/>
                    </w:rPr>
                  </w:pPr>
                </w:p>
              </w:tc>
              <w:tc>
                <w:tcPr>
                  <w:tcW w:w="0" w:type="auto"/>
                  <w:noWrap w:val="0"/>
                  <w:vAlign w:val="top"/>
                </w:tcPr>
                <w:p w14:paraId="6A89B7E7">
                  <w:pPr>
                    <w:rPr>
                      <w:rFonts w:hint="eastAsia"/>
                      <w:vertAlign w:val="baseline"/>
                      <w:lang w:val="en-US" w:eastAsia="zh-CN"/>
                    </w:rPr>
                  </w:pPr>
                </w:p>
              </w:tc>
              <w:tc>
                <w:tcPr>
                  <w:tcW w:w="0" w:type="auto"/>
                  <w:noWrap w:val="0"/>
                  <w:vAlign w:val="top"/>
                </w:tcPr>
                <w:p w14:paraId="08B5D737">
                  <w:pPr>
                    <w:rPr>
                      <w:rFonts w:hint="eastAsia"/>
                      <w:vertAlign w:val="baseline"/>
                      <w:lang w:val="en-US" w:eastAsia="zh-CN"/>
                    </w:rPr>
                  </w:pPr>
                </w:p>
              </w:tc>
              <w:tc>
                <w:tcPr>
                  <w:tcW w:w="0" w:type="auto"/>
                  <w:noWrap w:val="0"/>
                  <w:vAlign w:val="top"/>
                </w:tcPr>
                <w:p w14:paraId="2204DDE1">
                  <w:pPr>
                    <w:rPr>
                      <w:rFonts w:hint="eastAsia"/>
                      <w:vertAlign w:val="baseline"/>
                      <w:lang w:val="en-US" w:eastAsia="zh-CN"/>
                    </w:rPr>
                  </w:pPr>
                </w:p>
              </w:tc>
              <w:tc>
                <w:tcPr>
                  <w:tcW w:w="0" w:type="auto"/>
                  <w:noWrap w:val="0"/>
                  <w:vAlign w:val="top"/>
                </w:tcPr>
                <w:p w14:paraId="3CA087C3">
                  <w:pPr>
                    <w:rPr>
                      <w:rFonts w:hint="eastAsia"/>
                      <w:vertAlign w:val="baseline"/>
                      <w:lang w:val="en-US" w:eastAsia="zh-CN"/>
                    </w:rPr>
                  </w:pPr>
                </w:p>
              </w:tc>
            </w:tr>
          </w:tbl>
          <w:p w14:paraId="5E6FA5EE">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513B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94FC47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7C87A28D">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2AF87F4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19CDD2D">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185737D9">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37E2565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4CCD1B6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44BFA7E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654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36B7F2F">
                  <w:pPr>
                    <w:rPr>
                      <w:rFonts w:hint="eastAsia"/>
                      <w:vertAlign w:val="baseline"/>
                      <w:lang w:val="en-US" w:eastAsia="zh-CN"/>
                    </w:rPr>
                  </w:pPr>
                </w:p>
              </w:tc>
              <w:tc>
                <w:tcPr>
                  <w:tcW w:w="0" w:type="auto"/>
                  <w:noWrap w:val="0"/>
                  <w:vAlign w:val="top"/>
                </w:tcPr>
                <w:p w14:paraId="2E536057">
                  <w:pPr>
                    <w:rPr>
                      <w:rFonts w:hint="eastAsia"/>
                      <w:vertAlign w:val="baseline"/>
                      <w:lang w:val="en-US" w:eastAsia="zh-CN"/>
                    </w:rPr>
                  </w:pPr>
                </w:p>
              </w:tc>
              <w:tc>
                <w:tcPr>
                  <w:tcW w:w="0" w:type="auto"/>
                  <w:noWrap w:val="0"/>
                  <w:vAlign w:val="top"/>
                </w:tcPr>
                <w:p w14:paraId="59F25D1B">
                  <w:pPr>
                    <w:rPr>
                      <w:rFonts w:hint="eastAsia"/>
                      <w:vertAlign w:val="baseline"/>
                      <w:lang w:val="en-US" w:eastAsia="zh-CN"/>
                    </w:rPr>
                  </w:pPr>
                </w:p>
              </w:tc>
              <w:tc>
                <w:tcPr>
                  <w:tcW w:w="0" w:type="auto"/>
                  <w:noWrap w:val="0"/>
                  <w:vAlign w:val="top"/>
                </w:tcPr>
                <w:p w14:paraId="12A051F5">
                  <w:pPr>
                    <w:rPr>
                      <w:rFonts w:hint="eastAsia"/>
                      <w:vertAlign w:val="baseline"/>
                      <w:lang w:val="en-US" w:eastAsia="zh-CN"/>
                    </w:rPr>
                  </w:pPr>
                </w:p>
              </w:tc>
              <w:tc>
                <w:tcPr>
                  <w:tcW w:w="0" w:type="auto"/>
                  <w:noWrap w:val="0"/>
                  <w:vAlign w:val="top"/>
                </w:tcPr>
                <w:p w14:paraId="5CAF12AB">
                  <w:pPr>
                    <w:rPr>
                      <w:rFonts w:hint="eastAsia"/>
                      <w:vertAlign w:val="baseline"/>
                      <w:lang w:val="en-US" w:eastAsia="zh-CN"/>
                    </w:rPr>
                  </w:pPr>
                </w:p>
              </w:tc>
              <w:tc>
                <w:tcPr>
                  <w:tcW w:w="0" w:type="auto"/>
                  <w:noWrap w:val="0"/>
                  <w:vAlign w:val="top"/>
                </w:tcPr>
                <w:p w14:paraId="63E06046">
                  <w:pPr>
                    <w:rPr>
                      <w:rFonts w:hint="eastAsia"/>
                      <w:vertAlign w:val="baseline"/>
                      <w:lang w:val="en-US" w:eastAsia="zh-CN"/>
                    </w:rPr>
                  </w:pPr>
                </w:p>
              </w:tc>
            </w:tr>
            <w:tr w14:paraId="2F0A1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20438B4">
                  <w:pPr>
                    <w:rPr>
                      <w:rFonts w:hint="eastAsia"/>
                      <w:vertAlign w:val="baseline"/>
                      <w:lang w:val="en-US" w:eastAsia="zh-CN"/>
                    </w:rPr>
                  </w:pPr>
                </w:p>
              </w:tc>
              <w:tc>
                <w:tcPr>
                  <w:tcW w:w="0" w:type="auto"/>
                  <w:noWrap w:val="0"/>
                  <w:vAlign w:val="top"/>
                </w:tcPr>
                <w:p w14:paraId="0F33E7CB">
                  <w:pPr>
                    <w:rPr>
                      <w:rFonts w:hint="eastAsia"/>
                      <w:vertAlign w:val="baseline"/>
                      <w:lang w:val="en-US" w:eastAsia="zh-CN"/>
                    </w:rPr>
                  </w:pPr>
                </w:p>
              </w:tc>
              <w:tc>
                <w:tcPr>
                  <w:tcW w:w="0" w:type="auto"/>
                  <w:noWrap w:val="0"/>
                  <w:vAlign w:val="top"/>
                </w:tcPr>
                <w:p w14:paraId="764D57A4">
                  <w:pPr>
                    <w:rPr>
                      <w:rFonts w:hint="eastAsia"/>
                      <w:vertAlign w:val="baseline"/>
                      <w:lang w:val="en-US" w:eastAsia="zh-CN"/>
                    </w:rPr>
                  </w:pPr>
                </w:p>
              </w:tc>
              <w:tc>
                <w:tcPr>
                  <w:tcW w:w="0" w:type="auto"/>
                  <w:noWrap w:val="0"/>
                  <w:vAlign w:val="top"/>
                </w:tcPr>
                <w:p w14:paraId="355D9CC5">
                  <w:pPr>
                    <w:rPr>
                      <w:rFonts w:hint="eastAsia"/>
                      <w:vertAlign w:val="baseline"/>
                      <w:lang w:val="en-US" w:eastAsia="zh-CN"/>
                    </w:rPr>
                  </w:pPr>
                </w:p>
              </w:tc>
              <w:tc>
                <w:tcPr>
                  <w:tcW w:w="0" w:type="auto"/>
                  <w:noWrap w:val="0"/>
                  <w:vAlign w:val="top"/>
                </w:tcPr>
                <w:p w14:paraId="07FA4A6E">
                  <w:pPr>
                    <w:rPr>
                      <w:rFonts w:hint="eastAsia"/>
                      <w:vertAlign w:val="baseline"/>
                      <w:lang w:val="en-US" w:eastAsia="zh-CN"/>
                    </w:rPr>
                  </w:pPr>
                </w:p>
              </w:tc>
              <w:tc>
                <w:tcPr>
                  <w:tcW w:w="0" w:type="auto"/>
                  <w:noWrap w:val="0"/>
                  <w:vAlign w:val="top"/>
                </w:tcPr>
                <w:p w14:paraId="38E06751">
                  <w:pPr>
                    <w:rPr>
                      <w:rFonts w:hint="eastAsia"/>
                      <w:vertAlign w:val="baseline"/>
                      <w:lang w:val="en-US" w:eastAsia="zh-CN"/>
                    </w:rPr>
                  </w:pPr>
                </w:p>
              </w:tc>
            </w:tr>
          </w:tbl>
          <w:p w14:paraId="57EB76D9">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4A692C0A">
            <w:commentRangeStart w:id="3"/>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3"/>
            <w:r>
              <w:rPr>
                <w:rStyle w:val="CommentReference"/>
              </w:rPr>
              <w:commentReference w:id="3"/>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C71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EB4633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0C139CB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FC0D1F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6A2D32D5">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09809CA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57B88C9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21C8C7F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3AB09D81">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2E1C214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0870E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202286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0CA80EA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029B95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4372A7D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82666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13B230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24EE3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17FF229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39F0B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8B2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3D54A7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DC9405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76F1834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83D56A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84839A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509B7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4030300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0938BC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AD21A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6E5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6F292A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1B1C90A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DDE71C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858A3B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2BA4D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286D63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658DBAA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C3DBB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95FB4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556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76ED77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37CBB75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401DC0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8AEE56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A5F21D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458AF0F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B2ACA7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495415C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5AEC5B6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3E9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0D9542D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321F7B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B1E0C4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EA89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6294694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927AC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311F56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0EBC4F3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03263E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3DA5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1BF57EE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4317B505">
            <w:commentRangeStart w:id="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4"/>
            <w:r>
              <w:rPr>
                <w:rStyle w:val="CommentReference"/>
              </w:rPr>
              <w:commentReference w:id="4"/>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72B8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F44E40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02117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0237502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1B226820">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26BBA54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B0D61C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453B99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207FC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7B206B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2AF9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B600C3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3D36AE1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6427BFE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32B7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79BA66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55333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E7ACA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33AC09C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0D39B4A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C6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4CFC6D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3BCAFA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7E86E1D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0FE87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63675D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5C5B3A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605F12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C46879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5B3EE4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82E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6DE2D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0B4907F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2E25AC6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DDB34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E76BCE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78EF08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E592DA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4924D0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41C9D8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0D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B9883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F73CB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23DE915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F5C493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8CC8C6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28EF6D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C4E2B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3D7277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7BF88B1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CF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041919A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42200FC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36956E4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57E341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15D844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59C91C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3CC85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E7EFB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502AE7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56D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15037E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2B5E4831">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kern w:val="0"/>
                <w:szCs w:val="21"/>
                <w:highlight w:val="none"/>
                <w:u w:val="single"/>
              </w:rPr>
              <w:t>上游采购一般预付或现付，下游账期较长，主要下游通过转账、票据与借款</w:t>
            </w:r>
            <w:r>
              <w:rPr>
                <w:rFonts w:hint="eastAsia" w:ascii="宋体" w:hAnsi="宋体" w:cs="宋体"/>
                <w:snapToGrid w:val="0"/>
                <w:kern w:val="0"/>
                <w:szCs w:val="21"/>
                <w:highlight w:val="none"/>
                <w:u w:val="single"/>
                <w:lang w:val="en-US" w:eastAsia="zh-CN"/>
              </w:rPr>
              <w:t>人</w:t>
            </w:r>
            <w:r>
              <w:rPr>
                <w:rFonts w:hint="eastAsia" w:ascii="宋体" w:hAnsi="宋体" w:cs="宋体"/>
                <w:snapToGrid w:val="0"/>
                <w:kern w:val="0"/>
                <w:szCs w:val="21"/>
                <w:highlight w:val="none"/>
                <w:u w:val="single"/>
              </w:rPr>
              <w:t>进行结算。企业总体营运资金周转效率偏慢，一年周转约1次。</w:t>
            </w:r>
          </w:p>
          <w:p w14:paraId="7D67D9A7">
            <w:commentRangeStart w:id="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commentRangeEnd w:id="5"/>
            <w:r>
              <w:rPr>
                <w:rStyle w:val="CommentReference"/>
              </w:rPr>
              <w:commentReference w:id="5"/>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1D7B0A43">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588AD3A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5BAD5D2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0CAF6AE9">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43B097ED">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4EE5673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054392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4A4DD45D">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690CA19">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p>
              </w:tc>
              <w:tc>
                <w:tcPr>
                  <w:tcW w:w="605" w:type="pct"/>
                  <w:tcBorders>
                    <w:top w:val="nil"/>
                    <w:left w:val="nil"/>
                    <w:bottom w:val="single" w:color="auto" w:sz="4" w:space="0"/>
                    <w:right w:val="single" w:color="auto" w:sz="4" w:space="0"/>
                  </w:tcBorders>
                  <w:noWrap w:val="0"/>
                  <w:vAlign w:val="center"/>
                </w:tcPr>
                <w:p w14:paraId="65BE365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674C8F95">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09BC79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t>2024年</w:t>
                  </w:r>
                </w:p>
              </w:tc>
              <w:tc>
                <w:tcPr>
                  <w:tcW w:w="731" w:type="pct"/>
                  <w:tcBorders>
                    <w:top w:val="nil"/>
                    <w:left w:val="nil"/>
                    <w:bottom w:val="single" w:color="auto" w:sz="4" w:space="0"/>
                    <w:right w:val="single" w:color="auto" w:sz="4" w:space="0"/>
                  </w:tcBorders>
                  <w:noWrap w:val="0"/>
                  <w:vAlign w:val="center"/>
                </w:tcPr>
                <w:p w14:paraId="65E2BEB9">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t>2000</w:t>
                  </w:r>
                </w:p>
              </w:tc>
              <w:tc>
                <w:tcPr>
                  <w:tcW w:w="731" w:type="pct"/>
                  <w:tcBorders>
                    <w:top w:val="nil"/>
                    <w:left w:val="nil"/>
                    <w:bottom w:val="single" w:color="auto" w:sz="4" w:space="0"/>
                    <w:right w:val="single" w:color="auto" w:sz="4" w:space="0"/>
                  </w:tcBorders>
                  <w:noWrap w:val="0"/>
                  <w:vAlign w:val="center"/>
                </w:tcPr>
                <w:p w14:paraId="66D6DA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t>2000</w:t>
                  </w:r>
                </w:p>
              </w:tc>
            </w:tr>
            <w:tr w14:paraId="452A427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4E3C2E8D">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744E37ED">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0608CD3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C627E9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6DF94E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34BE07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E1918A6">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F77D94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4A77485D">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58DFAD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86AEA9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21C6A39">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30B3CC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B01A686">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34B7FB9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9AE0DB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710687E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389252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12C9BA4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A04860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CF52A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67F2C6D">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4CE19B21">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2000</w:t>
                  </w:r>
                </w:p>
              </w:tc>
              <w:tc>
                <w:tcPr>
                  <w:tcW w:w="886" w:type="pct"/>
                  <w:tcBorders>
                    <w:top w:val="nil"/>
                    <w:left w:val="nil"/>
                    <w:bottom w:val="single" w:color="auto" w:sz="4" w:space="0"/>
                    <w:right w:val="single" w:color="auto" w:sz="4" w:space="0"/>
                  </w:tcBorders>
                  <w:noWrap w:val="0"/>
                  <w:vAlign w:val="center"/>
                </w:tcPr>
                <w:p w14:paraId="25466F0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2021.11（3年）</w:t>
                  </w:r>
                </w:p>
              </w:tc>
              <w:tc>
                <w:tcPr>
                  <w:tcW w:w="731" w:type="pct"/>
                  <w:tcBorders>
                    <w:top w:val="nil"/>
                    <w:left w:val="nil"/>
                    <w:bottom w:val="single" w:color="auto" w:sz="4" w:space="0"/>
                    <w:right w:val="single" w:color="auto" w:sz="4" w:space="0"/>
                  </w:tcBorders>
                  <w:noWrap w:val="0"/>
                  <w:vAlign w:val="center"/>
                </w:tcPr>
                <w:p w14:paraId="24386003">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2024年</w:t>
                  </w:r>
                </w:p>
              </w:tc>
              <w:tc>
                <w:tcPr>
                  <w:tcW w:w="731" w:type="pct"/>
                  <w:tcBorders>
                    <w:top w:val="nil"/>
                    <w:left w:val="nil"/>
                    <w:bottom w:val="single" w:color="auto" w:sz="4" w:space="0"/>
                    <w:right w:val="single" w:color="auto" w:sz="4" w:space="0"/>
                  </w:tcBorders>
                  <w:noWrap w:val="0"/>
                  <w:vAlign w:val="center"/>
                </w:tcPr>
                <w:p w14:paraId="6CD38A6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2000</w:t>
                  </w:r>
                </w:p>
              </w:tc>
              <w:tc>
                <w:tcPr>
                  <w:tcW w:w="731" w:type="pct"/>
                  <w:tcBorders>
                    <w:top w:val="nil"/>
                    <w:left w:val="nil"/>
                    <w:bottom w:val="single" w:color="auto" w:sz="4" w:space="0"/>
                    <w:right w:val="single" w:color="auto" w:sz="4" w:space="0"/>
                  </w:tcBorders>
                  <w:noWrap w:val="0"/>
                  <w:vAlign w:val="center"/>
                </w:tcPr>
                <w:p w14:paraId="565248F0">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2000</w:t>
                  </w:r>
                </w:p>
              </w:tc>
            </w:tr>
          </w:tbl>
          <w:p w14:paraId="2AF58FF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185929AE">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3B4E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3344436E">
                  <w:pPr>
                    <w:widowControl/>
                    <w:jc w:val="center"/>
                    <w:textAlignment w:val="center"/>
                    <w:rPr>
                      <w:rFonts w:ascii="宋体" w:hAnsi="宋体" w:cs="宋体"/>
                      <w:color w:val="000000"/>
                      <w:sz w:val="18"/>
                      <w:szCs w:val="18"/>
                      <w:highlight w:val="none"/>
                    </w:rPr>
                  </w:pPr>
                </w:p>
              </w:tc>
              <w:tc>
                <w:tcPr>
                  <w:tcW w:w="2013" w:type="dxa"/>
                  <w:noWrap w:val="0"/>
                  <w:vAlign w:val="center"/>
                </w:tcPr>
                <w:p w14:paraId="3CEF0B2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42D1B1B2">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1DB17AB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418C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3C4EC22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39F860D4">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7B79D3EE">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59B3E938">
                  <w:pPr>
                    <w:jc w:val="center"/>
                    <w:rPr>
                      <w:rFonts w:ascii="宋体" w:hAnsi="宋体" w:cs="宋体"/>
                      <w:color w:val="000000"/>
                      <w:sz w:val="18"/>
                      <w:szCs w:val="18"/>
                      <w:highlight w:val="none"/>
                    </w:rPr>
                  </w:pPr>
                  <w:r>
                    <w:t>财报与纳税申报表数据一致</w:t>
                  </w:r>
                </w:p>
              </w:tc>
            </w:tr>
            <w:tr w14:paraId="76DCD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631A6552">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05C04C74">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0DBE48C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2FAE5C24">
                  <w:pPr>
                    <w:jc w:val="center"/>
                    <w:rPr>
                      <w:rFonts w:ascii="宋体" w:hAnsi="宋体" w:cs="宋体"/>
                      <w:color w:val="000000"/>
                      <w:sz w:val="18"/>
                      <w:szCs w:val="18"/>
                      <w:highlight w:val="none"/>
                    </w:rPr>
                  </w:pPr>
                  <w:r>
                    <w:t>财报与纳税申报表数据一致</w:t>
                  </w:r>
                </w:p>
              </w:tc>
            </w:tr>
            <w:tr w14:paraId="5A55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4BC35630">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06CF816A">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5C589400">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60C8FA85">
                  <w:pPr>
                    <w:jc w:val="center"/>
                    <w:rPr>
                      <w:rFonts w:ascii="宋体" w:hAnsi="宋体" w:cs="宋体"/>
                      <w:color w:val="000000"/>
                      <w:sz w:val="18"/>
                      <w:szCs w:val="18"/>
                      <w:highlight w:val="none"/>
                    </w:rPr>
                  </w:pPr>
                  <w:r>
                    <w:t>财报与纳税申报表数据一致</w:t>
                  </w:r>
                </w:p>
              </w:tc>
            </w:tr>
          </w:tbl>
          <w:p w14:paraId="1F304F56">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081F1B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067063C5">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CF1A9E4">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69D8A7BF">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04FF02E3">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1AEF3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17F59D18">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37E5F9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97AE8F3">
                  <w:pPr>
                    <w:widowControl/>
                    <w:jc w:val="center"/>
                    <w:textAlignment w:val="center"/>
                    <w:rPr>
                      <w:rFonts w:ascii="宋体" w:hAnsi="宋体" w:cs="宋体"/>
                      <w:color w:val="000000"/>
                      <w:sz w:val="18"/>
                      <w:szCs w:val="18"/>
                      <w:highlight w:val="none"/>
                    </w:rPr>
                  </w:pPr>
                </w:p>
              </w:tc>
              <w:tc>
                <w:tcPr>
                  <w:tcW w:w="1234" w:type="dxa"/>
                  <w:noWrap w:val="0"/>
                  <w:vAlign w:val="center"/>
                </w:tcPr>
                <w:p w14:paraId="4B6166F7">
                  <w:pPr>
                    <w:widowControl/>
                    <w:jc w:val="center"/>
                    <w:textAlignment w:val="center"/>
                    <w:rPr>
                      <w:rFonts w:ascii="宋体" w:hAnsi="宋体" w:cs="宋体"/>
                      <w:color w:val="000000"/>
                      <w:sz w:val="18"/>
                      <w:szCs w:val="18"/>
                      <w:highlight w:val="none"/>
                    </w:rPr>
                  </w:pPr>
                </w:p>
              </w:tc>
              <w:tc>
                <w:tcPr>
                  <w:tcW w:w="1292" w:type="dxa"/>
                  <w:noWrap w:val="0"/>
                  <w:vAlign w:val="center"/>
                </w:tcPr>
                <w:p w14:paraId="0EA939B4">
                  <w:pPr>
                    <w:widowControl/>
                    <w:jc w:val="center"/>
                    <w:textAlignment w:val="center"/>
                    <w:rPr>
                      <w:rFonts w:ascii="宋体" w:hAnsi="宋体" w:cs="宋体"/>
                      <w:color w:val="000000"/>
                      <w:sz w:val="18"/>
                      <w:szCs w:val="18"/>
                      <w:highlight w:val="none"/>
                    </w:rPr>
                  </w:pPr>
                </w:p>
              </w:tc>
              <w:tc>
                <w:tcPr>
                  <w:tcW w:w="1570" w:type="dxa"/>
                  <w:noWrap w:val="0"/>
                  <w:vAlign w:val="center"/>
                </w:tcPr>
                <w:p w14:paraId="7F37A044">
                  <w:pPr>
                    <w:widowControl/>
                    <w:jc w:val="center"/>
                    <w:textAlignment w:val="center"/>
                    <w:rPr>
                      <w:sz w:val="18"/>
                      <w:szCs w:val="18"/>
                      <w:highlight w:val="none"/>
                    </w:rPr>
                  </w:pPr>
                </w:p>
              </w:tc>
              <w:tc>
                <w:tcPr>
                  <w:tcW w:w="1806" w:type="dxa"/>
                  <w:noWrap w:val="0"/>
                  <w:vAlign w:val="center"/>
                </w:tcPr>
                <w:p w14:paraId="6CA4C87E">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0100B1CB">
                  <w:pPr>
                    <w:widowControl/>
                    <w:jc w:val="center"/>
                    <w:textAlignment w:val="center"/>
                    <w:rPr>
                      <w:rFonts w:ascii="宋体" w:hAnsi="宋体" w:cs="宋体"/>
                      <w:color w:val="000000"/>
                      <w:sz w:val="18"/>
                      <w:szCs w:val="18"/>
                      <w:highlight w:val="none"/>
                    </w:rPr>
                  </w:pPr>
                </w:p>
              </w:tc>
            </w:tr>
          </w:tbl>
          <w:p w14:paraId="0E6867F1">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71AD84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626926AC">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1E63FA10">
                  <w:pPr>
                    <w:jc w:val="center"/>
                    <w:rPr>
                      <w:rFonts w:ascii="宋体" w:hAnsi="宋体" w:cs="宋体"/>
                      <w:sz w:val="18"/>
                      <w:szCs w:val="18"/>
                      <w:highlight w:val="none"/>
                    </w:rPr>
                  </w:pPr>
                </w:p>
              </w:tc>
            </w:tr>
            <w:tr w14:paraId="5B8C56E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1D321396">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2B382674">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5C6A5BF7">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287CE7C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根据企业提供的2025年财务报表，主要财务数据如下：| 资产总计 | 16956万元 | 18575万元 || 其中：应收账款 | 7430万元 | 9253万元 || 存货 | 2192万元 | 1166万元 || 负债合计 | 7207万元 | 9320万元 || 其中：短期借款 | 4730万元 | 4990万元 || 应付账款 | 126万元 | 2333万元 || 所有者权益合计 | 9749万元 | 9256万元 || 营业收入 | 1010万元 | 8712万元 || 净利润 | 494万元 | 329万元 || 经营活动现金流量净额 | 791万元 | 材料未提供</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10DF2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1ADB0E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71FFD05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66F633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5F744E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76FAF34">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5AF9079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5AF9079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6DCB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16862B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484026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9369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C632E2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77F095F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34F38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34F38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51B77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593CF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1D8374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69C975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7A3F10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1BA8B32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084BA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D084BA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3DB49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3AEA69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2A2890E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A4817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6A86EE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019D36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30321FA">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30321FA">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2C281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7BFB5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209AB8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54E727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B5AC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BDA33E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2D30BA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2D30BA9">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5E25B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8C0E3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AC0728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D85357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B2884D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437E8C4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92211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92211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3ED9B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DC795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7685269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29963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FCF826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EE01FD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2B7E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2B7E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4047F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5A34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79DE1E7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72DC5C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F86C1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19805E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293CE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293CE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6AF3C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E6229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C46A1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63A227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DF0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5CC4FB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BCD4B1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BCD4B1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13192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E487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0A3FF2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FB67E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951D7D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384B0F3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B069F0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B069F0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32FD2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CBCCE9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6D3611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407D4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9C1CB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6B10E74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A9214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A9214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69706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2EBB0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56C16E9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96ED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B207E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1B071B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CBBAD0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CBBAD0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09C7C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23739F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D9F1B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59A7D9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6CCF9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62EAB81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512F3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512F3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7FB32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99DCB4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4BA3425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1C49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0D005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5F5897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0E8CB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0E8CB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4519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9628B9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2767A1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A146B9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8BE62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5D27CD3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EFBC7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EFBC7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18AD9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BFD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5499C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1697D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7AEB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EEA0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2F91BF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2F91BF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0C03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A1A699">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01D4DE0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08CE6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7070C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4DD1F8F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00BD4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0BD4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3787E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8D4E69">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511675D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7895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D5A56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3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6F41A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6F41A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EB7D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0FA5111">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1FF234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AA053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CDD64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BA6D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57D84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57D84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FAB1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EF899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224951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BFBD6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818E3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B834D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5F14C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5F14C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FD73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2A4BB1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2C0A95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891D86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D5DC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72D584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05D8B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5D8B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413CE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EF0378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7F42AE7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59249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57ED4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03B718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FC226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FC226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212D3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5CEE6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2BDB100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F777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C7E07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6BD755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1A9292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1A9292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33D5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2329AB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2CA579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9D696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9F7C7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54B6DF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70092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70092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53C92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5F7CC1">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0B80E8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71D2B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642FD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649C615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05F48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05F48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04523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AF5862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05ED45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3A18C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AB0A6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3193D70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8F2F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8F2F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1DEF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8911C0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B33CE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36C0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B978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4A77F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56A6F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56A6F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3BEEE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19DA0B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5370D0B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9C05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9A5524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F0829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A9EF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A9EF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C575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27B4AF2">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1AA9B9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AB09A3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8073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682558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B959CB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B959CB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74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0D3424">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19EAA4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49C18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B39C8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9A529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D5F6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D5F6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E5D4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D16DB0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CDAD2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416E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7629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032D2D9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2747C4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747C4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34A23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86FBFF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51641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AFBD8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F5D4A8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9C7830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5674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5674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5F205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1BC24">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41CF5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ED2C9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A26DF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782CEED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E67736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E67736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20805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D5004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1927AA3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F5B2A0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64A75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69B96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91636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91636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3E5BC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72BADDC">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2A120B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63920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600F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222F66E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AF6D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AF6D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053EA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066566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05DD9BE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52C184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41E9F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0B23931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49154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49154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1D311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BEB4FDA">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6011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5B7B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64F9B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775020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7C5A4B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7C5A4B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28864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09EFAD8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231819E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78015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DF248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1F118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6E52B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E52B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5EF0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09171E37">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1BB3B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A32635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79C8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747C550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20AA0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20AA0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61B37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561516B6">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6895119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5EF0DC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86ED1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749D91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5FCB41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5FCB41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C8F7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105218F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1BEA193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03DE7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A586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158713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06AEB6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06AEB6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62B06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60DE5EBE">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77C682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221D1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06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7845174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177B79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177B79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5A83E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63C7EAB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CAADC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78DF49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576CC09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1DCC0FE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67962F4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67962F4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26647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607FC282">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07EB2A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29DBB6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4F1C94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7B61CFD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3F4F4C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3F4F4C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79FF38EC">
            <w:commentRangeStart w:id="6"/>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注：以下财务数据明细为（材料未提供）年X月数据（若该科目占比超10%或变动超20%的需做具体分析，其他可视情况简要说明）</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commentRangeEnd w:id="6"/>
            <w:r>
              <w:rPr>
                <w:rStyle w:val="CommentReference"/>
              </w:rPr>
            </w:r>
          </w:p>
          <w:p w14:paraId="18C7B642">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7430万元，较年初9253万元减少1823万元。主要构成及变动趋势材料未提供。结合企业在手订单中大量未回款项目（如涵江水利局项目未回款1145万元、福建省翔远电子科技有限公司项目未回款1122万元等），显示公司下游客户回款周期可能较长，应收账款规模虽有所下降但仍处高位，需关注其回收风险及对公司营运资金的占用。</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2398F2C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（2）其他应收款2774万元，较年初3522万元减少748万元。主要构成及变动趋势材料未提供。</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7B9DC3EA">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（3）存货2192万元，较年初1166万元增加126万元，增幅显著。主要构成及变动趋势材料未提供。存货大幅增加可能与业务规模扩张或项目执行周期有关，需关注其跌价风险及对流动性的影响。</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7D0236FD">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（4）长期投资3205万元（含长期股权投资3123万元及其他权益工具投资81万元），较年初2618万元增加587万元。主要构成及变动趋势材料未提供。</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DF661F2">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（5）应付账款126万元，较年初2333万元大幅减少1307万元。主要构成及变动趋势材料未提供。结合公司上游供应商给予信用账期的描述，应付账款减少可能意味着公司加快了采购付款节奏，或采购规模有所调整。</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07E6022F">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（6）其他应付款168万元，较年初648万元减少480万元。主要构成及变动趋势材料未提供。</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3C67BAB7">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2025年主营业务收入为1010万元，较2024年的8712万元增长1298万元，增幅为14.9%。</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7BDC7C46">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2025年公司营业收入同比增长14.9%至1010万元，净利润同比增长50.2%至494万元，净利率由2024年的3.8%提升至4.9%。盈利能力显著增强主要源于收入规模扩张带来的利润增长，但材料中未提供具体成本费用明细以分析利润率提升的详细驱动因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441A94D7">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（9）固定资产投资变动情况：2025年末固定资产账面价值为93万元，较年初164万元减少71万元。材料未提供后续大额固定资产投入计划。</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
                <w:bCs w:val="0"/>
                <w:snapToGrid w:val="0"/>
                <w:kern w:val="0"/>
                <w:szCs w:val="21"/>
                <w:highlight w:val="none"/>
                <w:lang w:val="zh-CN"/>
              </w:rPr>
            </w:r>
            <w:r>
              <w:rPr>
                <w:rFonts w:hint="eastAsia" w:ascii="宋体" w:hAnsi="宋体" w:cs="宋体"/>
                <w:b/>
                <w:bCs w:val="0"/>
                <w:snapToGrid w:val="0"/>
                <w:kern w:val="0"/>
                <w:szCs w:val="21"/>
                <w:highlight w:val="none"/>
                <w:lang w:val="en-US" w:eastAsia="zh-CN"/>
              </w:rPr>
            </w:r>
            <w:r>
              <w:rPr>
                <w:rFonts w:hint="eastAsia" w:ascii="宋体" w:hAnsi="宋体" w:cs="宋体"/>
                <w:b/>
                <w:bCs w:val="0"/>
                <w:snapToGrid w:val="0"/>
                <w:kern w:val="0"/>
                <w:szCs w:val="21"/>
                <w:highlight w:val="none"/>
                <w:lang w:val="zh-CN"/>
              </w:rPr>
            </w:r>
            <w:r>
              <w:rPr>
                <w:rFonts w:hint="eastAsia" w:ascii="宋体" w:hAnsi="宋体" w:cs="宋体"/>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44A25703">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（10）其他变动较大的财务指标：预付款项428万元，较年初260万元增加168万元；预收款项（合同负债）978万元，较年初890万元增加88万元。预付款项增加可能与项目采购备货相关。</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67B3BB33">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6860FFA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w:t>
            </w:r>
            <w:r>
              <w:rPr>
                <w:rFonts w:hint="eastAsia" w:ascii="宋体" w:hAnsi="宋体" w:cs="宋体"/>
                <w:b w:val="0"/>
                <w:bCs/>
                <w:snapToGrid w:val="0"/>
                <w:kern w:val="0"/>
                <w:szCs w:val="21"/>
                <w:highlight w:val="none"/>
                <w:lang w:val="en-US" w:eastAsia="zh-CN"/>
              </w:rPr>
              <w:t>（</w:t>
            </w:r>
            <w:r>
              <w:rPr>
                <w:rFonts w:hint="eastAsia" w:ascii="宋体" w:hAnsi="宋体" w:eastAsia="宋体" w:cs="宋体"/>
                <w:b w:val="0"/>
                <w:bCs/>
                <w:snapToGrid w:val="0"/>
                <w:kern w:val="0"/>
                <w:szCs w:val="21"/>
                <w:highlight w:val="none"/>
                <w:lang w:val="en-US" w:eastAsia="zh-CN"/>
              </w:rPr>
              <w:t>例：</w:t>
            </w:r>
            <w:r>
              <w:rPr>
                <w:rFonts w:hint="eastAsia" w:ascii="宋体" w:hAnsi="宋体" w:eastAsia="宋体" w:cs="宋体"/>
                <w:b w:val="0"/>
                <w:bCs/>
                <w:snapToGrid w:val="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7660732F">
            <w:commentRangeStart w:id="7"/>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7"/>
            <w:r>
              <w:rPr>
                <w:rStyle w:val="CommentReference"/>
              </w:rPr>
              <w:commentReference w:id="7"/>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3748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4A5FBF9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535D6E02">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2E0F126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0C849188">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459799E4">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3A25DC42">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8E2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7115A8D">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460B35E7">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DAA99F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47CEE1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12079BB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2842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96A261">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5BAE9BB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1FB3A2E">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586930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3C8763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36EA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3307187E">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0692BF3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87246">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61FC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663B7A4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7252FD53">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公司2025年营业收入1010万元，同比增长14.9%；净利润494万元，同比增长50.1%，盈利能力有所增强。资产负债率为42.5%，负债水平适中；流动比率为1.82，短期偿债能力尚可。但需关注：一是应收账款规模较大，结合在手订单回款情况，显示项目制业务回款周期可能较长，对营运资金形成占用；二是存货年末较年初大幅增长，需关注其周转与管理效率；三是期末货币资金仅286万元，流动性偏紧。经营活动现金流量净额为791万元，显示主业现金生成能力尚可。</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7252FD53">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企业短期偿债能力有所改善，但货币资金对短期借款的覆盖水平显著下降。长期偿债能力因资产负债率降低而得到增强。偿债能力由杠杆水平与流动性共同决定，需同步观察资产负债率和短债覆盖能力。</w:t>
            </w:r>
          </w:p>
          <w:p w14:paraId="7252FD53">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应收账款周转效率显著提升，存货规模大幅扩张。运营效率需重点跟踪应收账款周转与收入扩张的匹配程度。若应收周转放缓且收入增速回落，需警惕回款质量下行对现金流的传导。</w:t>
            </w:r>
          </w:p>
          <w:p w14:paraId="7252FD53">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根据补充材料，各行贷款五级分类正常。材料未提供对外担保及被追偿记录信息。</w:t>
            </w:r>
          </w:p>
          <w:p w14:paraId="7252FD53">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材料未提供涉及中长期借款的还款计划及资金安排。</w:t>
            </w:r>
          </w:p>
          <w:p w14:paraId="45E4FAD0">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材料未提供固定资产贷款还款计划。</w:t>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lang w:eastAsia="zh-CN"/>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p>
          <w:p w14:paraId="00335760">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14F124D7">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根据企业提供的融资情况表，截至报告期末，福建中锐网络股份有限公司银行融资总额为4，640万元，已使用额度为4，440万元，融资余额为4，730万元。担保方式主要为实际控制人黄祖海及其配偶康恩慧的个人保证，部分贷款追加了关联方保证及第三方担保。公司融资渠道较为多元，但短期偿债压力集中于未来两年，需关注到期续贷安排及第一还款来源的稳定性。</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5D06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FB405B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6528FAA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FB6D0F">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7493813A">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5D5EC52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5B96570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6AB2447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7540AB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72EA9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3741C3">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3B03BC53">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E7B2AC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7FD5E5D">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DEF03D8">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B143E9">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090B0FB">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0AE637AB">
                  <w:pPr>
                    <w:spacing w:line="240" w:lineRule="auto"/>
                    <w:jc w:val="center"/>
                    <w:rPr>
                      <w:rFonts w:hint="eastAsia" w:ascii="宋体" w:hAnsi="宋体" w:eastAsia="宋体" w:cs="宋体"/>
                      <w:sz w:val="20"/>
                      <w:szCs w:val="20"/>
                      <w:lang w:val="en-US" w:eastAsia="zh-CN"/>
                    </w:rPr>
                  </w:pPr>
                </w:p>
              </w:tc>
            </w:tr>
            <w:tr w14:paraId="72782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7A31EC4">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0EFC2">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4F94DF2">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003315A6">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0768B60">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7D2F31BC">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8290824">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942A6CB">
                  <w:pPr>
                    <w:spacing w:line="240" w:lineRule="auto"/>
                    <w:jc w:val="center"/>
                    <w:rPr>
                      <w:rFonts w:hint="eastAsia" w:ascii="宋体" w:hAnsi="宋体" w:eastAsia="宋体" w:cs="宋体"/>
                      <w:sz w:val="20"/>
                      <w:szCs w:val="20"/>
                      <w:lang w:val="en-US" w:eastAsia="zh-CN"/>
                    </w:rPr>
                  </w:pPr>
                </w:p>
              </w:tc>
            </w:tr>
            <w:tr w14:paraId="015FC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7B80F842">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6F26C891">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C424B62">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A03F02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D47F59">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782A847C">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A0FDFA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79C3DE4">
                  <w:pPr>
                    <w:spacing w:line="240" w:lineRule="auto"/>
                    <w:jc w:val="center"/>
                    <w:rPr>
                      <w:rFonts w:hint="eastAsia" w:ascii="宋体" w:hAnsi="宋体" w:eastAsia="宋体" w:cs="宋体"/>
                      <w:sz w:val="20"/>
                      <w:szCs w:val="20"/>
                      <w:lang w:val="en-US" w:eastAsia="zh-CN"/>
                    </w:rPr>
                  </w:pPr>
                </w:p>
              </w:tc>
            </w:tr>
            <w:tr w14:paraId="7989F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E70D302">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884DA13">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C3EBA04">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59FB20">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559D30DA">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A56167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0B88FA8">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D607C89">
                  <w:pPr>
                    <w:spacing w:line="240" w:lineRule="auto"/>
                    <w:jc w:val="center"/>
                    <w:rPr>
                      <w:rFonts w:hint="eastAsia" w:ascii="宋体" w:hAnsi="宋体" w:eastAsia="宋体" w:cs="宋体"/>
                      <w:sz w:val="20"/>
                      <w:szCs w:val="20"/>
                      <w:lang w:val="en-US" w:eastAsia="zh-CN"/>
                    </w:rPr>
                  </w:pPr>
                </w:p>
              </w:tc>
            </w:tr>
          </w:tbl>
          <w:p w14:paraId="2DD4F33B">
            <w:commentRangeStart w:id="8"/>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8"/>
            <w:r>
              <w:rPr>
                <w:rStyle w:val="CommentReference"/>
              </w:rPr>
              <w:commentReference w:id="8"/>
            </w:r>
          </w:p>
          <w:p w14:paraId="5FA20333">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74FB1012">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4BC07508">
            <w:commentRangeStart w:id="9"/>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9"/>
            <w:r>
              <w:rPr>
                <w:rStyle w:val="CommentReference"/>
              </w:rPr>
              <w:commentReference w:id="9"/>
            </w:r>
          </w:p>
          <w:p w14:paraId="42F67F32">
            <w:commentRangeStart w:id="10"/>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0"/>
            <w:r>
              <w:rPr>
                <w:rStyle w:val="CommentReference"/>
              </w:rPr>
              <w:commentReference w:id="10"/>
            </w:r>
          </w:p>
          <w:p w14:paraId="5D7F36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材料未提供福建中锐网络股份有限公司对外担保情况，无法评估其或有负债风险。</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2A6341CD">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材料未提供实际控制人黄祖海及其配偶康恩慧的个人征信报告，无法对其信用状况及对外负债情况进行评估。</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6012EB6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该企业为科技型企业，主营业务聚焦智慧水利与智慧教育两大领域。在智慧水利方面，企业响应国家政策，提供覆盖水灾害、水工程、水资源、水生态水环境、水监督、水政务等六大重点应用的解决方案。在智慧教育方面，企业聚焦网络、人工智能、智慧行业，提供数字人才培养解决方案，连接产业需求与院校教育。材料未提供企业所属行业、注册资本等基础信息。</w:t>
            </w:r>
          </w:p>
          <w:p w14:paraId="7FF7A042">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7AE6D39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企业具备较强的自主研发能力与核心技术积累。根据专利清单，企业共拥有发明专利24项、实用新型专利6项、外观设计专利10项，合计40项有效专利。专利技术主要集中于智慧水利领域（如桥梁健康监测、水库水位预测预警、流域洪涝灾害预案等）及智慧教育领域（如智能作业投递、网络实训设备等），权属清晰，未提及存在质押或涉诉情况。专利技术是其产品竞争力的重要支撑。</w:t>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6078230E">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企业研发投入持续，研发团队稳定。4%、14.5%、10.5%。研发人员数量稳定在38-40人，占员工总数比例在44%至53%之间。核心研发人员享有股权激励。持续的研发投入保障了其技术迭代与产品创新，符合科技型企业的特征。</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4B3DCACA">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企业技术成果已实现产业化应用并获市场认可。在智慧水利领域，其大坝安全智能监测平台、智慧水利流域四预系统等解决方案已成功应用于福建省300余座大中小型水库，并曾获“福建省科技进步奖二等奖、水利科学技术奖一等奖”。在智慧教育领域，企业与全国超过1000所高校及科研院所建立产学研合作，服务1600多家政企客户。技术应用转化能力较强。</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3C18E1A6">
            <w:commentRangeStart w:id="11"/>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11"/>
            <w:r>
              <w:rPr>
                <w:rStyle w:val="CommentReference"/>
              </w:rPr>
              <w:commentReference w:id="11"/>
            </w:r>
          </w:p>
          <w:p w14:paraId="07C92690">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6AEFF9E5">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企业存在一定的技术迭代与市场竞争风险。其智慧水利与智慧教育解决方案均需紧跟前沿技术（如人工智能、5G、区块链）及国家政策导向。虽然企业已积累一定专利与案例，但若研发跟不上技术变革或市场竞争加剧，可能影响其市场地位与盈利能力。</w:t>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r>
              <w:rPr>
                <w:rFonts w:hint="eastAsia" w:ascii="宋体" w:hAnsi="宋体" w:eastAsia="宋体" w:cs="宋体"/>
                <w:b/>
                <w:bCs w:val="0"/>
                <w:kern w:val="2"/>
                <w:szCs w:val="21"/>
                <w:highlight w:val="none"/>
                <w:lang w:val="en-US"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p>
          <w:p w14:paraId="40951EEE">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1.当前综合效益：材料未提供企业在我行的日均存款、结算量、代发薪等具体数据。</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5284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E06591C">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6E7AC392">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5268CE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54EDC96D">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5243018F">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17A54BC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7BC6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16F5C7A">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23B3991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8B8610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F40937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5B64F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619F3C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AD6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714DF48E">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4FBAD9E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4A6AC32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7BA90ED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B9679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FF9BF3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688C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606B13C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0C71EA5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4167924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46FEF60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8B30BE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F0F6A3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7D95C7E3">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2.预计综合效益：材料未提供预计企业在我行可实现的日均存款、结算量、代发薪等具体数据。</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568F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AD01285">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B913EB0">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25795654">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505F990D">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0B415C1E">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4E5A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7740260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43A333B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18D60BA1">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16D438F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882B81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4DB02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EE436BD">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01F7CAB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0E4CE8D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32B967D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B4D138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9EC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DD37F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t>发明</w:t>
                  </w:r>
                </w:p>
              </w:tc>
              <w:tc>
                <w:tcPr>
                  <w:tcW w:w="0" w:type="auto"/>
                  <w:noWrap w:val="0"/>
                  <w:vAlign w:val="top"/>
                </w:tcPr>
                <w:p w14:paraId="64AABD7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41F2F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53958E7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42848C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4E9AFE29">
            <w:pPr>
              <w:pStyle w:val="9"/>
              <w:rPr>
                <w:rFonts w:hint="eastAsia" w:ascii="宋体" w:hAnsi="宋体" w:eastAsia="宋体" w:cs="宋体"/>
                <w:b/>
                <w:bCs/>
                <w:snapToGrid w:val="0"/>
                <w:kern w:val="0"/>
                <w:sz w:val="21"/>
                <w:szCs w:val="21"/>
                <w:highlight w:val="none"/>
                <w:lang w:val="en-US" w:eastAsia="zh-CN" w:bidi="ar-SA"/>
              </w:rPr>
            </w:pPr>
          </w:p>
          <w:p w14:paraId="7BC8F853">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0EE9FEB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本次申请中期流动资金贷款，主要基于企业业务模式及资金周转特点。企业主营业务为智慧水利与智慧教育解决方案的提供与实施，根据其提供的在建项目清单，存在大量已签约但尚未回款的合同，未回款金额合计超过5000万元，表明项目执行周期较长，回款存在一定滞后性。同时，企业2025年末短期借款余额为4730万元，占流动负债比重较高，存在一定的短期偿债压力。申请中期流动资金贷款有助于匹配其项目周期，优化债务结构，缓解短期集中还款压力，保障经营活动的持续稳定。</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1B156771">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本次授信申请对应的具体项目信息，因此无法就项目本身产生的直接经济效益（如新增产值、利润、税收）进行分析。但结合企业整体经营情况，本次授信若能获批，将有助于补充企业营运资金，支持其在手智慧水利与智慧教育项目的顺利执行，从而稳定并促进其主营业务收入的增长。企业2025年实现营业收入10010万元，净利润494万元，经营活动现金流量净额为791万元，整体经营具备造血能力。授信支持将有助于企业维持正常经营周转，对保障就业、促进区域数字产业发展具有间接的社会效益。</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50CA1FFE">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33BEDF0">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03D274D6">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2"/>
            <w:r>
              <w:rPr>
                <w:rStyle w:val="CommentReference"/>
              </w:rPr>
              <w:commentReference w:id="12"/>
            </w:r>
          </w:p>
          <w:p w14:paraId="39BCBD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7D5CA14B">
            <w:commentRangeStart w:id="1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commentRangeEnd w:id="13"/>
            <w:r>
              <w:rPr>
                <w:rStyle w:val="CommentReference"/>
              </w:rPr>
              <w:commentReference w:id="13"/>
            </w:r>
          </w:p>
          <w:p w14:paraId="4F7F9D5B">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57DE218E">
            <w:pPr>
              <w:pStyle w:val="11"/>
              <w:rPr>
                <w:rFonts w:hint="eastAsia"/>
              </w:rPr>
            </w:pPr>
          </w:p>
          <w:p w14:paraId="37B066D5">
            <w:commentRangeStart w:id="14"/>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4"/>
            <w:r>
              <w:rPr>
                <w:rStyle w:val="CommentReference"/>
              </w:rPr>
              <w:commentReference w:id="14"/>
            </w:r>
          </w:p>
          <w:p w14:paraId="0A002E24">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6EB116C4">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借款原因分析：根据企业提供的材料，福建中锐网络股份有限公司2025年末短期借款余额为4730万元，占总负债的65.6%，构成其负债的主要部分。结合其业务模式，公司主营业务为智慧水利与智慧教育解决方案的提供与实施，项目执行周期通常涉及前期垫资。从在建项目清单看，公司存在大量已签约但未回款的合同，未回款金额较大，表明经营活动对营运资金存在持续需求。同时，公司2025年经营活动现金流量净额为791万元，虽为正数，但相对于其营收规模及短期债务规模，内生现金流对债务的覆盖能力有限。因此，本次申请授信主要用于补充日常经营所需的流动资金，以支持项目执行与业务拓展，借款原因合理。</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7D646515">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还款能力分析：公司2025年实现营业收入10010万元，净利润494万元，盈利能力保持稳定。从偿债指标看，2025年末资产负债率为42.5%，负债水平适中；流动比率为1.82，短期偿债能力尚可。公司第一还款来源主要依赖于其经营活动的现金流入。2025年销售商品、提供劳务收到的现金为1.04亿元，与营业收入规模基本匹配，显示其主营业务回款能力正常。公司拥有多项发明专利，在智慧水利领域具备一定的技术壁垒和项目经验，有助于维持其市场竞争力及未来现金流的稳定性。然而，需关注其应收账款规模较大（2025年末为7430万元），占流动资产比重较高，存在一定的回收风险，可能对现金流造成压力。综合来看，公司主营业务具备持续经营能力，能够为债务偿还提供基础保障，但需持续关注其应收账款质量及整体现金流状况。</w:t>
            </w:r>
            <w:r>
              <w:rPr>
                <w:rFonts w:hint="eastAsia" w:ascii="宋体" w:hAnsi="宋体" w:cs="宋体"/>
                <w:bCs/>
                <w:snapToGrid w:val="0"/>
                <w:kern w:val="0"/>
                <w:sz w:val="21"/>
                <w:szCs w:val="21"/>
                <w:highlight w:val="none"/>
                <w:u w:val="single"/>
                <w:lang w:val="en-US" w:eastAsia="zh-CN"/>
              </w:rPr>
            </w:r>
          </w:p>
          <w:p w14:paraId="1AA9C2B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79287320">
            <w:commentRangeStart w:id="15"/>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15A8F858">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0D0F7325">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55AE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1AEE9493">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275690EA">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5A46F8EC">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24AB2E41">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3215EE17">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5B601486">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20B008E8">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64F724F5">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26821144">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02F82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53499D32">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3314D765">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2DA5530F">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3B700DB2">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0A01A49C">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5898FBC">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29F9B1FC">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459C0115">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1B2487CB">
                  <w:pPr>
                    <w:spacing w:line="240" w:lineRule="auto"/>
                    <w:rPr>
                      <w:rFonts w:hint="eastAsia" w:ascii="宋体" w:hAnsi="宋体" w:eastAsia="宋体" w:cs="宋体"/>
                      <w:b/>
                      <w:sz w:val="18"/>
                      <w:szCs w:val="18"/>
                      <w:highlight w:val="none"/>
                      <w:lang w:eastAsia="zh-CN"/>
                    </w:rPr>
                  </w:pPr>
                </w:p>
              </w:tc>
            </w:tr>
            <w:tr w14:paraId="44BE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2B97509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08801D7B">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75D89D27">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0E2B9EFD">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980CFF5">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F76FC29">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459D7AF5">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6108A85">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7531CFE1">
                  <w:pPr>
                    <w:spacing w:line="240" w:lineRule="auto"/>
                    <w:rPr>
                      <w:rFonts w:hint="eastAsia" w:ascii="宋体" w:hAnsi="宋体" w:eastAsia="宋体" w:cs="宋体"/>
                      <w:b/>
                      <w:sz w:val="18"/>
                      <w:szCs w:val="18"/>
                      <w:highlight w:val="none"/>
                    </w:rPr>
                  </w:pPr>
                </w:p>
              </w:tc>
            </w:tr>
            <w:tr w14:paraId="5DDE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77593D77">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70AE0CF">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1462205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5463B846">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4584E975">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0649C202">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D7218D4">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4375F998">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09932E13">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1515CB5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3B44195E">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2580DC1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1100EFA2">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材料未提供担保分析相关信息。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30800195">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材料未提供担保分析相关信息。</w:t>
            </w:r>
            <w:r>
              <w:rPr>
                <w:rFonts w:hint="eastAsia" w:ascii="宋体" w:hAnsi="宋体" w:eastAsia="宋体" w:cs="宋体"/>
                <w:b w:val="0"/>
                <w:bCs/>
                <w:kern w:val="2"/>
                <w:sz w:val="21"/>
                <w:szCs w:val="21"/>
                <w:highlight w:val="none"/>
                <w:lang w:eastAsia="zh-CN"/>
              </w:rPr>
            </w:r>
            <w:r>
              <w:rPr>
                <w:rFonts w:hint="eastAsia" w:ascii="宋体" w:hAnsi="宋体" w:eastAsia="宋体" w:cs="宋体"/>
                <w:snapToGrid w:val="0"/>
                <w:kern w:val="0"/>
                <w:sz w:val="21"/>
                <w:szCs w:val="21"/>
                <w:highlight w:val="none"/>
                <w:lang w:val="en-US" w:eastAsia="zh-CN" w:bidi="ar-SA"/>
              </w:rPr>
            </w:r>
            <w:r>
              <w:rPr>
                <w:rFonts w:hint="eastAsia" w:ascii="宋体" w:hAnsi="宋体" w:eastAsia="宋体" w:cs="宋体"/>
                <w:snapToGrid w:val="0"/>
                <w:kern w:val="0"/>
                <w:sz w:val="21"/>
                <w:szCs w:val="21"/>
                <w:highlight w:val="none"/>
                <w:u w:val="none"/>
                <w:lang w:val="en-US" w:eastAsia="zh-CN" w:bidi="ar-SA"/>
              </w:rPr>
            </w:r>
            <w:r>
              <w:rPr>
                <w:rFonts w:hint="eastAsia" w:ascii="宋体" w:hAnsi="宋体" w:eastAsia="宋体" w:cs="宋体"/>
                <w:snapToGrid w:val="0"/>
                <w:kern w:val="0"/>
                <w:sz w:val="21"/>
                <w:szCs w:val="21"/>
                <w:highlight w:val="none"/>
                <w:u w:val="single"/>
                <w:lang w:val="en-US" w:eastAsia="zh-CN" w:bidi="ar-SA"/>
              </w:rPr>
            </w:r>
          </w:p>
          <w:p w14:paraId="7C898E9B">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43825371">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材料未提供担保分析相关信息。</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p>
          <w:p w14:paraId="430A642B">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3404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5FE995">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125514CC">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166B5DA9">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6A275096">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7BCEBF9E">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67979B23">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3497FCE0">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4FB8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CBD8AB0">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37748B6F">
                  <w:pPr>
                    <w:snapToGrid w:val="0"/>
                    <w:spacing w:line="240" w:lineRule="auto"/>
                    <w:rPr>
                      <w:rFonts w:hint="eastAsia" w:ascii="宋体" w:hAnsi="宋体" w:eastAsia="宋体" w:cs="宋体"/>
                      <w:sz w:val="18"/>
                      <w:szCs w:val="18"/>
                      <w:highlight w:val="none"/>
                    </w:rPr>
                  </w:pPr>
                </w:p>
              </w:tc>
              <w:tc>
                <w:tcPr>
                  <w:tcW w:w="0" w:type="auto"/>
                  <w:noWrap w:val="0"/>
                  <w:vAlign w:val="center"/>
                </w:tcPr>
                <w:p w14:paraId="3648EA63">
                  <w:pPr>
                    <w:snapToGrid w:val="0"/>
                    <w:spacing w:line="240" w:lineRule="auto"/>
                    <w:rPr>
                      <w:rFonts w:hint="eastAsia" w:ascii="宋体" w:hAnsi="宋体" w:eastAsia="宋体" w:cs="宋体"/>
                      <w:sz w:val="18"/>
                      <w:szCs w:val="18"/>
                      <w:highlight w:val="none"/>
                    </w:rPr>
                  </w:pPr>
                </w:p>
              </w:tc>
              <w:tc>
                <w:tcPr>
                  <w:tcW w:w="0" w:type="auto"/>
                  <w:noWrap w:val="0"/>
                  <w:vAlign w:val="center"/>
                </w:tcPr>
                <w:p w14:paraId="2DCF2875">
                  <w:pPr>
                    <w:snapToGrid w:val="0"/>
                    <w:spacing w:line="240" w:lineRule="auto"/>
                    <w:rPr>
                      <w:rFonts w:hint="eastAsia" w:ascii="宋体" w:hAnsi="宋体" w:eastAsia="宋体" w:cs="宋体"/>
                      <w:sz w:val="18"/>
                      <w:szCs w:val="18"/>
                      <w:highlight w:val="none"/>
                    </w:rPr>
                  </w:pPr>
                </w:p>
              </w:tc>
              <w:tc>
                <w:tcPr>
                  <w:tcW w:w="0" w:type="auto"/>
                  <w:noWrap w:val="0"/>
                  <w:vAlign w:val="center"/>
                </w:tcPr>
                <w:p w14:paraId="29F6429C">
                  <w:pPr>
                    <w:snapToGrid w:val="0"/>
                    <w:spacing w:line="240" w:lineRule="auto"/>
                    <w:rPr>
                      <w:rFonts w:hint="eastAsia" w:ascii="宋体" w:hAnsi="宋体" w:eastAsia="宋体" w:cs="宋体"/>
                      <w:sz w:val="18"/>
                      <w:szCs w:val="18"/>
                      <w:highlight w:val="none"/>
                    </w:rPr>
                  </w:pPr>
                </w:p>
              </w:tc>
              <w:tc>
                <w:tcPr>
                  <w:tcW w:w="0" w:type="auto"/>
                  <w:noWrap w:val="0"/>
                  <w:vAlign w:val="center"/>
                </w:tcPr>
                <w:p w14:paraId="3A5DF95C">
                  <w:pPr>
                    <w:snapToGrid w:val="0"/>
                    <w:spacing w:line="240" w:lineRule="auto"/>
                    <w:rPr>
                      <w:rFonts w:hint="eastAsia" w:ascii="宋体" w:hAnsi="宋体" w:eastAsia="宋体" w:cs="宋体"/>
                      <w:sz w:val="18"/>
                      <w:szCs w:val="18"/>
                      <w:highlight w:val="none"/>
                    </w:rPr>
                  </w:pPr>
                </w:p>
              </w:tc>
              <w:tc>
                <w:tcPr>
                  <w:tcW w:w="0" w:type="auto"/>
                  <w:noWrap w:val="0"/>
                  <w:vAlign w:val="center"/>
                </w:tcPr>
                <w:p w14:paraId="276DCA87">
                  <w:pPr>
                    <w:snapToGrid w:val="0"/>
                    <w:spacing w:line="240" w:lineRule="auto"/>
                    <w:rPr>
                      <w:rFonts w:hint="eastAsia" w:ascii="宋体" w:hAnsi="宋体" w:eastAsia="宋体" w:cs="宋体"/>
                      <w:sz w:val="18"/>
                      <w:szCs w:val="18"/>
                      <w:highlight w:val="none"/>
                    </w:rPr>
                  </w:pPr>
                </w:p>
              </w:tc>
            </w:tr>
            <w:tr w14:paraId="6F63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9D262CC">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6045C4DB">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1187701C">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3C20A86C">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4B696E2">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1909024">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0DB6D480">
                  <w:pPr>
                    <w:snapToGrid w:val="0"/>
                    <w:spacing w:line="240" w:lineRule="auto"/>
                    <w:rPr>
                      <w:rFonts w:hint="eastAsia" w:ascii="宋体" w:hAnsi="宋体" w:eastAsia="宋体" w:cs="宋体"/>
                      <w:sz w:val="18"/>
                      <w:szCs w:val="18"/>
                      <w:highlight w:val="none"/>
                    </w:rPr>
                  </w:pPr>
                  <w:r>
                    <w:t>50.17%</w:t>
                  </w:r>
                </w:p>
              </w:tc>
            </w:tr>
            <w:tr w14:paraId="74AC6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B7F3AA8">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4463F9E3">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55F1D0E2">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688FB424">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40E02D9D">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53D94522">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654F5BD3">
                  <w:pPr>
                    <w:snapToGrid w:val="0"/>
                    <w:spacing w:line="240" w:lineRule="auto"/>
                    <w:rPr>
                      <w:rFonts w:hint="eastAsia" w:ascii="宋体" w:hAnsi="宋体" w:eastAsia="宋体" w:cs="宋体"/>
                      <w:sz w:val="18"/>
                      <w:szCs w:val="18"/>
                      <w:highlight w:val="none"/>
                    </w:rPr>
                  </w:pPr>
                  <w:r>
                    <w:t>42.5%</w:t>
                  </w:r>
                </w:p>
              </w:tc>
            </w:tr>
            <w:tr w14:paraId="5C7D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33927987">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34997E45">
                  <w:pPr>
                    <w:snapToGrid w:val="0"/>
                    <w:spacing w:line="240" w:lineRule="auto"/>
                    <w:rPr>
                      <w:rFonts w:hint="eastAsia" w:ascii="宋体" w:hAnsi="宋体" w:eastAsia="宋体" w:cs="宋体"/>
                      <w:sz w:val="18"/>
                      <w:szCs w:val="18"/>
                      <w:highlight w:val="none"/>
                    </w:rPr>
                  </w:pPr>
                </w:p>
              </w:tc>
              <w:tc>
                <w:tcPr>
                  <w:tcW w:w="0" w:type="auto"/>
                  <w:noWrap w:val="0"/>
                  <w:vAlign w:val="center"/>
                </w:tcPr>
                <w:p w14:paraId="1DA1F715">
                  <w:pPr>
                    <w:snapToGrid w:val="0"/>
                    <w:spacing w:line="240" w:lineRule="auto"/>
                    <w:rPr>
                      <w:rFonts w:hint="eastAsia" w:ascii="宋体" w:hAnsi="宋体" w:eastAsia="宋体" w:cs="宋体"/>
                      <w:sz w:val="18"/>
                      <w:szCs w:val="18"/>
                      <w:highlight w:val="none"/>
                    </w:rPr>
                  </w:pPr>
                </w:p>
              </w:tc>
              <w:tc>
                <w:tcPr>
                  <w:tcW w:w="0" w:type="auto"/>
                  <w:noWrap w:val="0"/>
                  <w:vAlign w:val="center"/>
                </w:tcPr>
                <w:p w14:paraId="0A67DAA7">
                  <w:pPr>
                    <w:snapToGrid w:val="0"/>
                    <w:spacing w:line="240" w:lineRule="auto"/>
                    <w:rPr>
                      <w:rFonts w:hint="eastAsia" w:ascii="宋体" w:hAnsi="宋体" w:eastAsia="宋体" w:cs="宋体"/>
                      <w:sz w:val="18"/>
                      <w:szCs w:val="18"/>
                      <w:highlight w:val="none"/>
                    </w:rPr>
                  </w:pPr>
                </w:p>
              </w:tc>
              <w:tc>
                <w:tcPr>
                  <w:tcW w:w="0" w:type="auto"/>
                  <w:noWrap w:val="0"/>
                  <w:vAlign w:val="center"/>
                </w:tcPr>
                <w:p w14:paraId="2D0BB9DF">
                  <w:pPr>
                    <w:snapToGrid w:val="0"/>
                    <w:spacing w:line="240" w:lineRule="auto"/>
                    <w:rPr>
                      <w:rFonts w:hint="eastAsia" w:ascii="宋体" w:hAnsi="宋体" w:eastAsia="宋体" w:cs="宋体"/>
                      <w:sz w:val="18"/>
                      <w:szCs w:val="18"/>
                      <w:highlight w:val="none"/>
                    </w:rPr>
                  </w:pPr>
                </w:p>
              </w:tc>
              <w:tc>
                <w:tcPr>
                  <w:tcW w:w="0" w:type="auto"/>
                  <w:noWrap w:val="0"/>
                  <w:vAlign w:val="center"/>
                </w:tcPr>
                <w:p w14:paraId="4F3F7772">
                  <w:pPr>
                    <w:snapToGrid w:val="0"/>
                    <w:spacing w:line="240" w:lineRule="auto"/>
                    <w:rPr>
                      <w:rFonts w:hint="eastAsia" w:ascii="宋体" w:hAnsi="宋体" w:eastAsia="宋体" w:cs="宋体"/>
                      <w:sz w:val="18"/>
                      <w:szCs w:val="18"/>
                      <w:highlight w:val="none"/>
                    </w:rPr>
                  </w:pPr>
                </w:p>
              </w:tc>
              <w:tc>
                <w:tcPr>
                  <w:tcW w:w="0" w:type="auto"/>
                  <w:noWrap w:val="0"/>
                  <w:vAlign w:val="center"/>
                </w:tcPr>
                <w:p w14:paraId="496F036B">
                  <w:pPr>
                    <w:snapToGrid w:val="0"/>
                    <w:spacing w:line="240" w:lineRule="auto"/>
                    <w:rPr>
                      <w:rFonts w:hint="eastAsia" w:ascii="宋体" w:hAnsi="宋体" w:eastAsia="宋体" w:cs="宋体"/>
                      <w:sz w:val="18"/>
                      <w:szCs w:val="18"/>
                      <w:highlight w:val="none"/>
                    </w:rPr>
                  </w:pPr>
                </w:p>
              </w:tc>
            </w:tr>
          </w:tbl>
          <w:p w14:paraId="75F90683">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4A455522">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spacing w:val="0"/>
                <w:sz w:val="21"/>
                <w:szCs w:val="21"/>
                <w:highlight w:val="none"/>
                <w:lang w:val="en-US" w:eastAsia="zh-CN"/>
              </w:rPr>
              <w:t>最新担保</w:t>
            </w:r>
            <w:r>
              <w:rPr>
                <w:rFonts w:hint="eastAsia" w:ascii="宋体" w:hAnsi="宋体" w:eastAsia="宋体" w:cs="宋体"/>
                <w:i w:val="0"/>
                <w:iCs w:val="0"/>
                <w:caps w:val="0"/>
                <w:spacing w:val="0"/>
                <w:sz w:val="21"/>
                <w:szCs w:val="21"/>
                <w:highlight w:val="none"/>
              </w:rPr>
              <w:t>情况是否</w:t>
            </w:r>
            <w:r>
              <w:rPr>
                <w:rFonts w:hint="eastAsia" w:ascii="宋体" w:hAnsi="宋体" w:eastAsia="宋体" w:cs="宋体"/>
                <w:i w:val="0"/>
                <w:iCs w:val="0"/>
                <w:caps w:val="0"/>
                <w:spacing w:val="0"/>
                <w:sz w:val="21"/>
                <w:szCs w:val="21"/>
                <w:highlight w:val="none"/>
                <w:lang w:val="en-US" w:eastAsia="zh-CN"/>
              </w:rPr>
              <w:t>符合</w:t>
            </w:r>
            <w:r>
              <w:rPr>
                <w:rFonts w:hint="eastAsia" w:ascii="宋体" w:hAnsi="宋体" w:eastAsia="宋体" w:cs="宋体"/>
                <w:i w:val="0"/>
                <w:iCs w:val="0"/>
                <w:caps w:val="0"/>
                <w:spacing w:val="0"/>
                <w:sz w:val="21"/>
                <w:szCs w:val="21"/>
                <w:highlight w:val="none"/>
              </w:rPr>
              <w:t>要求（</w:t>
            </w:r>
            <w:r>
              <w:rPr>
                <w:rFonts w:hint="eastAsia" w:ascii="宋体" w:hAnsi="宋体" w:eastAsia="宋体" w:cs="宋体"/>
                <w:i w:val="0"/>
                <w:iCs w:val="0"/>
                <w:caps w:val="0"/>
                <w:spacing w:val="0"/>
                <w:sz w:val="21"/>
                <w:szCs w:val="21"/>
                <w:highlight w:val="none"/>
                <w:lang w:val="en-US" w:eastAsia="zh-CN"/>
              </w:rPr>
              <w:t>包括：</w:t>
            </w:r>
            <w:r>
              <w:rPr>
                <w:rFonts w:hint="eastAsia" w:ascii="宋体" w:hAnsi="宋体" w:eastAsia="宋体" w:cs="宋体"/>
                <w:i w:val="0"/>
                <w:iCs w:val="0"/>
                <w:caps w:val="0"/>
                <w:spacing w:val="0"/>
                <w:sz w:val="21"/>
                <w:szCs w:val="21"/>
                <w:highlight w:val="none"/>
              </w:rPr>
              <w:t>对外担保总额、我行担保余额、净资产和担保倍率等）</w:t>
            </w:r>
            <w:r>
              <w:rPr>
                <w:rFonts w:hint="eastAsia" w:ascii="宋体" w:hAnsi="宋体" w:eastAsia="宋体" w:cs="宋体"/>
                <w:i w:val="0"/>
                <w:iCs w:val="0"/>
                <w:caps w:val="0"/>
                <w:spacing w:val="0"/>
                <w:sz w:val="21"/>
                <w:szCs w:val="21"/>
                <w:highlight w:val="none"/>
                <w:lang w:eastAsia="zh-CN"/>
              </w:rPr>
              <w:t>，</w:t>
            </w:r>
            <w:r>
              <w:rPr>
                <w:rFonts w:hint="eastAsia" w:ascii="宋体" w:hAnsi="宋体" w:eastAsia="宋体" w:cs="宋体"/>
                <w:i w:val="0"/>
                <w:iCs w:val="0"/>
                <w:caps w:val="0"/>
                <w:spacing w:val="0"/>
                <w:sz w:val="21"/>
                <w:szCs w:val="21"/>
                <w:highlight w:val="none"/>
              </w:rPr>
              <w:t>本次担保</w:t>
            </w:r>
            <w:r>
              <w:rPr>
                <w:rFonts w:hint="eastAsia" w:ascii="宋体" w:hAnsi="宋体" w:eastAsia="宋体" w:cs="宋体"/>
                <w:i w:val="0"/>
                <w:iCs w:val="0"/>
                <w:caps w:val="0"/>
                <w:spacing w:val="0"/>
                <w:sz w:val="21"/>
                <w:szCs w:val="21"/>
                <w:highlight w:val="none"/>
                <w:lang w:val="en-US" w:eastAsia="zh-CN"/>
              </w:rPr>
              <w:t>是否符合</w:t>
            </w:r>
            <w:r>
              <w:rPr>
                <w:rFonts w:hint="eastAsia" w:ascii="宋体" w:hAnsi="宋体" w:eastAsia="宋体" w:cs="宋体"/>
                <w:i w:val="0"/>
                <w:iCs w:val="0"/>
                <w:caps w:val="0"/>
                <w:spacing w:val="0"/>
                <w:sz w:val="21"/>
                <w:szCs w:val="21"/>
                <w:highlight w:val="none"/>
              </w:rPr>
              <w:t>准入</w:t>
            </w:r>
            <w:r>
              <w:rPr>
                <w:rFonts w:hint="eastAsia" w:ascii="宋体" w:hAnsi="宋体" w:eastAsia="宋体" w:cs="宋体"/>
                <w:i w:val="0"/>
                <w:iCs w:val="0"/>
                <w:caps w:val="0"/>
                <w:spacing w:val="0"/>
                <w:sz w:val="21"/>
                <w:szCs w:val="21"/>
                <w:highlight w:val="none"/>
                <w:lang w:val="en-US" w:eastAsia="zh-CN"/>
              </w:rPr>
              <w:t>要求</w:t>
            </w:r>
            <w:r>
              <w:rPr>
                <w:rFonts w:hint="eastAsia" w:ascii="宋体" w:hAnsi="宋体" w:eastAsia="宋体" w:cs="宋体"/>
                <w:i w:val="0"/>
                <w:iCs w:val="0"/>
                <w:caps w:val="0"/>
                <w:spacing w:val="0"/>
                <w:sz w:val="21"/>
                <w:szCs w:val="21"/>
                <w:highlight w:val="none"/>
              </w:rPr>
              <w:t>。</w:t>
            </w:r>
          </w:p>
          <w:p w14:paraId="1F0F04AD">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材料未提供担保分析相关信息。</w:t>
            </w:r>
            <w:r>
              <w:rPr>
                <w:rFonts w:hint="eastAsia" w:ascii="宋体" w:hAnsi="宋体" w:eastAsia="宋体" w:cs="宋体"/>
                <w:b/>
                <w:sz w:val="21"/>
                <w:szCs w:val="21"/>
                <w:highlight w:val="none"/>
              </w:rPr>
            </w:r>
            <w:r>
              <w:rPr>
                <w:rFonts w:hint="eastAsia" w:ascii="宋体" w:hAnsi="宋体" w:cs="宋体"/>
                <w:b/>
                <w:sz w:val="21"/>
                <w:szCs w:val="21"/>
                <w:highlight w:val="none"/>
                <w:lang w:eastAsia="zh-CN"/>
              </w:rPr>
            </w:r>
            <w:r>
              <w:rPr>
                <w:rFonts w:hint="eastAsia" w:ascii="宋体" w:hAnsi="宋体" w:cs="宋体"/>
                <w:b/>
                <w:sz w:val="21"/>
                <w:szCs w:val="21"/>
                <w:highlight w:val="none"/>
                <w:lang w:val="en-US" w:eastAsia="zh-CN"/>
              </w:rPr>
            </w:r>
            <w:r>
              <w:rPr>
                <w:rFonts w:hint="eastAsia" w:ascii="宋体" w:hAnsi="宋体" w:cs="宋体"/>
                <w:b/>
                <w:sz w:val="21"/>
                <w:szCs w:val="21"/>
                <w:highlight w:val="none"/>
                <w:lang w:eastAsia="zh-CN"/>
              </w:rPr>
            </w:r>
            <w:r>
              <w:rPr>
                <w:rFonts w:hint="eastAsia" w:ascii="宋体" w:hAnsi="宋体" w:eastAsia="宋体" w:cs="宋体"/>
                <w:b/>
                <w:sz w:val="21"/>
                <w:szCs w:val="21"/>
                <w:highlight w:val="none"/>
              </w:rPr>
            </w:r>
          </w:p>
          <w:p w14:paraId="0046C1C7">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现金流：根据企业提供的2025年度现金流量表，借款人2025年经营活动产生的现金流量净额为791万元，呈现净流入状态。从2025年数据看，公司经营活动现金流入合计14806万元，流出合计1415万元，净流入对当期净利润（494万元）形成有效覆盖，表明主营业务回款能力尚可，能够支撑日常经营周转。期末货币资金余额为286万元，结合其流动负债规模，需关注短期流动性压力。</w:t>
            </w:r>
            <w:r>
              <w:rPr>
                <w:rFonts w:hint="eastAsia" w:ascii="宋体" w:hAnsi="宋体" w:eastAsia="宋体" w:cs="宋体"/>
                <w:b/>
                <w:sz w:val="21"/>
                <w:szCs w:val="21"/>
                <w:highlight w:val="none"/>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lang w:val="en-US" w:eastAsia="zh-CN"/>
              </w:rPr>
            </w:r>
            <w:r>
              <w:rPr>
                <w:rFonts w:hint="eastAsia" w:ascii="宋体" w:hAnsi="宋体" w:eastAsia="宋体" w:cs="宋体"/>
                <w:i w:val="0"/>
                <w:iCs w:val="0"/>
                <w:caps w:val="0"/>
                <w:spacing w:val="0"/>
                <w:kern w:val="2"/>
                <w:sz w:val="21"/>
                <w:szCs w:val="21"/>
                <w:highlight w:val="none"/>
                <w:lang w:val="en-US" w:eastAsia="zh-CN" w:bidi="ar-SA"/>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rPr>
            </w:r>
          </w:p>
          <w:p w14:paraId="6638561F">
            <w:pPr>
              <w:pStyle w:val="11"/>
              <w:rPr>
                <w:rFonts w:hint="default" w:ascii="宋体" w:hAnsi="宋体" w:eastAsia="宋体" w:cs="宋体"/>
                <w:i w:val="0"/>
                <w:iCs w:val="0"/>
                <w:caps w:val="0"/>
                <w:spacing w:val="0"/>
                <w:kern w:val="2"/>
                <w:sz w:val="21"/>
                <w:szCs w:val="21"/>
                <w:highlight w:val="none"/>
                <w:lang w:val="en-US" w:eastAsia="zh-CN" w:bidi="ar-SA"/>
              </w:rPr>
            </w:pPr>
          </w:p>
          <w:p w14:paraId="2230E91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可持续：企业主营业务为智慧水利与智慧教育解决方案，符合国家政策导向。根据补充材料，公司拥有发明专利24项、实用新型专利6项，技术储备集中在水利监测预警、人工智能等领域，具备一定的自主研发能力。4%、14.5%、10.5%，研发人员占比维持在44%至53%之间，显示对技术创新的持续投入。实际控制人黄祖海具有超过20年的行业技术与管理经验。公司在手订单覆盖水利、教育等多个领域，业务持续性有一定保障。材料未提供关于产能利用、人员总数及经营场地扩张计划的具体信息。</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3651439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垒小户（多头贷款、交叉授信、超融）：根据企业提供的融资情况表，截至报告期末，该公司与7家银行存在融资合作，短期贷款余额合计4640万元，已使用4440万元。结合资产负债表，短期借款科目余额为4730万元，与融资表数据基本吻合。我行此次申请敞口额度材料未提供。公司总资产规模为16956万元，资产负债率为42.5%，银行融资余额4730万元，约占其总资产的27.9%。公司固定资产账面价值较低（93万元），名下无自有房产，主要资产为应收账款（7430万元）和长期股权投资（3123万元），缺乏足值易变现的抵押资产。现有融资担保方式主要为实际控制人及关联方保证，存在一定的担保圈风险。公司下游客户包括政府部门、国企及高校等，资质相对较好，但应收账款规模较大，回款周期可能影响其偿债能力。综合来看，公司融资银行数量较多且担保方式相似，需关注其整体负债水平及对实际控制人担保的依赖风险。</w:t>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eastAsia="zh-CN"/>
              </w:rPr>
            </w:r>
            <w:r>
              <w:rPr>
                <w:rFonts w:hint="eastAsia" w:ascii="宋体" w:hAnsi="宋体" w:cs="宋体"/>
                <w:b/>
                <w:kern w:val="2"/>
                <w:sz w:val="21"/>
                <w:szCs w:val="21"/>
                <w:highlight w:val="none"/>
                <w:lang w:eastAsia="zh-CN"/>
              </w:rPr>
            </w:r>
          </w:p>
          <w:p w14:paraId="035EC8E7">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7AD7B74B">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55A4091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对现金流、经营可持续性及融资情况的分析，借款人主营业务符合政策导向，具备一定的技术基础和订单储备，经营性现金流能覆盖当期利润。但公司融资机构较多，负债以信用保证类短期借款为主，资产结构中应收账款占比高，固定资产薄弱，整体抗风险能力一般。建议结合其实际资金需求、还款来源落实情况及加强贷后资金流向与回款监控的前提下，审慎评估准入。</w:t>
            </w:r>
            <w:r>
              <w:rPr>
                <w:rFonts w:hint="eastAsia" w:ascii="宋体" w:hAnsi="宋体" w:eastAsia="宋体" w:cs="宋体"/>
                <w:snapToGrid w:val="0"/>
                <w:kern w:val="0"/>
                <w:szCs w:val="21"/>
                <w:highlight w:val="none"/>
                <w:u w:val="single"/>
                <w:lang w:val="en-US" w:eastAsia="zh-CN"/>
              </w:rPr>
            </w:r>
          </w:p>
          <w:p w14:paraId="1A39E99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材料未提供担保分析相关信息。</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1227C30A">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02A5A4B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w:t>
            </w:r>
            <w:r>
              <w:rPr>
                <w:rFonts w:hint="eastAsia" w:ascii="宋体" w:hAnsi="宋体" w:eastAsia="宋体" w:cs="宋体"/>
                <w:snapToGrid w:val="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D5BD7A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69756042">
            <w:pPr>
              <w:widowControl w:val="0"/>
              <w:spacing w:line="240" w:lineRule="auto"/>
              <w:jc w:val="both"/>
              <w:rPr>
                <w:rFonts w:hint="default" w:ascii="宋体" w:hAnsi="宋体" w:eastAsia="宋体" w:cs="宋体"/>
                <w:kern w:val="2"/>
                <w:sz w:val="21"/>
                <w:szCs w:val="21"/>
                <w:highlight w:val="none"/>
                <w:lang w:val="en-US" w:eastAsia="zh-CN"/>
              </w:rPr>
            </w:pPr>
          </w:p>
          <w:p w14:paraId="7A04DC50">
            <w:commentRangeStart w:id="16"/>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 xml:space="preserve">2.申报授信方案： 拟申请给予借款人授信敞口1000万元，（材料未提供）     。 </w:t>
            </w:r>
            <w:r>
              <w:rPr>
                <w:rFonts w:hint="eastAsia" w:ascii="宋体" w:hAnsi="宋体" w:cs="宋体"/>
                <w:b/>
                <w:kern w:val="2"/>
                <w:sz w:val="21"/>
                <w:szCs w:val="21"/>
                <w:highlight w:val="none"/>
                <w:lang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eastAsia="zh-CN"/>
              </w:rPr>
            </w:r>
            <w:r>
              <w:rPr>
                <w:rFonts w:hint="eastAsia" w:ascii="宋体" w:hAnsi="宋体" w:cs="宋体"/>
                <w:b/>
                <w:kern w:val="2"/>
                <w:sz w:val="21"/>
                <w:szCs w:val="21"/>
                <w:highlight w:val="none"/>
                <w:u w:val="single"/>
                <w:lang w:val="en-US" w:eastAsia="zh-CN"/>
              </w:rPr>
            </w:r>
            <w:r>
              <w:rPr>
                <w:rFonts w:hint="eastAsia" w:ascii="宋体" w:hAnsi="宋体"/>
                <w:highlight w:val="none"/>
                <w:u w:val="single"/>
              </w:rPr>
            </w:r>
            <w:r>
              <w:rPr>
                <w:rFonts w:hint="eastAsia" w:ascii="宋体" w:hAnsi="宋体"/>
                <w:highlight w:val="none"/>
                <w:u w:val="single"/>
                <w:lang w:val="en-US" w:eastAsia="zh-CN"/>
              </w:rPr>
            </w:r>
            <w:r>
              <w:rPr>
                <w:rFonts w:hint="eastAsia" w:ascii="宋体" w:hAnsi="宋体" w:cs="宋体"/>
                <w:b/>
                <w:kern w:val="2"/>
                <w:sz w:val="21"/>
                <w:szCs w:val="21"/>
                <w:highlight w:val="none"/>
                <w:u w:val="single"/>
                <w:lang w:val="en-US" w:eastAsia="zh-CN"/>
              </w:rPr>
            </w:r>
            <w:commentRangeEnd w:id="16"/>
            <w:r>
              <w:rPr>
                <w:rStyle w:val="CommentReference"/>
              </w:rPr>
            </w:r>
          </w:p>
          <w:p w14:paraId="72D650C8">
            <w:pPr>
              <w:adjustRightInd w:val="0"/>
              <w:snapToGrid w:val="0"/>
              <w:spacing w:before="93" w:beforeLines="30" w:after="93" w:afterLines="30"/>
              <w:rPr>
                <w:rFonts w:hint="eastAsia" w:ascii="宋体" w:hAnsi="宋体" w:cs="宋体"/>
                <w:b/>
                <w:snapToGrid w:val="0"/>
                <w:color w:val="auto"/>
                <w:kern w:val="0"/>
                <w:szCs w:val="21"/>
                <w:highlight w:val="cyan"/>
              </w:rPr>
            </w:pPr>
          </w:p>
          <w:p w14:paraId="2982538E">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2B6B9775">
            <w:commentRangeStart w:id="1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256430D4">
            <w:commentRangeStart w:id="1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8"/>
            <w:r>
              <w:rPr>
                <w:rStyle w:val="CommentReference"/>
              </w:rPr>
              <w:commentReference w:id="18"/>
            </w:r>
          </w:p>
          <w:p w14:paraId="2D36FF3E">
            <w:commentRangeStart w:id="19"/>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p w14:paraId="6F708AED">
            <w:commentRangeStart w:id="20"/>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p w14:paraId="4274C23A">
            <w:commentRangeStart w:id="21"/>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1"/>
            <w:r>
              <w:rPr>
                <w:rStyle w:val="CommentReference"/>
              </w:rPr>
              <w:commentReference w:id="21"/>
            </w:r>
          </w:p>
        </w:tc>
      </w:tr>
      <w:tr w14:paraId="327CE9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1DA7F232">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273A617A">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45D017A0">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0155542F">
            <w:pPr>
              <w:rPr>
                <w:rFonts w:hint="eastAsia"/>
              </w:rPr>
            </w:pPr>
          </w:p>
          <w:p w14:paraId="6BC53620">
            <w:pPr>
              <w:rPr>
                <w:rFonts w:hint="eastAsia"/>
              </w:rPr>
            </w:pPr>
          </w:p>
          <w:p w14:paraId="74F209F5">
            <w:pPr>
              <w:pStyle w:val="2"/>
              <w:rPr>
                <w:rFonts w:hint="eastAsia"/>
              </w:rPr>
            </w:pPr>
          </w:p>
          <w:p w14:paraId="7AB6FB4B">
            <w:pPr>
              <w:rPr>
                <w:rFonts w:hint="eastAsia"/>
              </w:rPr>
            </w:pPr>
          </w:p>
          <w:p w14:paraId="559F8CA4">
            <w:pPr>
              <w:pStyle w:val="2"/>
              <w:rPr>
                <w:rFonts w:hint="eastAsia"/>
              </w:rPr>
            </w:pPr>
          </w:p>
          <w:p w14:paraId="236DE7EB">
            <w:pPr>
              <w:rPr>
                <w:rFonts w:hint="eastAsia"/>
              </w:rPr>
            </w:pPr>
          </w:p>
          <w:p w14:paraId="22F6D6C0">
            <w:pPr>
              <w:pStyle w:val="2"/>
              <w:rPr>
                <w:rFonts w:hint="eastAsia"/>
              </w:rPr>
            </w:pPr>
          </w:p>
          <w:p w14:paraId="2DD55300">
            <w:commentRangeStart w:id="22"/>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2"/>
            <w:r>
              <w:rPr>
                <w:rStyle w:val="CommentReference"/>
              </w:rPr>
              <w:commentReference w:id="22"/>
            </w:r>
          </w:p>
        </w:tc>
      </w:tr>
      <w:tr w14:paraId="4C14A0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4A9843D8">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12EF1FB6">
            <w:pPr>
              <w:pStyle w:val="2"/>
              <w:rPr>
                <w:rFonts w:hint="eastAsia"/>
              </w:rPr>
            </w:pPr>
          </w:p>
          <w:p w14:paraId="7CAAFF0A">
            <w:pPr>
              <w:rPr>
                <w:rFonts w:hint="eastAsia"/>
              </w:rPr>
            </w:pPr>
          </w:p>
          <w:p w14:paraId="43DAB1DB">
            <w:pPr>
              <w:pStyle w:val="2"/>
              <w:rPr>
                <w:rFonts w:hint="eastAsia"/>
              </w:rPr>
            </w:pPr>
          </w:p>
          <w:p w14:paraId="3F9E1DD2">
            <w:pPr>
              <w:rPr>
                <w:rFonts w:hint="eastAsia"/>
              </w:rPr>
            </w:pPr>
          </w:p>
          <w:p w14:paraId="3768F83F">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59E76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4EA8BD44">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材料未提供担保分析相关信息。</w:t>
            </w:r>
            <w:r>
              <w:rPr>
                <w:rFonts w:hint="eastAsia" w:ascii="宋体" w:hAnsi="宋体" w:cs="宋体"/>
                <w:b/>
                <w:snapToGrid w:val="0"/>
                <w:color w:val="000000"/>
                <w:kern w:val="0"/>
                <w:szCs w:val="21"/>
                <w:highlight w:val="none"/>
              </w:rPr>
            </w:r>
          </w:p>
          <w:p w14:paraId="1865FF8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CB23BCC">
            <w:pPr>
              <w:pStyle w:val="2"/>
              <w:rPr>
                <w:rFonts w:hint="eastAsia" w:ascii="宋体" w:hAnsi="宋体" w:cs="宋体"/>
                <w:snapToGrid w:val="0"/>
                <w:color w:val="000000"/>
                <w:kern w:val="0"/>
                <w:szCs w:val="21"/>
                <w:highlight w:val="none"/>
                <w:lang w:val="en-US" w:eastAsia="zh-CN"/>
              </w:rPr>
            </w:pPr>
          </w:p>
          <w:p w14:paraId="57164585">
            <w:pPr>
              <w:rPr>
                <w:rFonts w:hint="eastAsia" w:ascii="宋体" w:hAnsi="宋体" w:cs="宋体"/>
                <w:snapToGrid w:val="0"/>
                <w:color w:val="000000"/>
                <w:kern w:val="0"/>
                <w:szCs w:val="21"/>
                <w:highlight w:val="none"/>
                <w:lang w:val="en-US" w:eastAsia="zh-CN"/>
              </w:rPr>
            </w:pPr>
          </w:p>
          <w:p w14:paraId="2A5E4155">
            <w:pPr>
              <w:pStyle w:val="2"/>
              <w:rPr>
                <w:rFonts w:hint="eastAsia" w:ascii="宋体" w:hAnsi="宋体" w:cs="宋体"/>
                <w:snapToGrid w:val="0"/>
                <w:color w:val="000000"/>
                <w:kern w:val="0"/>
                <w:szCs w:val="21"/>
                <w:highlight w:val="none"/>
                <w:lang w:val="en-US" w:eastAsia="zh-CN"/>
              </w:rPr>
            </w:pPr>
          </w:p>
          <w:p w14:paraId="43E342BC">
            <w:pPr>
              <w:rPr>
                <w:rFonts w:hint="eastAsia" w:ascii="宋体" w:hAnsi="宋体" w:cs="宋体"/>
                <w:snapToGrid w:val="0"/>
                <w:color w:val="000000"/>
                <w:kern w:val="0"/>
                <w:szCs w:val="21"/>
                <w:highlight w:val="none"/>
                <w:lang w:val="en-US" w:eastAsia="zh-CN"/>
              </w:rPr>
            </w:pPr>
          </w:p>
          <w:p w14:paraId="43D7F060">
            <w:pPr>
              <w:pStyle w:val="2"/>
              <w:rPr>
                <w:rFonts w:hint="eastAsia"/>
                <w:lang w:val="en-US" w:eastAsia="zh-CN"/>
              </w:rPr>
            </w:pPr>
          </w:p>
          <w:p w14:paraId="02EC0965">
            <w:pPr>
              <w:pStyle w:val="2"/>
              <w:rPr>
                <w:rFonts w:hint="eastAsia"/>
                <w:lang w:val="en-US" w:eastAsia="zh-CN"/>
              </w:rPr>
            </w:pPr>
          </w:p>
          <w:p w14:paraId="457358D7">
            <w:commentRangeStart w:id="23"/>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3"/>
            <w:r>
              <w:rPr>
                <w:rStyle w:val="CommentReference"/>
              </w:rPr>
              <w:commentReference w:id="23"/>
            </w:r>
          </w:p>
        </w:tc>
      </w:tr>
    </w:tbl>
    <w:p w14:paraId="5F42FDA4">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9T17:03:21Z" w:initials="Agent">
    <w:p>
      <w:r>
        <w:rPr>
          <w:rStyle w:val="CommentReference"/>
        </w:rPr>
        <w:annotationRef/>
      </w:r>
      <w:r>
        <w:t xml:space="preserve">该处“申报单位”仍为空白，请人工确认。</w:t>
      </w:r>
    </w:p>
  </w:comment>
  <w:comment w:id="1" w:author="信贷报告 Agent" w:date="2026-04-09T17:03:21Z" w:initials="Agent">
    <w:p>
      <w:r>
        <w:rPr>
          <w:rStyle w:val="CommentReference"/>
        </w:rPr>
        <w:annotationRef/>
      </w:r>
      <w:r>
        <w:t xml:space="preserve">该处“绿通标识”仍为空白，请人工确认。</w:t>
      </w:r>
    </w:p>
  </w:comment>
  <w:comment w:id="2" w:author="信贷报告 Agent" w:date="2026-04-09T17:03:21Z" w:initials="Agent">
    <w:p>
      <w:r>
        <w:rPr>
          <w:rStyle w:val="CommentReference"/>
        </w:rPr>
        <w:annotationRef/>
      </w:r>
      <w:r>
        <w:t xml:space="preserve">该处“注册资本”仍为空白，请人工确认。</w:t>
      </w:r>
    </w:p>
  </w:comment>
  <w:comment w:id="3" w:author="信贷报告 Agent" w:date="2026-04-09T17:03:21Z" w:initials="Agent">
    <w:p>
      <w:r>
        <w:rPr>
          <w:rStyle w:val="CommentReference"/>
        </w:rPr>
        <w:annotationRef/>
      </w:r>
      <w:r>
        <w:t xml:space="preserve">该处“主要上游（前五大）”仍为空白，请人工确认。</w:t>
      </w:r>
    </w:p>
  </w:comment>
  <w:comment w:id="4" w:author="信贷报告 Agent" w:date="2026-04-09T17:03:21Z" w:initials="Agent">
    <w:p>
      <w:r>
        <w:rPr>
          <w:rStyle w:val="CommentReference"/>
        </w:rPr>
        <w:annotationRef/>
      </w:r>
      <w:r>
        <w:t xml:space="preserve">该处“主要下游（前五大）”仍为空白，请人工确认。</w:t>
      </w:r>
    </w:p>
  </w:comment>
  <w:comment w:id="5" w:author="信贷报告 Agent" w:date="2026-04-09T17:03:21Z" w:initials="Agent">
    <w:p>
      <w:r>
        <w:rPr>
          <w:rStyle w:val="CommentReference"/>
        </w:rPr>
        <w:annotationRef/>
      </w:r>
      <w:r>
        <w:t xml:space="preserve">该处“最新在手订单列表”仍为空白，请人工确认。</w:t>
      </w:r>
    </w:p>
  </w:comment>
  <w:comment w:id="6" w:author="信贷报告 Agent" w:date="2026-04-09T17:03:21Z" w:initials="Agent">
    <w:p>
      <w:r>
        <w:rPr>
          <w:rStyle w:val="CommentReference"/>
        </w:rPr>
        <w:annotationRef/>
      </w:r>
      <w:r>
        <w:t xml:space="preserve">该处“以下财务数据明细为”仍为空白，请人工确认。</w:t>
      </w:r>
    </w:p>
  </w:comment>
  <w:comment w:id="7" w:author="信贷报告 Agent" w:date="2026-04-09T17:03:21Z" w:initials="Agent">
    <w:p>
      <w:r>
        <w:rPr>
          <w:rStyle w:val="CommentReference"/>
        </w:rPr>
        <w:annotationRef/>
      </w:r>
      <w:r>
        <w:t xml:space="preserve">该处“最近三年现金流量表分析”仍为空白，请人工确认。</w:t>
      </w:r>
    </w:p>
  </w:comment>
  <w:comment w:id="8" w:author="信贷报告 Agent" w:date="2026-04-09T17:03:21Z" w:initials="Agent">
    <w:p>
      <w:r>
        <w:rPr>
          <w:rStyle w:val="CommentReference"/>
        </w:rPr>
        <w:annotationRef/>
      </w:r>
      <w:r>
        <w:t xml:space="preserve">该处“反馈中长期借款还款计划及还款资金安排情况”仍为空白，请人工确认。</w:t>
      </w:r>
    </w:p>
  </w:comment>
  <w:comment w:id="9" w:author="信贷报告 Agent" w:date="2026-04-09T17:03:21Z" w:initials="Agent">
    <w:p>
      <w:r>
        <w:rPr>
          <w:rStyle w:val="CommentReference"/>
        </w:rPr>
        <w:annotationRef/>
      </w:r>
      <w:r>
        <w:t xml:space="preserve">该处“（若有）对外担保情况”仍为空白，请人工确认。</w:t>
      </w:r>
    </w:p>
  </w:comment>
  <w:comment w:id="10" w:author="信贷报告 Agent" w:date="2026-04-09T17:03:21Z" w:initials="Agent">
    <w:p>
      <w:r>
        <w:rPr>
          <w:rStyle w:val="CommentReference"/>
        </w:rPr>
        <w:annotationRef/>
      </w:r>
      <w:r>
        <w:t xml:space="preserve">该处“（若有）不良记录情况”仍为空白，请人工确认。</w:t>
      </w:r>
    </w:p>
  </w:comment>
  <w:comment w:id="11" w:author="信贷报告 Agent" w:date="2026-04-09T17:03:21Z" w:initials="Agent">
    <w:p>
      <w:r>
        <w:rPr>
          <w:rStyle w:val="CommentReference"/>
        </w:rPr>
        <w:annotationRef/>
      </w:r>
      <w:r>
        <w:t xml:space="preserve">该处“科技型企业评分”仍为空白，请人工确认。</w:t>
      </w:r>
    </w:p>
  </w:comment>
  <w:comment w:id="12" w:author="信贷报告 Agent" w:date="2026-04-09T17:03:21Z" w:initials="Agent">
    <w:p>
      <w:r>
        <w:rPr>
          <w:rStyle w:val="CommentReference"/>
        </w:rPr>
        <w:annotationRef/>
      </w:r>
      <w:r>
        <w:t xml:space="preserve">该处“请补充分析原因”仍为空白，请人工确认。</w:t>
      </w:r>
    </w:p>
  </w:comment>
  <w:comment w:id="13" w:author="信贷报告 Agent" w:date="2026-04-09T17:03:21Z" w:initials="Agent">
    <w:p>
      <w:r>
        <w:rPr>
          <w:rStyle w:val="CommentReference"/>
        </w:rPr>
        <w:annotationRef/>
      </w:r>
      <w:r>
        <w:t xml:space="preserve">该处“企业营运资金需求”仍为空白，请人工确认。</w:t>
      </w:r>
    </w:p>
  </w:comment>
  <w:comment w:id="14" w:author="信贷报告 Agent" w:date="2026-04-09T17:03:21Z" w:initials="Agent">
    <w:p>
      <w:r>
        <w:rPr>
          <w:rStyle w:val="CommentReference"/>
        </w:rPr>
        <w:annotationRef/>
      </w:r>
      <w:r>
        <w:t xml:space="preserve">该处“请补充说明”仍为空白，请人工确认。</w:t>
      </w:r>
    </w:p>
  </w:comment>
  <w:comment w:id="15" w:author="信贷报告 Agent" w:date="2026-04-09T17:03:21Z" w:initials="Agent">
    <w:p>
      <w:r>
        <w:rPr>
          <w:rStyle w:val="CommentReference"/>
        </w:rPr>
        <w:annotationRef/>
      </w:r>
      <w:r>
        <w:t xml:space="preserve">该处“变动原因”仍为空白，请人工确认。</w:t>
      </w:r>
    </w:p>
  </w:comment>
  <w:comment w:id="16" w:author="信贷报告 Agent" w:date="2026-04-09T17:03:21Z" w:initials="Agent">
    <w:p>
      <w:r>
        <w:rPr>
          <w:rStyle w:val="CommentReference"/>
        </w:rPr>
        <w:annotationRef/>
      </w:r>
      <w:r>
        <w:t xml:space="preserve">该处“2.申报授信方案： 拟申请给予借款人授信”仍为空白，请人工确认。</w:t>
      </w:r>
    </w:p>
  </w:comment>
  <w:comment w:id="17" w:author="信贷报告 Agent" w:date="2026-04-09T17:03:21Z" w:initials="Agent">
    <w:p>
      <w:r>
        <w:rPr>
          <w:rStyle w:val="CommentReference"/>
        </w:rPr>
        <w:annotationRef/>
      </w:r>
      <w:r>
        <w:t xml:space="preserve">该处“客户经理”仍为空白，请人工确认。</w:t>
      </w:r>
    </w:p>
  </w:comment>
  <w:comment w:id="18" w:author="信贷报告 Agent" w:date="2026-04-09T17:03:21Z" w:initials="Agent">
    <w:p>
      <w:r>
        <w:rPr>
          <w:rStyle w:val="CommentReference"/>
        </w:rPr>
        <w:annotationRef/>
      </w:r>
      <w:r>
        <w:t xml:space="preserve">该处“共同调查人”仍为空白，请人工确认。</w:t>
      </w:r>
    </w:p>
  </w:comment>
  <w:comment w:id="19" w:author="信贷报告 Agent" w:date="2026-04-09T17:03:21Z" w:initials="Agent">
    <w:p>
      <w:r>
        <w:rPr>
          <w:rStyle w:val="CommentReference"/>
        </w:rPr>
        <w:annotationRef/>
      </w:r>
      <w:r>
        <w:t xml:space="preserve">该处“二级支行行长”仍为空白，请人工确认。</w:t>
      </w:r>
    </w:p>
  </w:comment>
  <w:comment w:id="20" w:author="信贷报告 Agent" w:date="2026-04-09T17:03:21Z" w:initials="Agent">
    <w:p>
      <w:r>
        <w:rPr>
          <w:rStyle w:val="CommentReference"/>
        </w:rPr>
        <w:annotationRef/>
      </w:r>
      <w:r>
        <w:t xml:space="preserve">该处“分管行长”仍为空白，请人工确认。</w:t>
      </w:r>
    </w:p>
  </w:comment>
  <w:comment w:id="21" w:author="信贷报告 Agent" w:date="2026-04-09T17:03:21Z" w:initials="Agent">
    <w:p>
      <w:r>
        <w:rPr>
          <w:rStyle w:val="CommentReference"/>
        </w:rPr>
        <w:annotationRef/>
      </w:r>
      <w:r>
        <w:t xml:space="preserve">该处“行长”仍为空白，请人工确认。</w:t>
      </w:r>
    </w:p>
  </w:comment>
  <w:comment w:id="22" w:author="信贷报告 Agent" w:date="2026-04-09T17:03:21Z" w:initials="Agent">
    <w:p>
      <w:r>
        <w:rPr>
          <w:rStyle w:val="CommentReference"/>
        </w:rPr>
        <w:annotationRef/>
      </w:r>
      <w:r>
        <w:t xml:space="preserve">该处“审查员”仍为空白，请人工确认。</w:t>
      </w:r>
    </w:p>
  </w:comment>
  <w:comment w:id="23" w:author="信贷报告 Agent" w:date="2026-04-09T17:03:21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altName w:val="宋体"/>
    <w:panose1 w:val="02010600040101010101"/>
    <w:charset w:val="00"/>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altName w:val="Wingdings"/>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 w:name="Wingdings">
    <w:panose1 w:val="05000000000000000000"/>
    <w:charset w:val="00"/>
    <w:family w:val="auto"/>
    <w:pitch w:val="default"/>
    <w:sig w:usb0="00000000" w:usb1="00000000" w:usb2="00000000" w:usb3="00000000" w:csb0="80000000" w:csb1="00000000"/>
  </w:font>
  <w:font w:name="Kingsoft Symbol">
    <w:panose1 w:val="0500010001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39569">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A8A7361"/>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1614</Words>
  <Characters>9201</Characters>
  <Lines>1</Lines>
  <Paragraphs>1</Paragraphs>
  <TotalTime>5</TotalTime>
  <ScaleCrop>false</ScaleCrop>
  <LinksUpToDate>false</LinksUpToDate>
  <CharactersWithSpaces>10794</CharactersWithSpaces>
  <Application>WPS Office_12.8.2.17148_F1E327BC-269C-435d-A152-05C5408002CA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xk-liuye</cp:lastModifiedBy>
  <cp:lastPrinted>2025-12-06T01:27:47Z</cp:lastPrinted>
  <dcterms:modified xsi:type="dcterms:W3CDTF">2026-04-08T09:51:55Z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2052-12.8.2.17148</vt:lpwstr>
  </property>
  <property fmtid="{D5CDD505-2E9C-101B-9397-08002B2CF9AE}" pid="3" name="ICV">
    <vt:lpwstr>62770564AEB64B818D45336E3098AD01_13</vt:lpwstr>
  </property>
</Properties>
</file>