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commentRangeStart w:id="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w:t>
            </w:r>
            <w:commentRangeEnd w:id="0"/>
            <w:r>
              <w:rPr>
                <w:rStyle w:val="CommentReference"/>
              </w:rPr>
              <w:commentReference w:id="0"/>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1"/>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1"/>
            <w:r>
              <w:rPr>
                <w:rStyle w:val="CommentReference"/>
              </w:rPr>
              <w:commentReference w:id="1"/>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福建中锐网络股份有限公司主营业务为智慧水利与智慧教育解决方案的研发与销售，属于其他未列明信息技术服务业。公司实际控制人为黄祖海，其配偶为康恩慧。公司经营地址位于福州市马尾区罗星东路2号海峡经贸广场1#楼A615室及福州保税区综合大楼15层20#。材料未提供公司注册资本及最近年度营收规模数据，需关注其资本实力及经营规模的不确定性。</w:t>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u w:val="single"/>
                <w:lang w:val="en-US"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p>
          <w:p w14:paraId="68968EB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公司2025年末总资产为169564936.37元，较2024年末的185754310.59元下降8.7%，资产规模有所收缩。资产结构以流动资产为主，2025年末流动资产占比为77.3%，主要由应收账款（74296764.73元）、其他应收款（27740666.93元）和存货（21921599.78元）构成。非流动资产主要为长期股权投资（31230541.00元）。公司资产流动性尚可，但需关注应收账款和其他应收款的回收风险。</w:t>
            </w:r>
            <w:r>
              <w:rPr>
                <w:rFonts w:hint="eastAsia" w:ascii="宋体" w:hAnsi="宋体" w:cs="宋体"/>
                <w:b/>
                <w:bCs/>
                <w:snapToGrid w:val="0"/>
                <w:color w:val="000000"/>
                <w:kern w:val="0"/>
                <w:szCs w:val="21"/>
              </w:rPr>
            </w:r>
            <w:r>
              <w:rPr>
                <w:rFonts w:hint="eastAsia" w:ascii="宋体" w:hAnsi="宋体" w:eastAsia="宋体" w:cs="宋体"/>
                <w:b/>
                <w:bCs/>
                <w:snapToGrid w:val="0"/>
                <w:kern w:val="0"/>
                <w:szCs w:val="21"/>
                <w:lang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eastAsia="zh-CN"/>
              </w:rPr>
            </w:r>
            <w:r>
              <w:rPr>
                <w:rFonts w:hint="eastAsia" w:ascii="宋体" w:hAnsi="宋体" w:cs="宋体"/>
                <w:b/>
                <w:bCs/>
                <w:snapToGrid w:val="0"/>
                <w:color w:val="000000"/>
                <w:kern w:val="0"/>
                <w:szCs w:val="21"/>
              </w:rPr>
            </w:r>
            <w:r>
              <w:rPr>
                <w:rFonts w:hint="eastAsia" w:ascii="宋体" w:hAnsi="宋体" w:cs="宋体"/>
                <w:b/>
                <w:bCs/>
                <w:snapToGrid w:val="0"/>
                <w:color w:val="000000"/>
                <w:kern w:val="0"/>
                <w:szCs w:val="21"/>
                <w:u w:val="single"/>
                <w:lang w:val="en-US" w:eastAsia="zh-CN"/>
              </w:rPr>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公司2025年末总负债为72070926.12元，较2024年末的93198022.39元下降22.7%，负债规模显著降低。负债结构单一，全部为流动负债，其中短期借款为47300000.00元，占负债总额的65.6%。2025年末资产负债率为42.5%，较2024年末的50.2%有所下降，长期偿债压力有所缓解。但短期借款占比较高，且无长期负债，融资结构较为单一，对短期流动性依赖较强。</w:t>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napToGrid w:val="0"/>
                <w:kern w:val="0"/>
                <w:szCs w:val="21"/>
                <w:lang w:val="en-US" w:eastAsia="zh-CN"/>
              </w:rPr>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公司2025年度实现营业收入100096348.09元，较2024年度的87123689.95元增长14.9%，经营规模有所恢复。2025年度实现净利润4937722.05元，较2024年度的3290069.32元增长50.1%，盈利能力有所增强。公司2025年度营业利润率为4.8%，净利润率为4.9%，整体盈利水平较低。公司2025年度经营活动产生的现金流量净额为7911691.84元，由2024年度的净流出8960149.33元转为净流入，经营现金流状况得到显著改善。</w:t>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val="en-US" w:eastAsia="zh-CN"/>
              </w:rPr>
            </w:r>
            <w:r>
              <w:rPr>
                <w:rFonts w:hint="eastAsia" w:ascii="宋体" w:hAnsi="宋体" w:eastAsia="宋体" w:cs="宋体"/>
                <w:b/>
                <w:bCs/>
                <w:strike w:val="0"/>
                <w:dstrike w:val="0"/>
                <w:sz w:val="21"/>
                <w:szCs w:val="21"/>
                <w:highlight w:val="none"/>
                <w:lang w:val="en-US" w:eastAsia="zh-CN"/>
              </w:rPr>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公司2025年末货币资金余额为2855730.73元，较2024年末的5061834.55元下降43.6%，现金类资产规模下降明显。2025年度经营活动现金净流入7911691.84元，投资活动现金净流出5858041.00元，筹资活动现金净流出4259754.66元，全年现金净减少2206103.82元。公司期末现金余额较低，对短期债务的覆盖能力较弱。结合其短期借款规模，公司存在一定的短期流动性压力。</w:t>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cs="宋体"/>
                <w:b/>
                <w:bCs/>
                <w:snapToGrid w:val="0"/>
                <w:kern w:val="0"/>
                <w:szCs w:val="21"/>
                <w:lang w:val="en-US"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trike w:val="0"/>
                <w:dstrike w:val="0"/>
                <w:sz w:val="21"/>
                <w:szCs w:val="21"/>
                <w:highlight w:val="none"/>
                <w:lang w:val="en-US" w:eastAsia="zh-CN"/>
              </w:rPr>
            </w:r>
            <w:r>
              <w:rPr>
                <w:rFonts w:hint="eastAsia" w:ascii="宋体" w:hAnsi="宋体" w:eastAsia="宋体" w:cs="宋体"/>
                <w:b/>
                <w:bCs/>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sz w:val="21"/>
                <w:szCs w:val="21"/>
                <w:highlight w:val="none"/>
                <w:lang w:eastAsia="zh-CN"/>
              </w:rPr>
            </w:r>
            <w:r>
              <w:rPr>
                <w:rFonts w:hint="eastAsia" w:ascii="宋体" w:hAnsi="宋体" w:eastAsia="宋体" w:cs="宋体"/>
                <w:b/>
                <w:bCs/>
                <w:sz w:val="21"/>
                <w:szCs w:val="21"/>
                <w:highlight w:val="none"/>
                <w:lang w:val="en-US" w:eastAsia="zh-CN"/>
              </w:rPr>
            </w:r>
            <w:r>
              <w:rPr>
                <w:rFonts w:hint="eastAsia" w:ascii="宋体" w:hAnsi="宋体" w:eastAsia="宋体" w:cs="宋体"/>
                <w:b/>
                <w:bCs/>
                <w:sz w:val="21"/>
                <w:szCs w:val="21"/>
                <w:highlight w:val="none"/>
                <w:lang w:eastAsia="zh-CN"/>
              </w:rPr>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企业生产经营地址位于福州市马尾区罗星东路2号海峡经贸广场1#楼A615室（自贸试验区内），以及福州保税区综合大楼15层20#（自贸试验区内）。材料未提供经营场所的面积、权属性质（自有或租用）及抵押情况。</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材料未提供企业的成立时间。</w:t>
            </w:r>
            <w:r>
              <w:rPr>
                <w:rFonts w:hint="eastAsia" w:ascii="宋体" w:hAnsi="宋体" w:eastAsia="宋体" w:cs="宋体"/>
                <w:b/>
                <w:bCs/>
                <w:sz w:val="21"/>
                <w:szCs w:val="21"/>
                <w:highlight w:val="non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cs="宋体"/>
                <w:bCs/>
                <w:color w:val="auto"/>
                <w:sz w:val="21"/>
                <w:szCs w:val="21"/>
                <w:u w:val="single"/>
                <w:lang w:val="en-US" w:eastAsia="zh-CN"/>
              </w:rPr>
            </w:r>
            <w:r>
              <w:rPr>
                <w:rFonts w:hint="eastAsia" w:ascii="宋体" w:hAnsi="宋体" w:cs="宋体"/>
                <w:bCs/>
                <w:color w:val="auto"/>
                <w:sz w:val="21"/>
                <w:szCs w:val="21"/>
                <w:u w:val="none"/>
                <w:lang w:val="en-US" w:eastAsia="zh-CN"/>
              </w:rPr>
            </w:r>
            <w:r>
              <w:rPr>
                <w:rFonts w:hint="eastAsia" w:ascii="宋体" w:hAnsi="宋体" w:eastAsia="宋体" w:cs="宋体"/>
                <w:b/>
                <w:bCs/>
                <w:sz w:val="21"/>
                <w:szCs w:val="21"/>
                <w:highlight w:val="none"/>
                <w:lang w:val="en-US" w:eastAsia="zh-CN"/>
              </w:rPr>
            </w:r>
            <w:r>
              <w:rPr>
                <w:rFonts w:hint="eastAsia" w:ascii="宋体" w:hAnsi="宋体" w:cs="宋体"/>
                <w:b/>
                <w:bCs/>
                <w:snapToGrid w:val="0"/>
                <w:kern w:val="0"/>
                <w:szCs w:val="21"/>
              </w:rPr>
            </w:r>
            <w:r>
              <w:rPr>
                <w:rFonts w:hint="eastAsia" w:ascii="宋体" w:hAnsi="宋体" w:cs="宋体"/>
                <w:b/>
                <w:bCs/>
                <w:snapToGrid w:val="0"/>
                <w:kern w:val="0"/>
                <w:szCs w:val="21"/>
                <w:lang w:eastAsia="zh-CN"/>
              </w:rPr>
            </w:r>
            <w:r>
              <w:rPr>
                <w:rFonts w:hint="eastAsia" w:ascii="宋体" w:hAnsi="宋体" w:eastAsia="宋体" w:cs="宋体"/>
                <w:b/>
                <w:bCs/>
                <w:sz w:val="21"/>
                <w:szCs w:val="21"/>
                <w:highlight w:val="none"/>
                <w:lang w:val="en-US" w:eastAsia="zh-CN"/>
              </w:rPr>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企业实际主营业务为智慧水利与智慧教育两大板块。智慧水利业务系响应国家政策，提供涵盖水灾害、水工程、水资源、水生态水环境、水监督、水政务等六大重点应用的解决方案。智慧教育业务则聚焦网络、人工智能及智慧行业领域，提供数字人才培养解决方案，旨在将企业用人需求导入院校人才培养体系。</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commentRangeEnd w:id="3"/>
            <w:r>
              <w:rPr>
                <w:rStyle w:val="CommentReference"/>
              </w:rPr>
              <w:commentReference w:id="3"/>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材料未提供企业注册资本信息。</w:t>
            </w:r>
            <w:r>
              <w:rPr>
                <w:rFonts w:hint="eastAsia" w:ascii="宋体" w:hAnsi="宋体" w:cs="宋体"/>
                <w:snapToGrid w:val="0"/>
                <w:kern w:val="0"/>
                <w:szCs w:val="21"/>
              </w:rPr>
            </w:r>
            <w:r>
              <w:rPr>
                <w:rFonts w:hint="eastAsia" w:ascii="宋体" w:hAnsi="宋体" w:cs="宋体"/>
                <w:snapToGrid w:val="0"/>
                <w:kern w:val="0"/>
                <w:szCs w:val="21"/>
                <w:lang w:val="en-US" w:eastAsia="zh-CN"/>
              </w:rPr>
            </w:r>
            <w:r>
              <w:rPr>
                <w:rFonts w:hint="eastAsia" w:ascii="宋体" w:hAnsi="宋体" w:cs="宋体"/>
                <w:snapToGrid w:val="0"/>
                <w:kern w:val="0"/>
                <w:szCs w:val="21"/>
              </w:rPr>
            </w:r>
            <w:r>
              <w:rPr>
                <w:rFonts w:hint="eastAsia" w:ascii="宋体" w:hAnsi="宋体" w:cs="宋体"/>
                <w:snapToGrid w:val="0"/>
                <w:color w:val="000000"/>
                <w:kern w:val="0"/>
                <w:szCs w:val="21"/>
              </w:rPr>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41000000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41000000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材料未提供股权穿透后实际控制人黄祖海的具体持股比例。</w:t>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材料未提供企业员工人数信息。</w:t>
            </w:r>
            <w:r>
              <w:rPr>
                <w:rFonts w:hint="eastAsia" w:ascii="宋体" w:hAnsi="宋体" w:cs="宋体"/>
                <w:snapToGrid w:val="0"/>
                <w:color w:val="000000"/>
                <w:kern w:val="0"/>
                <w:szCs w:val="21"/>
              </w:rPr>
            </w:r>
            <w:r>
              <w:rPr>
                <w:rFonts w:hint="eastAsia" w:ascii="宋体" w:hAnsi="宋体" w:cs="宋体"/>
                <w:bCs/>
                <w:snapToGrid w:val="0"/>
                <w:color w:val="000000"/>
                <w:kern w:val="0"/>
                <w:szCs w:val="21"/>
                <w:u w:val="single"/>
              </w:rPr>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材料未提供对实际控制人黄祖海的面访记录，包括面访时间、参与人员及访谈评价。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w:t>
            </w:r>
            <w:r>
              <w:rPr>
                <w:rFonts w:hint="eastAsia" w:ascii="宋体" w:hAnsi="宋体" w:cs="宋体"/>
                <w:b/>
                <w:bCs/>
                <w:snapToGrid w:val="0"/>
                <w:color w:val="000000"/>
                <w:kern w:val="0"/>
                <w:szCs w:val="21"/>
                <w:highlight w:val="none"/>
                <w:lang w:val="en-US" w:eastAsia="zh-CN"/>
              </w:rPr>
              <w:t>实地走访情况：</w:t>
            </w:r>
            <w:r>
              <w:rPr>
                <w:rFonts w:hint="eastAsia" w:ascii="宋体" w:hAnsi="宋体" w:cs="宋体"/>
                <w:b w:val="0"/>
                <w:bCs w:val="0"/>
                <w:snapToGrid w:val="0"/>
                <w:kern w:val="0"/>
                <w:szCs w:val="21"/>
                <w:highlight w:val="none"/>
                <w:u w:val="single"/>
                <w:lang w:val="en-US" w:eastAsia="zh-CN"/>
              </w:rPr>
              <w:t>描述实地走访观察到的车间运作情况、存货情况、内部办公区人员及管理等情况</w:t>
            </w:r>
            <w:r>
              <w:rPr>
                <w:rFonts w:hint="eastAsia" w:ascii="宋体" w:hAnsi="宋体" w:cs="宋体"/>
                <w:b w:val="0"/>
                <w:bCs w:val="0"/>
                <w:snapToGrid w:val="0"/>
                <w:kern w:val="0"/>
                <w:szCs w:val="21"/>
                <w:highlight w:val="none"/>
                <w:u w:val="single"/>
              </w:rPr>
              <w:t>。</w:t>
            </w:r>
            <w:r>
              <w:rPr>
                <w:rFonts w:hint="eastAsia" w:ascii="宋体" w:hAnsi="宋体" w:cs="宋体"/>
                <w:b w:val="0"/>
                <w:bCs w:val="0"/>
                <w:snapToGrid w:val="0"/>
                <w:color w:val="auto"/>
                <w:kern w:val="0"/>
                <w:szCs w:val="21"/>
                <w:highlight w:val="none"/>
                <w:u w:val="single"/>
                <w:lang w:eastAsia="zh-CN"/>
              </w:rPr>
              <w:t>如：</w:t>
            </w:r>
            <w:r>
              <w:rPr>
                <w:rFonts w:hint="eastAsia" w:ascii="宋体" w:hAnsi="宋体" w:cs="宋体"/>
                <w:b w:val="0"/>
                <w:bCs w:val="0"/>
                <w:snapToGrid w:val="0"/>
                <w:color w:val="000000"/>
                <w:kern w:val="0"/>
                <w:szCs w:val="21"/>
                <w:highlight w:val="none"/>
                <w:u w:val="single"/>
                <w:lang w:val="en-US" w:eastAsia="zh-CN"/>
              </w:rPr>
              <w:t>车间运转正常，人员正常到岗上班，存货与报表相匹配。</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材料未提供企业对外担保情况。</w:t>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cs="宋体"/>
                <w:b/>
                <w:bCs/>
                <w:kern w:val="2"/>
                <w:sz w:val="21"/>
                <w:szCs w:val="21"/>
                <w:highlight w:val="none"/>
                <w:lang w:val="en-US" w:eastAsia="zh-CN"/>
              </w:rPr>
            </w:r>
            <w:r>
              <w:rPr>
                <w:rFonts w:hint="eastAsia" w:ascii="宋体" w:hAnsi="宋体" w:eastAsia="宋体" w:cs="宋体"/>
                <w:b/>
                <w:bCs/>
                <w:kern w:val="2"/>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cs="宋体"/>
                <w:b/>
                <w:sz w:val="21"/>
                <w:szCs w:val="21"/>
                <w:highlight w:val="none"/>
                <w:lang w:val="en-US" w:eastAsia="zh-CN"/>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cs="宋体"/>
                <w:b/>
                <w:snapToGrid w:val="0"/>
                <w:kern w:val="0"/>
                <w:szCs w:val="21"/>
                <w:highlight w:val="none"/>
              </w:rPr>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授信条件</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7.</w:t>
            </w:r>
            <w:r>
              <w:rPr>
                <w:rFonts w:hint="eastAsia" w:ascii="宋体" w:hAnsi="宋体" w:cs="宋体"/>
                <w:b/>
                <w:bCs/>
                <w:snapToGrid w:val="0"/>
                <w:color w:val="000000"/>
                <w:kern w:val="0"/>
                <w:szCs w:val="21"/>
                <w:highlight w:val="none"/>
              </w:rPr>
              <w:t>授信及风险信号提示及反馈</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lang w:val="en-US" w:eastAsia="zh-CN"/>
              </w:rPr>
              <w:t>531系统模块</w:t>
            </w:r>
            <w:r>
              <w:rPr>
                <w:rFonts w:hint="eastAsia" w:ascii="宋体" w:hAnsi="宋体" w:cs="宋体"/>
                <w:b/>
                <w:bCs/>
                <w:snapToGrid w:val="0"/>
                <w:color w:val="auto"/>
                <w:kern w:val="0"/>
                <w:szCs w:val="21"/>
                <w:highlight w:val="none"/>
                <w:lang w:eastAsia="zh-CN"/>
              </w:rPr>
              <w:t>）</w:t>
            </w:r>
            <w:r>
              <w:rPr>
                <w:rFonts w:hint="eastAsia" w:ascii="宋体" w:hAnsi="宋体" w:cs="宋体"/>
                <w:b/>
                <w:bCs/>
                <w:snapToGrid w:val="0"/>
                <w:color w:val="auto"/>
                <w:kern w:val="0"/>
                <w:szCs w:val="21"/>
                <w:highlight w:val="none"/>
              </w:rPr>
              <w:t>：</w:t>
            </w:r>
            <w:r>
              <w:rPr>
                <w:rFonts w:hint="eastAsia" w:ascii="宋体" w:hAnsi="宋体" w:cs="宋体"/>
                <w:snapToGrid w:val="0"/>
                <w:kern w:val="0"/>
                <w:szCs w:val="21"/>
                <w:highlight w:val="none"/>
                <w:u w:val="single"/>
              </w:rPr>
              <w:t>黄色</w:t>
            </w:r>
            <w:r>
              <w:rPr>
                <w:rFonts w:hint="eastAsia" w:ascii="宋体" w:hAnsi="宋体" w:cs="宋体"/>
                <w:snapToGrid w:val="0"/>
                <w:kern w:val="0"/>
                <w:szCs w:val="21"/>
                <w:highlight w:val="none"/>
                <w:u w:val="single"/>
                <w:lang w:val="en-US" w:eastAsia="zh-CN"/>
              </w:rPr>
              <w:t>预警</w:t>
            </w:r>
            <w:r>
              <w:rPr>
                <w:rFonts w:hint="eastAsia" w:ascii="宋体" w:hAnsi="宋体" w:cs="宋体"/>
                <w:snapToGrid w:val="0"/>
                <w:kern w:val="0"/>
                <w:szCs w:val="21"/>
                <w:highlight w:val="none"/>
                <w:u w:val="single"/>
              </w:rPr>
              <w:t>提示法定代表人目前信用卡存在逾期，经核实</w:t>
            </w:r>
            <w:r>
              <w:rPr>
                <w:rFonts w:hint="eastAsia" w:ascii="宋体" w:hAnsi="宋体" w:cs="宋体"/>
                <w:snapToGrid w:val="0"/>
                <w:kern w:val="0"/>
                <w:szCs w:val="21"/>
                <w:highlight w:val="none"/>
                <w:u w:val="single"/>
                <w:lang w:eastAsia="zh-CN"/>
              </w:rPr>
              <w:t>，</w:t>
            </w:r>
            <w:r>
              <w:rPr>
                <w:rFonts w:hint="eastAsia" w:ascii="宋体" w:hAnsi="宋体" w:cs="宋体"/>
                <w:snapToGrid w:val="0"/>
                <w:kern w:val="0"/>
                <w:szCs w:val="21"/>
                <w:highlight w:val="none"/>
                <w:u w:val="single"/>
              </w:rPr>
              <w:t>……。</w:t>
            </w:r>
            <w:r>
              <w:rPr>
                <w:rFonts w:hint="eastAsia" w:ascii="宋体" w:hAnsi="宋体" w:cs="宋体"/>
                <w:snapToGrid w:val="0"/>
                <w:kern w:val="0"/>
                <w:szCs w:val="21"/>
                <w:highlight w:val="none"/>
                <w:u w:val="single"/>
                <w:lang w:val="en-US" w:eastAsia="zh-CN"/>
              </w:rPr>
              <w:t>综合评判，未对借款人造成</w:t>
            </w:r>
            <w:r>
              <w:rPr>
                <w:rFonts w:hint="eastAsia" w:ascii="宋体" w:hAnsi="宋体" w:cs="宋体"/>
                <w:snapToGrid w:val="0"/>
                <w:kern w:val="0"/>
                <w:szCs w:val="21"/>
                <w:highlight w:val="none"/>
                <w:u w:val="single"/>
              </w:rPr>
              <w:t>实质性风险。</w:t>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根据企业提供的2023年度及2024年度审计报告，均由德赢（福建）会计师事务所出具标准无保留意见，未提示重大负面信息。材料未提供关于企业ESG评价、重大诉讼、反洗钱风险等级等其他负面信息。</w:t>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材料未提供关于企业注册资本的信息。</w:t>
            </w:r>
            <w:r>
              <w:rPr>
                <w:rFonts w:hint="eastAsia" w:ascii="宋体" w:hAnsi="宋体" w:cs="宋体"/>
                <w:bCs/>
                <w:snapToGrid w:val="0"/>
                <w:color w:val="000000"/>
                <w:kern w:val="0"/>
                <w:szCs w:val="21"/>
                <w:highlight w:val="none"/>
                <w:u w:val="none"/>
                <w:lang w:val="en-US" w:eastAsia="zh-CN"/>
              </w:rPr>
            </w:r>
            <w:r>
              <w:rPr>
                <w:rFonts w:hint="eastAsia" w:ascii="宋体" w:hAnsi="宋体" w:eastAsia="宋体" w:cs="宋体"/>
                <w:b/>
                <w:bCs/>
                <w:snapToGrid w:val="0"/>
                <w:color w:val="000000"/>
                <w:kern w:val="0"/>
                <w:szCs w:val="21"/>
                <w:highlight w:val="none"/>
                <w:lang w:val="en-US" w:eastAsia="zh-CN"/>
              </w:rPr>
            </w:r>
            <w:r>
              <w:rPr>
                <w:rFonts w:hint="eastAsia" w:ascii="宋体" w:hAnsi="宋体" w:cs="宋体"/>
                <w:b/>
                <w:snapToGrid w:val="0"/>
                <w:color w:val="000000"/>
                <w:kern w:val="0"/>
                <w:szCs w:val="21"/>
                <w:u w:val="single"/>
                <w:lang w:val="en-US" w:eastAsia="zh-CN"/>
              </w:rPr>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材料未提供法定代表人相关信息。</w:t>
            </w:r>
            <w:r>
              <w:rPr>
                <w:rFonts w:hint="eastAsia" w:ascii="宋体" w:hAnsi="宋体" w:cs="宋体"/>
                <w:b/>
                <w:snapToGrid w:val="0"/>
                <w:kern w:val="0"/>
                <w:szCs w:val="21"/>
              </w:rPr>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材料未提供法定代表人相关信息。</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实际控制人黄祖海，中国国籍，已婚，配偶为康恩慧。材料未提供其出生年份、籍贯、学历及具体行业工作经历。</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材料未提供企业最近年度的营业收入规模数据。</w:t>
            </w:r>
            <w:r>
              <w:rPr>
                <w:rFonts w:hint="eastAsia" w:ascii="宋体" w:hAnsi="宋体" w:cs="宋体"/>
                <w:b/>
                <w:bCs/>
                <w:snapToGrid w:val="0"/>
                <w:color w:val="auto"/>
                <w:kern w:val="0"/>
                <w:szCs w:val="21"/>
                <w:highlight w:val="none"/>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000000"/>
                <w:kern w:val="0"/>
                <w:szCs w:val="21"/>
              </w:rPr>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材料未提供借款企业福建中锐网络股份有限公司的关联企业名单、股权结构、经营及财务数据。无法分析其关联方数量、经营规模、与借款企业的交易及资金往来情况。</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 w:val="21"/>
                <w:szCs w:val="21"/>
                <w:highlight w:val="none"/>
                <w:lang w:val="en-US" w:eastAsia="zh-CN"/>
              </w:rPr>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材料未提供借款企业福建中锐网络股份有限公司的关联企业名单、股权结构、经营及财务数据。无法分析其关联方数量、经营规模、与借款企业的交易及资金往来情况。</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材料未提供借款企业福建中锐网络股份有限公司的关联企业情况。无法对其关联方数量、经营规模、与借款企业的交易及资金往来情况进行小结。</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材料未提供借款企业福建中锐网络股份有限公司的集团内关联销售数据。无法分析其关联交易规模及剔除关联交易后的集团整体销售情况。</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1.</w:t>
            </w:r>
            <w:r>
              <w:rPr>
                <w:rFonts w:hint="eastAsia" w:ascii="宋体" w:hAnsi="宋体" w:cs="宋体"/>
                <w:b/>
                <w:bCs/>
                <w:snapToGrid w:val="0"/>
                <w:color w:val="000000"/>
                <w:kern w:val="0"/>
                <w:szCs w:val="21"/>
                <w:highlight w:val="none"/>
              </w:rPr>
              <w:t>产品（业务）</w:t>
            </w:r>
            <w:r>
              <w:rPr>
                <w:rFonts w:hint="eastAsia" w:ascii="宋体" w:hAnsi="宋体" w:cs="宋体"/>
                <w:b/>
                <w:bCs/>
                <w:snapToGrid w:val="0"/>
                <w:color w:val="000000"/>
                <w:kern w:val="0"/>
                <w:szCs w:val="21"/>
                <w:highlight w:val="none"/>
                <w:lang w:val="en-US" w:eastAsia="zh-CN"/>
              </w:rPr>
              <w:t>及其市场应用</w:t>
            </w:r>
            <w:r>
              <w:rPr>
                <w:rFonts w:hint="eastAsia" w:ascii="宋体" w:hAnsi="宋体" w:cs="宋体"/>
                <w:b/>
                <w:bCs/>
                <w:snapToGrid w:val="0"/>
                <w:color w:val="000000"/>
                <w:kern w:val="0"/>
                <w:szCs w:val="21"/>
                <w:highlight w:val="none"/>
              </w:rPr>
              <w:t>：</w:t>
            </w:r>
            <w:r>
              <w:rPr>
                <w:rFonts w:hint="eastAsia" w:ascii="宋体" w:hAnsi="宋体" w:cs="宋体"/>
                <w:snapToGrid w:val="0"/>
                <w:kern w:val="0"/>
                <w:szCs w:val="21"/>
                <w:highlight w:val="none"/>
                <w:u w:val="single"/>
              </w:rPr>
              <w:t>主营芯片设计，主要销售的芯片为28nm级，产品主要</w:t>
            </w:r>
            <w:r>
              <w:rPr>
                <w:rFonts w:hint="eastAsia" w:ascii="宋体" w:hAnsi="宋体" w:cs="宋体"/>
                <w:snapToGrid w:val="0"/>
                <w:kern w:val="0"/>
                <w:szCs w:val="21"/>
                <w:highlight w:val="none"/>
                <w:u w:val="single"/>
                <w:lang w:val="en-US" w:eastAsia="zh-CN"/>
              </w:rPr>
              <w:t>用于XXXXX</w:t>
            </w:r>
            <w:r>
              <w:rPr>
                <w:rFonts w:hint="eastAsia" w:ascii="宋体" w:hAnsi="宋体" w:cs="宋体"/>
                <w:snapToGrid w:val="0"/>
                <w:kern w:val="0"/>
                <w:szCs w:val="21"/>
                <w:highlight w:val="none"/>
                <w:u w:val="single"/>
              </w:rPr>
              <w:t>等。</w:t>
            </w:r>
            <w:commentRangeEnd w:id="4"/>
            <w:r>
              <w:rPr>
                <w:rStyle w:val="CommentReference"/>
              </w:rPr>
              <w:commentReference w:id="4"/>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w:t>
            </w:r>
            <w:r>
              <w:rPr>
                <w:rFonts w:hint="eastAsia" w:ascii="宋体" w:hAnsi="宋体" w:cs="宋体"/>
                <w:b/>
                <w:bCs/>
                <w:snapToGrid w:val="0"/>
                <w:kern w:val="0"/>
                <w:szCs w:val="21"/>
                <w:highlight w:val="none"/>
              </w:rPr>
              <w:t>产品优势、企业核心竞争力:</w:t>
            </w:r>
            <w:r>
              <w:rPr>
                <w:rFonts w:hint="eastAsia" w:ascii="宋体" w:hAnsi="宋体" w:cs="宋体"/>
                <w:snapToGrid w:val="0"/>
                <w:kern w:val="0"/>
                <w:szCs w:val="21"/>
                <w:highlight w:val="none"/>
                <w:u w:val="single"/>
              </w:rPr>
              <w:t>企业产品准入门槛较高，技术……，</w:t>
            </w:r>
            <w:r>
              <w:rPr>
                <w:rFonts w:hint="eastAsia" w:ascii="宋体" w:hAnsi="宋体" w:cs="宋体"/>
                <w:b/>
                <w:bCs/>
                <w:snapToGrid w:val="0"/>
                <w:kern w:val="0"/>
                <w:szCs w:val="21"/>
                <w:highlight w:val="none"/>
                <w:u w:val="single"/>
              </w:rPr>
              <w:t>/</w:t>
            </w:r>
            <w:r>
              <w:rPr>
                <w:rFonts w:hint="eastAsia" w:ascii="宋体" w:hAnsi="宋体" w:cs="宋体"/>
                <w:bCs/>
                <w:snapToGrid w:val="0"/>
                <w:color w:val="000000"/>
                <w:kern w:val="0"/>
                <w:szCs w:val="21"/>
                <w:highlight w:val="none"/>
                <w:u w:val="single"/>
              </w:rPr>
              <w:t>企业为传统行业企业，依托与上下游建立的多年稳定的合作关系经营。</w:t>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材料未提供借款人主要经营及财务情况的相关信息，无法进行具体分析。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rPr>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材料未提供借款人主要经营及财务情况的相关信息，无法进行具体分析。</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eastAsia="宋体" w:cs="宋体"/>
                <w:snapToGrid w:val="0"/>
                <w:kern w:val="0"/>
                <w:szCs w:val="21"/>
                <w:highlight w:val="none"/>
                <w:lang w:eastAsia="zh-CN"/>
              </w:rPr>
            </w:r>
            <w:r>
              <w:rPr>
                <w:rFonts w:hint="eastAsia" w:ascii="宋体" w:hAnsi="宋体" w:cs="宋体"/>
                <w:snapToGrid w:val="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材料未提供关于借款人生产设备、产能、产量、产能利用率、产销率及用电量的具体信息，无法进行生产环节的分析。</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材料未提供关于借款人上下游供应商及客户的具体信息，无法分析其供应链结构及客户资质。</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材料未提供借款人主要经营及财务情况的相关信息，无法进行具体分析。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材料未提供借款人主要经营及财务情况的相关信息，无法进行具体分析。</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材料未提供借款人主要经营及财务情况的相关信息，无法进行具体分析。</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材料未提供借款人主要经营及财务情况的相关信息，无法进行具体分析。</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材料未提供借款人主要经营及财务情况的相关信息，无法进行具体分析。</w:t>
            </w:r>
            <w:r>
              <w:rPr>
                <w:rFonts w:ascii="宋体" w:hAnsi="宋体"/>
                <w:b/>
                <w:bCs/>
                <w:color w:val="000000"/>
                <w:highlight w:val="none"/>
              </w:rPr>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一致</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材料未提供借款人主要经营及财务情况的相关信息，无法进行具体分析。</w:t>
            </w:r>
            <w:r>
              <w:rPr>
                <w:rFonts w:ascii="宋体" w:hAnsi="宋体"/>
                <w:b/>
                <w:bCs/>
                <w:color w:val="000000"/>
                <w:highlight w:val="none"/>
              </w:rPr>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378109</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4"/>
              <w:gridCol w:w="624"/>
              <w:gridCol w:w="624"/>
              <w:gridCol w:w="624"/>
              <w:gridCol w:w="624"/>
              <w:gridCol w:w="624"/>
              <w:gridCol w:w="624"/>
              <w:gridCol w:w="62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62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62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62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2026</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62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62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62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62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62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62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62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62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62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62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62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62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62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62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62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62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62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62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62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62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62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62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62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62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62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62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62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62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62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62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62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62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62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62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62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62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62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62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62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62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62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62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62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commentRangeStart w:id="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5"/>
            <w:r>
              <w:rPr>
                <w:rStyle w:val="CommentReference"/>
              </w:rPr>
              <w:commentReference w:id="5"/>
            </w:r>
          </w:p>
          <w:p w14:paraId="0A5EB4C5">
            <w:commentRangeStart w:id="6"/>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commentRangeEnd w:id="6"/>
            <w:r>
              <w:rPr>
                <w:rStyle w:val="CommentReference"/>
              </w:rPr>
              <w:commentReference w:id="6"/>
            </w:r>
          </w:p>
          <w:p w14:paraId="669763E4">
            <w:commentRangeStart w:id="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7"/>
            <w:r>
              <w:rPr>
                <w:rStyle w:val="CommentReference"/>
              </w:rPr>
              <w:commentReference w:id="7"/>
            </w:r>
          </w:p>
          <w:p w14:paraId="0DB2C097">
            <w:commentRangeStart w:id="8"/>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8"/>
            <w:r>
              <w:rPr>
                <w:rStyle w:val="CommentReference"/>
              </w:rPr>
              <w:commentReference w:id="8"/>
            </w:r>
          </w:p>
          <w:p w14:paraId="688E94A4">
            <w:commentRangeStart w:id="9"/>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commentRangeEnd w:id="9"/>
            <w:r>
              <w:rPr>
                <w:rStyle w:val="CommentReference"/>
              </w:rPr>
              <w:commentReference w:id="9"/>
            </w:r>
          </w:p>
          <w:p w14:paraId="5881D757">
            <w:commentRangeStart w:id="10"/>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0"/>
            <w:r>
              <w:rPr>
                <w:rStyle w:val="CommentReference"/>
              </w:rPr>
              <w:commentReference w:id="10"/>
            </w:r>
          </w:p>
          <w:p w14:paraId="544264FA">
            <w:commentRangeStart w:id="11"/>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commentRangeEnd w:id="11"/>
            <w:r>
              <w:rPr>
                <w:rStyle w:val="CommentReference"/>
              </w:rPr>
              <w:commentReference w:id="11"/>
            </w:r>
          </w:p>
          <w:p w14:paraId="487F6E47">
            <w:commentRangeStart w:id="12"/>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commentRangeEnd w:id="12"/>
            <w:r>
              <w:rPr>
                <w:rStyle w:val="CommentReference"/>
              </w:rPr>
              <w:commentReference w:id="12"/>
            </w:r>
          </w:p>
          <w:p w14:paraId="247144CC">
            <w:commentRangeStart w:id="13"/>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3"/>
            <w:r>
              <w:rPr>
                <w:rStyle w:val="CommentReference"/>
              </w:rPr>
              <w:commentReference w:id="13"/>
            </w:r>
          </w:p>
          <w:p w14:paraId="7B09B5AD">
            <w:commentRangeStart w:id="14"/>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commentRangeEnd w:id="14"/>
            <w:r>
              <w:rPr>
                <w:rStyle w:val="CommentReference"/>
              </w:rPr>
              <w:commentReference w:id="14"/>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材料未提供关于借款人应收账款账期、预计回款、未来营收预测、成本费用支出及融资计划的具体信息，无法进行现金流预测分析。</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15"/>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15"/>
            <w:r>
              <w:rPr>
                <w:rStyle w:val="CommentReference"/>
              </w:rPr>
              <w:commentReference w:id="15"/>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材料未提供关于借款人营运资金周转次数、生产周期、回款周期、负债率、净利润等关键财务指标的具体信息，无法进行总体财务情况小结。</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材料未提供借款人主要经营及财务情况的相关信息，无法进行具体分析。</w:t>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lang w:eastAsia="zh-CN"/>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r>
              <w:rPr>
                <w:rFonts w:hint="eastAsia" w:ascii="宋体" w:hAnsi="宋体" w:cs="宋体"/>
                <w:b/>
                <w:snapToGrid w:val="0"/>
                <w:color w:val="000000"/>
                <w:kern w:val="0"/>
                <w:szCs w:val="21"/>
                <w:highlight w:val="none"/>
              </w:rPr>
            </w:r>
            <w:r>
              <w:rPr>
                <w:rFonts w:hint="eastAsia" w:ascii="宋体" w:hAnsi="宋体" w:cs="宋体"/>
                <w:b/>
                <w:snapToGrid w:val="0"/>
                <w:color w:val="000000"/>
                <w:kern w:val="0"/>
                <w:szCs w:val="21"/>
                <w:highlight w:val="none"/>
                <w:lang w:val="en-US" w:eastAsia="zh-CN"/>
              </w:rPr>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材料未提供各行贷款余额的明细分布、五级分类、对外担保及被追偿记录等信息。</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16"/>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16"/>
            <w:r>
              <w:rPr>
                <w:rStyle w:val="CommentReference"/>
              </w:rPr>
              <w:commentReference w:id="16"/>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材料未提供关于借款人固定资产贷款及还款计划的相关信息。</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材料未提供关于借款人未来年度具体还款计划及预测销售趋势、净利润水平的相关信息，无法评估其还款能力。</w:t>
            </w:r>
          </w:p>
          <w:p w14:paraId="76CE32AE">
            <w:commentRangeStart w:id="17"/>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7"/>
            <w:r>
              <w:rPr>
                <w:rStyle w:val="CommentReference"/>
              </w:rPr>
              <w:commentReference w:id="17"/>
            </w:r>
          </w:p>
          <w:p w14:paraId="4355488A">
            <w:commentRangeStart w:id="18"/>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18"/>
            <w:r>
              <w:rPr>
                <w:rStyle w:val="CommentReference"/>
              </w:rPr>
              <w:commentReference w:id="18"/>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材料未提供关于实控人黄祖海个人征信报告的具体信息，包括其名下未结清贷款、信用卡使用、担保责任及历史逾期记录等。</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commentRangeStart w:id="19"/>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实控人配偶情况：</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u w:val="single"/>
                <w:lang w:eastAsia="zh-CN"/>
              </w:rPr>
              <w:t>陈</w:t>
            </w:r>
            <w:r>
              <w:rPr>
                <w:rFonts w:hint="eastAsia" w:ascii="宋体" w:hAnsi="宋体" w:cs="宋体"/>
                <w:snapToGrid w:val="0"/>
                <w:color w:val="000000"/>
                <w:kern w:val="0"/>
                <w:szCs w:val="21"/>
                <w:highlight w:val="none"/>
                <w:u w:val="single"/>
                <w:lang w:val="en-US" w:eastAsia="zh-CN"/>
              </w:rPr>
              <w:t>XX</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u w:val="single"/>
                <w:lang w:eastAsia="zh-CN"/>
              </w:rPr>
              <w:t>中国</w:t>
            </w:r>
            <w:r>
              <w:rPr>
                <w:rFonts w:hint="eastAsia" w:ascii="宋体" w:hAnsi="宋体" w:cs="宋体"/>
                <w:snapToGrid w:val="0"/>
                <w:color w:val="000000"/>
                <w:kern w:val="0"/>
                <w:szCs w:val="21"/>
                <w:lang w:eastAsia="zh-CN"/>
              </w:rPr>
              <w:t>国籍，</w:t>
            </w:r>
            <w:r>
              <w:rPr>
                <w:rFonts w:hint="eastAsia" w:ascii="宋体" w:hAnsi="宋体" w:cs="宋体"/>
                <w:snapToGrid w:val="0"/>
                <w:color w:val="000000"/>
                <w:kern w:val="0"/>
                <w:szCs w:val="21"/>
                <w:u w:val="single"/>
                <w:lang w:eastAsia="zh-CN"/>
              </w:rPr>
              <w:t>福建福州</w:t>
            </w:r>
            <w:r>
              <w:rPr>
                <w:rFonts w:hint="eastAsia" w:ascii="宋体" w:hAnsi="宋体" w:cs="宋体"/>
                <w:snapToGrid w:val="0"/>
                <w:color w:val="000000"/>
                <w:kern w:val="0"/>
                <w:szCs w:val="21"/>
                <w:lang w:eastAsia="zh-CN"/>
              </w:rPr>
              <w:t>人，</w:t>
            </w:r>
            <w:r>
              <w:rPr>
                <w:rFonts w:hint="eastAsia" w:ascii="宋体" w:hAnsi="宋体" w:cs="宋体"/>
                <w:snapToGrid w:val="0"/>
                <w:color w:val="000000"/>
                <w:kern w:val="0"/>
                <w:szCs w:val="21"/>
                <w:highlight w:val="none"/>
                <w:u w:val="single"/>
              </w:rPr>
              <w:t>19</w:t>
            </w:r>
            <w:r>
              <w:rPr>
                <w:rFonts w:hint="eastAsia" w:ascii="宋体" w:hAnsi="宋体" w:cs="宋体"/>
                <w:snapToGrid w:val="0"/>
                <w:color w:val="000000"/>
                <w:kern w:val="0"/>
                <w:szCs w:val="21"/>
                <w:highlight w:val="none"/>
                <w:u w:val="single"/>
                <w:lang w:val="en-US" w:eastAsia="zh-CN"/>
              </w:rPr>
              <w:t>78</w:t>
            </w:r>
            <w:r>
              <w:rPr>
                <w:rFonts w:hint="eastAsia" w:ascii="宋体" w:hAnsi="宋体" w:cs="宋体"/>
                <w:snapToGrid w:val="0"/>
                <w:color w:val="000000"/>
                <w:kern w:val="0"/>
                <w:szCs w:val="21"/>
                <w:highlight w:val="none"/>
                <w:u w:val="single"/>
              </w:rPr>
              <w:t>年</w:t>
            </w:r>
            <w:r>
              <w:rPr>
                <w:rFonts w:hint="eastAsia" w:ascii="宋体" w:hAnsi="宋体" w:cs="宋体"/>
                <w:snapToGrid w:val="0"/>
                <w:color w:val="000000"/>
                <w:kern w:val="0"/>
                <w:szCs w:val="21"/>
                <w:highlight w:val="none"/>
              </w:rPr>
              <w:t>生，</w:t>
            </w:r>
            <w:r>
              <w:rPr>
                <w:rFonts w:hint="eastAsia" w:ascii="宋体" w:hAnsi="宋体" w:cs="宋体"/>
                <w:snapToGrid w:val="0"/>
                <w:color w:val="000000"/>
                <w:kern w:val="0"/>
                <w:szCs w:val="21"/>
                <w:highlight w:val="none"/>
                <w:lang w:val="en-US" w:eastAsia="zh-CN"/>
              </w:rPr>
              <w:t>个人</w:t>
            </w:r>
            <w:r>
              <w:rPr>
                <w:rFonts w:hint="eastAsia" w:ascii="宋体" w:hAnsi="宋体" w:cs="宋体"/>
                <w:snapToGrid w:val="0"/>
                <w:color w:val="000000"/>
                <w:kern w:val="0"/>
                <w:szCs w:val="21"/>
                <w:highlight w:val="none"/>
              </w:rPr>
              <w:t>征信信息：</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kern w:val="0"/>
                <w:szCs w:val="21"/>
                <w:highlight w:val="none"/>
                <w:u w:val="single"/>
                <w:lang w:val="en-US" w:eastAsia="zh-CN"/>
              </w:rPr>
              <w:t>可参考实控人征信描述格式</w:t>
            </w:r>
            <w:r>
              <w:rPr>
                <w:rFonts w:hint="eastAsia" w:ascii="宋体" w:hAnsi="宋体" w:cs="宋体"/>
                <w:bCs/>
                <w:snapToGrid w:val="0"/>
                <w:color w:val="000000"/>
                <w:kern w:val="0"/>
                <w:szCs w:val="21"/>
                <w:highlight w:val="none"/>
                <w:u w:val="single"/>
              </w:rPr>
              <w:t xml:space="preserve"> </w:t>
            </w:r>
            <w:commentRangeEnd w:id="19"/>
            <w:r>
              <w:rPr>
                <w:rStyle w:val="CommentReference"/>
              </w:rPr>
              <w:commentReference w:id="19"/>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材料未提供借款人主要经营及财务情况的相关信息，无法进行具体分析。</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材料未提供借款人主要经营及财务情况的相关信息，无法进行具体分析。</w:t>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材料未提供借款人主要经营及财务情况的相关信息，无法进行具体分析。</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材料未提供借款人主要经营及财务情况的相关信息，无法进行具体分析。</w:t>
            </w:r>
            <w:r>
              <w:rPr>
                <w:rFonts w:hint="eastAsia" w:ascii="宋体" w:hAnsi="宋体" w:eastAsia="宋体" w:cs="宋体"/>
                <w:b/>
                <w:bCs/>
                <w:snapToGrid w:val="0"/>
                <w:kern w:val="0"/>
                <w:szCs w:val="21"/>
                <w:lang w:val="en-US" w:eastAsia="zh-CN"/>
              </w:rPr>
            </w:r>
            <w:r>
              <w:rPr>
                <w:rFonts w:hint="eastAsia" w:ascii="宋体" w:hAnsi="宋体" w:eastAsia="宋体" w:cs="宋体"/>
                <w:b/>
                <w:bCs/>
                <w:snapToGrid w:val="0"/>
                <w:kern w:val="0"/>
                <w:szCs w:val="21"/>
              </w:rPr>
            </w:r>
            <w:r>
              <w:rPr>
                <w:rFonts w:hint="eastAsia" w:ascii="宋体" w:hAnsi="宋体" w:eastAsia="宋体" w:cs="宋体"/>
                <w:b/>
                <w:bCs/>
                <w:snapToGrid w:val="0"/>
                <w:kern w:val="0"/>
                <w:szCs w:val="21"/>
                <w:lang w:val="en-US" w:eastAsia="zh-CN"/>
              </w:rPr>
            </w:r>
          </w:p>
          <w:p w14:paraId="6C01223F">
            <w:commentRangeStart w:id="20"/>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20"/>
            <w:r>
              <w:rPr>
                <w:rStyle w:val="CommentReference"/>
              </w:rPr>
              <w:commentReference w:id="20"/>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材料未提供借款人主要经营及财务情况的相关信息，无法进行具体分析。</w:t>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val="0"/>
                <w:kern w:val="2"/>
                <w:sz w:val="21"/>
                <w:szCs w:val="21"/>
                <w:highlight w:val="none"/>
                <w:lang w:val="en-US" w:eastAsia="zh-CN"/>
              </w:rPr>
            </w:r>
            <w:r>
              <w:rPr>
                <w:rFonts w:hint="eastAsia" w:ascii="宋体" w:hAnsi="宋体" w:eastAsia="宋体" w:cs="宋体"/>
                <w:b/>
                <w:bCs w:val="0"/>
                <w:kern w:val="2"/>
                <w:sz w:val="21"/>
                <w:szCs w:val="21"/>
                <w:highlight w:val="none"/>
                <w:lang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r>
              <w:rPr>
                <w:rFonts w:hint="eastAsia" w:ascii="宋体" w:hAnsi="宋体" w:eastAsia="宋体" w:cs="宋体"/>
                <w:b/>
                <w:bCs w:val="0"/>
                <w:kern w:val="2"/>
                <w:szCs w:val="21"/>
                <w:highlight w:val="none"/>
                <w:lang w:val="en-US" w:eastAsia="zh-CN"/>
              </w:rPr>
            </w:r>
            <w:r>
              <w:rPr>
                <w:rFonts w:hint="eastAsia" w:ascii="宋体" w:hAnsi="宋体" w:cs="宋体"/>
                <w:b/>
                <w:bCs/>
                <w:snapToGrid w:val="0"/>
                <w:kern w:val="0"/>
                <w:szCs w:val="21"/>
              </w:rPr>
            </w:r>
            <w:r>
              <w:rPr>
                <w:rFonts w:hint="eastAsia" w:ascii="宋体" w:hAnsi="宋体" w:eastAsia="宋体" w:cs="宋体"/>
                <w:b/>
                <w:bCs w:val="0"/>
                <w:kern w:val="2"/>
                <w:szCs w:val="21"/>
                <w:highlight w:val="none"/>
                <w:lang w:eastAsia="zh-CN"/>
              </w:rPr>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材料未提供借款人主要经营及财务情况的相关信息，无法进行具体分析。</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材料未提供借款人主要经营及财务情况的相关信息，无法进行具体分析。</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材料未提供企业在我行的历史业务数据，包括日均存款、对公有效户、结算量、代发签约及发薪量等，无法评估其过往综合效益。</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材料未提供企业未来在我行的业务合作计划及预计贡献数据，包括日均存款、结算量、代发签约等，无法对预计综合效益进行量化评估。</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1万元，显示其主营业务具备一定的现金生成能力。然而，期末货币资金余额为286万元，较期初的506万元下降明显，且远低于短期借款4730万元的规模。同时，应收账款期末余额为7430万元，占流动资产比重较高，表明下游货款回笼存在一定压力。为维持日常运营及应对潜在的营运资金需求，借款人需申请贷款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21"/>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21"/>
            <w:r>
              <w:rPr>
                <w:rStyle w:val="CommentReference"/>
              </w:rPr>
              <w:commentReference w:id="21"/>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根据流动资金需求测算，企业营运资金需求：材料未提供相关数据。</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材料未提供关于本次借款具体用途、金额及期限的详细信息，无法进行针对性分析。</w:t>
            </w:r>
          </w:p>
          <w:p w14:paraId="64AA94E5">
            <w:pPr>
              <w:pStyle w:val="11"/>
              <w:rPr>
                <w:rFonts w:hint="eastAsia"/>
              </w:rPr>
            </w:pPr>
          </w:p>
          <w:p w14:paraId="1970A0F7">
            <w:commentRangeStart w:id="22"/>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22"/>
            <w:r>
              <w:rPr>
                <w:rStyle w:val="CommentReference"/>
              </w:rPr>
              <w:commentReference w:id="22"/>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材料未提供关于借款人未来经营计划、销售预测及营运资金缺口测算的相关信息，无法对借款需求的合理性进行量化评估。</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材料未提供关于借款人其他融资渠道、股东支持或资产变现计划等补充还款来源的信息。</w:t>
            </w:r>
            <w:r>
              <w:rPr>
                <w:rFonts w:hint="eastAsia" w:ascii="宋体" w:hAnsi="宋体" w:cs="宋体"/>
                <w:bCs/>
                <w:snapToGrid w:val="0"/>
                <w:kern w:val="0"/>
                <w:sz w:val="21"/>
                <w:szCs w:val="21"/>
                <w:highlight w:val="none"/>
                <w:u w:val="single"/>
                <w:lang w:val="en-US" w:eastAsia="zh-CN"/>
              </w:rPr>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材料未提供关于股权融资作为还款来源的任何信息，包括但不限于估值依据、融资金额、投资方背景、当前进展及预计落地时间，无法对此类还款来源的可靠性进行分析。</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23"/>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3"/>
            <w:r>
              <w:rPr>
                <w:rStyle w:val="CommentReference"/>
              </w:rPr>
              <w:commentReference w:id="23"/>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材料未提供抵押物相关信息，无法对抵押物性质、出租情况及是否为唯一住宅进行说明。</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材料未提供相关信息及其影响。</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材料未提供相关信息及其影响。</w:t>
            </w:r>
            <w:r>
              <w:rPr>
                <w:rFonts w:hint="eastAsia" w:ascii="宋体" w:hAnsi="宋体" w:eastAsia="宋体" w:cs="宋体"/>
                <w:b w:val="0"/>
                <w:bCs/>
                <w:kern w:val="2"/>
                <w:sz w:val="21"/>
                <w:szCs w:val="21"/>
                <w:highlight w:val="none"/>
                <w:lang w:eastAsia="zh-CN"/>
              </w:rPr>
            </w:r>
            <w:r>
              <w:rPr>
                <w:rFonts w:hint="eastAsia" w:ascii="宋体" w:hAnsi="宋体" w:eastAsia="宋体" w:cs="宋体"/>
                <w:snapToGrid w:val="0"/>
                <w:kern w:val="0"/>
                <w:sz w:val="21"/>
                <w:szCs w:val="21"/>
                <w:highlight w:val="none"/>
                <w:lang w:val="en-US" w:eastAsia="zh-CN" w:bidi="ar-SA"/>
              </w:rPr>
            </w:r>
            <w:r>
              <w:rPr>
                <w:rFonts w:hint="eastAsia" w:ascii="宋体" w:hAnsi="宋体" w:eastAsia="宋体" w:cs="宋体"/>
                <w:snapToGrid w:val="0"/>
                <w:kern w:val="0"/>
                <w:sz w:val="21"/>
                <w:szCs w:val="21"/>
                <w:highlight w:val="none"/>
                <w:u w:val="none"/>
                <w:lang w:val="en-US" w:eastAsia="zh-CN" w:bidi="ar-SA"/>
              </w:rPr>
            </w:r>
            <w:r>
              <w:rPr>
                <w:rFonts w:hint="eastAsia" w:ascii="宋体" w:hAnsi="宋体" w:eastAsia="宋体" w:cs="宋体"/>
                <w:snapToGrid w:val="0"/>
                <w:kern w:val="0"/>
                <w:sz w:val="21"/>
                <w:szCs w:val="21"/>
                <w:highlight w:val="none"/>
                <w:u w:val="single"/>
                <w:lang w:val="en-US" w:eastAsia="zh-CN" w:bidi="ar-SA"/>
              </w:rPr>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材料未提供相关信息及其影响。</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材料未提供专业担保公司担保相关信息，无法阐述我行内部审批结论及担保公司最新担保情况。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材料未提供相关信息及其影响。</w:t>
            </w:r>
            <w:r>
              <w:rPr>
                <w:rFonts w:hint="eastAsia" w:ascii="宋体" w:hAnsi="宋体" w:eastAsia="宋体" w:cs="宋体"/>
                <w:b/>
                <w:sz w:val="21"/>
                <w:szCs w:val="21"/>
                <w:highlight w:val="none"/>
              </w:rPr>
            </w:r>
            <w:r>
              <w:rPr>
                <w:rFonts w:hint="eastAsia" w:ascii="宋体" w:hAnsi="宋体" w:cs="宋体"/>
                <w:b/>
                <w:sz w:val="21"/>
                <w:szCs w:val="21"/>
                <w:highlight w:val="none"/>
                <w:lang w:eastAsia="zh-CN"/>
              </w:rPr>
            </w:r>
            <w:r>
              <w:rPr>
                <w:rFonts w:hint="eastAsia" w:ascii="宋体" w:hAnsi="宋体" w:cs="宋体"/>
                <w:b/>
                <w:sz w:val="21"/>
                <w:szCs w:val="21"/>
                <w:highlight w:val="none"/>
                <w:lang w:val="en-US" w:eastAsia="zh-CN"/>
              </w:rPr>
            </w:r>
            <w:r>
              <w:rPr>
                <w:rFonts w:hint="eastAsia" w:ascii="宋体" w:hAnsi="宋体" w:cs="宋体"/>
                <w:b/>
                <w:sz w:val="21"/>
                <w:szCs w:val="21"/>
                <w:highlight w:val="none"/>
                <w:lang w:eastAsia="zh-CN"/>
              </w:rPr>
            </w:r>
            <w:r>
              <w:rPr>
                <w:rFonts w:hint="eastAsia" w:ascii="宋体" w:hAnsi="宋体" w:eastAsia="宋体" w:cs="宋体"/>
                <w:b/>
                <w:sz w:val="21"/>
                <w:szCs w:val="21"/>
                <w:highlight w:val="none"/>
              </w:rPr>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材料未提供相关信息及其影响。</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材料未提供相关信息及其影响。</w:t>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eastAsia="宋体" w:cs="宋体"/>
                <w:b/>
                <w:kern w:val="2"/>
                <w:sz w:val="21"/>
                <w:szCs w:val="21"/>
                <w:highlight w:val="none"/>
              </w:rPr>
            </w:r>
            <w:r>
              <w:rPr>
                <w:rFonts w:hint="eastAsia" w:ascii="宋体" w:hAnsi="宋体" w:eastAsia="宋体" w:cs="宋体"/>
                <w:b/>
                <w:kern w:val="2"/>
                <w:sz w:val="21"/>
                <w:szCs w:val="21"/>
                <w:highlight w:val="none"/>
                <w:lang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val="en-US" w:eastAsia="zh-CN"/>
              </w:rPr>
            </w:r>
            <w:r>
              <w:rPr>
                <w:rFonts w:hint="eastAsia" w:ascii="宋体" w:hAnsi="宋体" w:cs="宋体"/>
                <w:b/>
                <w:kern w:val="2"/>
                <w:sz w:val="21"/>
                <w:szCs w:val="21"/>
                <w:highlight w:val="none"/>
                <w:lang w:val="en-US" w:eastAsia="zh-CN"/>
              </w:rPr>
            </w:r>
            <w:r>
              <w:rPr>
                <w:rFonts w:hint="eastAsia" w:ascii="宋体" w:hAnsi="宋体" w:eastAsia="宋体" w:cs="宋体"/>
                <w:b/>
                <w:kern w:val="2"/>
                <w:sz w:val="21"/>
                <w:szCs w:val="21"/>
                <w:highlight w:val="none"/>
                <w:lang w:eastAsia="zh-CN"/>
              </w:rPr>
            </w:r>
            <w:r>
              <w:rPr>
                <w:rFonts w:hint="eastAsia" w:ascii="宋体" w:hAnsi="宋体" w:cs="宋体"/>
                <w:b/>
                <w:kern w:val="2"/>
                <w:sz w:val="21"/>
                <w:szCs w:val="21"/>
                <w:highlight w:val="none"/>
                <w:lang w:eastAsia="zh-CN"/>
              </w:rPr>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根据企业提供的2023年、2024年及2025年现金流量表，其经营性现金流分别为269万元、-896万元和791万元，呈现较大波动。2024年经营性现金流为负，主要系销售商品、提供劳务收到的现金减少所致。2025年经营性现金流虽转为正流入，但期末现金及现金等价物余额较期初下降221万元，主要受投资活动现金净流出及筹资活动现金净流出影响。公司日常经营周转对营运资金管理要求较高。</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根据企业2023年至2025年财务报表，其资产负债率分别为50.24%（2023年）、50.17%（2024年）和42.50%（2025年），呈下降趋势，整体负债水平可控。流动比率分别为1.57（2023年）、1.58（2024年）和1.82（2025年），短期偿债能力有所增强。综合来看，公司财务杠杆适中，短期偿债能力尚可。</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材料未提供公司成立时间、订单情况、产能利用率、人员数量及研发团队构成等具体信息，无法对公司的经营持续性、技术先进性及人员稳定性进行详细分析。</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材料未提供合作银行数量、他行贷款具体金额及用途、我行拟申请敞口额度等信息，无法准确判断其整体融资规模及是否存在多头授信、超融风险。公司名下固定资产主要为设备，价值约93万元，可用于抵押的实物资产有限。</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材料未提供借款人在我行开户时间、历史结算量及代发业务等具体信息，无法评估其在我行的结算贡献及后续营销潜力。</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材料未提供本次授信申请的具体敞口额度、担保方式（如是否涉及实控人房产抵押、信用方式比例）及保证人信息，无法对本次授信的担保强度进行分析。</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现有材料分析，借款人福建中锐网络股份有限公司资产负债率适中且呈下降趋势，短期偿债能力指标有所改善，2025年经营性现金流恢复为正。但公司现金流波动较大，2024年曾出现经营性现金净流出，且期末货币资金规模有限。材料中关于其订单稳定性、技术团队、融资具体安排及担保措施等关键信息缺失，需进一步补充以全面评估其偿债能力与风险。</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24"/>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24"/>
            <w:r>
              <w:rPr>
                <w:rStyle w:val="CommentReference"/>
              </w:rPr>
              <w:commentReference w:id="24"/>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25"/>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5"/>
            <w:r>
              <w:rPr>
                <w:rStyle w:val="CommentReference"/>
              </w:rPr>
              <w:commentReference w:id="25"/>
            </w:r>
          </w:p>
          <w:p w14:paraId="6AC425A6">
            <w:commentRangeStart w:id="26"/>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26"/>
            <w:r>
              <w:rPr>
                <w:rStyle w:val="CommentReference"/>
              </w:rPr>
              <w:commentReference w:id="26"/>
            </w:r>
          </w:p>
          <w:p w14:paraId="2FC82B07">
            <w:commentRangeStart w:id="27"/>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7"/>
            <w:r>
              <w:rPr>
                <w:rStyle w:val="CommentReference"/>
              </w:rPr>
              <w:commentReference w:id="27"/>
            </w:r>
          </w:p>
          <w:p w14:paraId="269107E9">
            <w:commentRangeStart w:id="28"/>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8"/>
            <w:r>
              <w:rPr>
                <w:rStyle w:val="CommentReference"/>
              </w:rPr>
              <w:commentReference w:id="28"/>
            </w:r>
          </w:p>
          <w:p w14:paraId="3096CC3B">
            <w:commentRangeStart w:id="29"/>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9"/>
            <w:r>
              <w:rPr>
                <w:rStyle w:val="CommentReference"/>
              </w:rPr>
              <w:commentReference w:id="29"/>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30"/>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0"/>
            <w:r>
              <w:rPr>
                <w:rStyle w:val="CommentReference"/>
              </w:rPr>
              <w:commentReference w:id="30"/>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材料未提供相关信息及其影响。</w:t>
            </w:r>
            <w:r>
              <w:rPr>
                <w:rFonts w:hint="eastAsia" w:ascii="宋体" w:hAnsi="宋体" w:cs="宋体"/>
                <w:b/>
                <w:snapToGrid w:val="0"/>
                <w:color w:val="000000"/>
                <w:kern w:val="0"/>
                <w:szCs w:val="21"/>
                <w:highlight w:val="none"/>
              </w:rPr>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31"/>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1"/>
            <w:r>
              <w:rPr>
                <w:rStyle w:val="CommentReference"/>
              </w:rPr>
              <w:commentReference w:id="31"/>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0T12:12:26Z" w:initials="Agent">
    <w:p>
      <w:r>
        <w:rPr>
          <w:rStyle w:val="CommentReference"/>
        </w:rPr>
        <w:annotationRef/>
      </w:r>
      <w:r>
        <w:t xml:space="preserve">该处“客户名称”仍为空白，请人工确认。</w:t>
      </w:r>
    </w:p>
  </w:comment>
  <w:comment w:id="1" w:author="信贷报告 Agent" w:date="2026-04-10T12:12:26Z" w:initials="Agent">
    <w:p>
      <w:r>
        <w:rPr>
          <w:rStyle w:val="CommentReference"/>
        </w:rPr>
        <w:annotationRef/>
      </w:r>
      <w:r>
        <w:t xml:space="preserve">该处“申报单位”仍为空白，请人工确认。</w:t>
      </w:r>
    </w:p>
  </w:comment>
  <w:comment w:id="2" w:author="信贷报告 Agent" w:date="2026-04-10T12:12:26Z" w:initials="Agent">
    <w:p>
      <w:r>
        <w:rPr>
          <w:rStyle w:val="CommentReference"/>
        </w:rPr>
        <w:annotationRef/>
      </w:r>
      <w:r>
        <w:t xml:space="preserve">该处“绿通标识”仍为空白，请人工确认。</w:t>
      </w:r>
    </w:p>
  </w:comment>
  <w:comment w:id="3" w:author="信贷报告 Agent" w:date="2026-04-10T12:12:26Z" w:initials="Agent">
    <w:p>
      <w:r>
        <w:rPr>
          <w:rStyle w:val="CommentReference"/>
        </w:rPr>
        <w:annotationRef/>
      </w:r>
      <w:r>
        <w:t xml:space="preserve">该处“注册资本”仍为空白，请人工确认。</w:t>
      </w:r>
    </w:p>
  </w:comment>
  <w:comment w:id="4" w:author="信贷报告 Agent" w:date="2026-04-10T12:12:26Z" w:initials="Agent">
    <w:p>
      <w:r>
        <w:rPr>
          <w:rStyle w:val="CommentReference"/>
        </w:rPr>
        <w:annotationRef/>
      </w:r>
      <w:r>
        <w:t xml:space="preserve">该处“芯片为28nm级，产品主要用于”仍为模板占位符，请人工核实。</w:t>
      </w:r>
    </w:p>
  </w:comment>
  <w:comment w:id="5" w:author="信贷报告 Agent" w:date="2026-04-10T12:12:26Z" w:initials="Agent">
    <w:p>
      <w:r>
        <w:rPr>
          <w:rStyle w:val="CommentReference"/>
        </w:rPr>
        <w:annotationRef/>
      </w:r>
      <w:r>
        <w:t xml:space="preserve">该处“主要构成及趋势变动情况”仍为空白，请人工确认。</w:t>
      </w:r>
    </w:p>
  </w:comment>
  <w:comment w:id="6" w:author="信贷报告 Agent" w:date="2026-04-10T12:12:26Z" w:initials="Agent">
    <w:p>
      <w:r>
        <w:rPr>
          <w:rStyle w:val="CommentReference"/>
        </w:rPr>
        <w:annotationRef/>
      </w:r>
      <w:r>
        <w:t xml:space="preserve">该处“主要构成及趋势变动情况”仍为空白，请人工确认。</w:t>
      </w:r>
    </w:p>
  </w:comment>
  <w:comment w:id="7" w:author="信贷报告 Agent" w:date="2026-04-10T12:12:26Z" w:initials="Agent">
    <w:p>
      <w:r>
        <w:rPr>
          <w:rStyle w:val="CommentReference"/>
        </w:rPr>
        <w:annotationRef/>
      </w:r>
      <w:r>
        <w:t xml:space="preserve">该处“主要构成及趋势变动情况”仍为空白，请人工确认。</w:t>
      </w:r>
    </w:p>
  </w:comment>
  <w:comment w:id="8" w:author="信贷报告 Agent" w:date="2026-04-10T12:12:26Z" w:initials="Agent">
    <w:p>
      <w:r>
        <w:rPr>
          <w:rStyle w:val="CommentReference"/>
        </w:rPr>
        <w:annotationRef/>
      </w:r>
      <w:r>
        <w:t xml:space="preserve">该处“主要构成及趋势变动情况”仍为空白，请人工确认。</w:t>
      </w:r>
    </w:p>
  </w:comment>
  <w:comment w:id="9" w:author="信贷报告 Agent" w:date="2026-04-10T12:12:26Z" w:initials="Agent">
    <w:p>
      <w:r>
        <w:rPr>
          <w:rStyle w:val="CommentReference"/>
        </w:rPr>
        <w:annotationRef/>
      </w:r>
      <w:r>
        <w:t xml:space="preserve">该处“主要构成及趋势变动情况”仍为空白，请人工确认。</w:t>
      </w:r>
    </w:p>
  </w:comment>
  <w:comment w:id="10" w:author="信贷报告 Agent" w:date="2026-04-10T12:12:26Z" w:initials="Agent">
    <w:p>
      <w:r>
        <w:rPr>
          <w:rStyle w:val="CommentReference"/>
        </w:rPr>
        <w:annotationRef/>
      </w:r>
      <w:r>
        <w:t xml:space="preserve">该处“主要构成及趋势变动情况”仍为空白，请人工确认。</w:t>
      </w:r>
    </w:p>
  </w:comment>
  <w:comment w:id="11" w:author="信贷报告 Agent" w:date="2026-04-10T12:12:26Z" w:initials="Agent">
    <w:p>
      <w:r>
        <w:rPr>
          <w:rStyle w:val="CommentReference"/>
        </w:rPr>
        <w:annotationRef/>
      </w:r>
      <w:r>
        <w:t xml:space="preserve">该处“（7）主营业务收入变动原因”仍为空白，请人工确认。</w:t>
      </w:r>
    </w:p>
  </w:comment>
  <w:comment w:id="12" w:author="信贷报告 Agent" w:date="2026-04-10T12:12:26Z" w:initials="Agent">
    <w:p>
      <w:r>
        <w:rPr>
          <w:rStyle w:val="CommentReference"/>
        </w:rPr>
        <w:annotationRef/>
      </w:r>
      <w:r>
        <w:t xml:space="preserve">该处“（8）盈利能力变动原因”仍为空白，请人工确认。</w:t>
      </w:r>
    </w:p>
  </w:comment>
  <w:comment w:id="13" w:author="信贷报告 Agent" w:date="2026-04-10T12:12:26Z" w:initials="Agent">
    <w:p>
      <w:r>
        <w:rPr>
          <w:rStyle w:val="CommentReference"/>
        </w:rPr>
        <w:annotationRef/>
      </w:r>
      <w:r>
        <w:t xml:space="preserve">该处“分析投入及资金安排）”仍为空白，请人工确认。</w:t>
      </w:r>
    </w:p>
  </w:comment>
  <w:comment w:id="14" w:author="信贷报告 Agent" w:date="2026-04-10T12:12:26Z" w:initials="Agent">
    <w:p>
      <w:r>
        <w:rPr>
          <w:rStyle w:val="CommentReference"/>
        </w:rPr>
        <w:annotationRef/>
      </w:r>
      <w:r>
        <w:t xml:space="preserve">该处“如有请说明）”仍为空白，请人工确认。</w:t>
      </w:r>
    </w:p>
  </w:comment>
  <w:comment w:id="15" w:author="信贷报告 Agent" w:date="2026-04-10T12:12:26Z" w:initials="Agent">
    <w:p>
      <w:r>
        <w:rPr>
          <w:rStyle w:val="CommentReference"/>
        </w:rPr>
        <w:annotationRef/>
      </w:r>
      <w:r>
        <w:t xml:space="preserve">该处“最近三年现金流量表分析”仍为空白，请人工确认。</w:t>
      </w:r>
    </w:p>
  </w:comment>
  <w:comment w:id="16" w:author="信贷报告 Agent" w:date="2026-04-10T12:12:26Z" w:initials="Agent">
    <w:p>
      <w:r>
        <w:rPr>
          <w:rStyle w:val="CommentReference"/>
        </w:rPr>
        <w:annotationRef/>
      </w:r>
      <w:r>
        <w:t xml:space="preserve">该处“反馈中长期借款还款计划及还款资金安排情况”仍为空白，请人工确认。</w:t>
      </w:r>
    </w:p>
  </w:comment>
  <w:comment w:id="17" w:author="信贷报告 Agent" w:date="2026-04-10T12:12:26Z" w:initials="Agent">
    <w:p>
      <w:r>
        <w:rPr>
          <w:rStyle w:val="CommentReference"/>
        </w:rPr>
        <w:annotationRef/>
      </w:r>
      <w:r>
        <w:t xml:space="preserve">该处“（若有）对外担保情况”仍为空白，请人工确认。</w:t>
      </w:r>
    </w:p>
  </w:comment>
  <w:comment w:id="18" w:author="信贷报告 Agent" w:date="2026-04-10T12:12:26Z" w:initials="Agent">
    <w:p>
      <w:r>
        <w:rPr>
          <w:rStyle w:val="CommentReference"/>
        </w:rPr>
        <w:annotationRef/>
      </w:r>
      <w:r>
        <w:t xml:space="preserve">该处“（若有）不良记录情况”仍为空白，请人工确认。</w:t>
      </w:r>
    </w:p>
  </w:comment>
  <w:comment w:id="19" w:author="信贷报告 Agent" w:date="2026-04-10T12:12:26Z" w:initials="Agent">
    <w:p>
      <w:r>
        <w:rPr>
          <w:rStyle w:val="CommentReference"/>
        </w:rPr>
        <w:annotationRef/>
      </w:r>
      <w:r>
        <w:t xml:space="preserve">该处“3.实控人配偶情况： 陈”仍为模板占位符，请人工核实。</w:t>
      </w:r>
    </w:p>
  </w:comment>
  <w:comment w:id="20" w:author="信贷报告 Agent" w:date="2026-04-10T12:12:26Z" w:initials="Agent">
    <w:p>
      <w:r>
        <w:rPr>
          <w:rStyle w:val="CommentReference"/>
        </w:rPr>
        <w:annotationRef/>
      </w:r>
      <w:r>
        <w:t xml:space="preserve">该处“科技型企业评分”仍为空白，请人工确认。</w:t>
      </w:r>
    </w:p>
  </w:comment>
  <w:comment w:id="21" w:author="信贷报告 Agent" w:date="2026-04-10T12:12:26Z" w:initials="Agent">
    <w:p>
      <w:r>
        <w:rPr>
          <w:rStyle w:val="CommentReference"/>
        </w:rPr>
        <w:annotationRef/>
      </w:r>
      <w:r>
        <w:t xml:space="preserve">该处“请补充分析原因”仍为空白，请人工确认。</w:t>
      </w:r>
    </w:p>
  </w:comment>
  <w:comment w:id="22" w:author="信贷报告 Agent" w:date="2026-04-10T12:12:26Z" w:initials="Agent">
    <w:p>
      <w:r>
        <w:rPr>
          <w:rStyle w:val="CommentReference"/>
        </w:rPr>
        <w:annotationRef/>
      </w:r>
      <w:r>
        <w:t xml:space="preserve">该处“请补充说明”仍为空白，请人工确认。</w:t>
      </w:r>
    </w:p>
  </w:comment>
  <w:comment w:id="23" w:author="信贷报告 Agent" w:date="2026-04-10T12:12:26Z" w:initials="Agent">
    <w:p>
      <w:r>
        <w:rPr>
          <w:rStyle w:val="CommentReference"/>
        </w:rPr>
        <w:annotationRef/>
      </w:r>
      <w:r>
        <w:t xml:space="preserve">该处“变动原因”仍为空白，请人工确认。</w:t>
      </w:r>
    </w:p>
  </w:comment>
  <w:comment w:id="24" w:author="信贷报告 Agent" w:date="2026-04-10T12:12:26Z" w:initials="Agent">
    <w:p>
      <w:r>
        <w:rPr>
          <w:rStyle w:val="CommentReference"/>
        </w:rPr>
        <w:annotationRef/>
      </w:r>
      <w:r>
        <w:t xml:space="preserve">该处“予借款人授信敞口1000万元，”仍为模板占位符，请人工核实。</w:t>
      </w:r>
    </w:p>
  </w:comment>
  <w:comment w:id="25" w:author="信贷报告 Agent" w:date="2026-04-10T12:12:26Z" w:initials="Agent">
    <w:p>
      <w:r>
        <w:rPr>
          <w:rStyle w:val="CommentReference"/>
        </w:rPr>
        <w:annotationRef/>
      </w:r>
      <w:r>
        <w:t xml:space="preserve">该处“客户经理”仍为空白，请人工确认。</w:t>
      </w:r>
    </w:p>
  </w:comment>
  <w:comment w:id="26" w:author="信贷报告 Agent" w:date="2026-04-10T12:12:26Z" w:initials="Agent">
    <w:p>
      <w:r>
        <w:rPr>
          <w:rStyle w:val="CommentReference"/>
        </w:rPr>
        <w:annotationRef/>
      </w:r>
      <w:r>
        <w:t xml:space="preserve">该处“共同调查人”仍为空白，请人工确认。</w:t>
      </w:r>
    </w:p>
  </w:comment>
  <w:comment w:id="27" w:author="信贷报告 Agent" w:date="2026-04-10T12:12:26Z" w:initials="Agent">
    <w:p>
      <w:r>
        <w:rPr>
          <w:rStyle w:val="CommentReference"/>
        </w:rPr>
        <w:annotationRef/>
      </w:r>
      <w:r>
        <w:t xml:space="preserve">该处“二级支行行长”仍为空白，请人工确认。</w:t>
      </w:r>
    </w:p>
  </w:comment>
  <w:comment w:id="28" w:author="信贷报告 Agent" w:date="2026-04-10T12:12:26Z" w:initials="Agent">
    <w:p>
      <w:r>
        <w:rPr>
          <w:rStyle w:val="CommentReference"/>
        </w:rPr>
        <w:annotationRef/>
      </w:r>
      <w:r>
        <w:t xml:space="preserve">该处“分管行长”仍为空白，请人工确认。</w:t>
      </w:r>
    </w:p>
  </w:comment>
  <w:comment w:id="29" w:author="信贷报告 Agent" w:date="2026-04-10T12:12:26Z" w:initials="Agent">
    <w:p>
      <w:r>
        <w:rPr>
          <w:rStyle w:val="CommentReference"/>
        </w:rPr>
        <w:annotationRef/>
      </w:r>
      <w:r>
        <w:t xml:space="preserve">该处“行长”仍为空白，请人工确认。</w:t>
      </w:r>
    </w:p>
  </w:comment>
  <w:comment w:id="30" w:author="信贷报告 Agent" w:date="2026-04-10T12:12:26Z" w:initials="Agent">
    <w:p>
      <w:r>
        <w:rPr>
          <w:rStyle w:val="CommentReference"/>
        </w:rPr>
        <w:annotationRef/>
      </w:r>
      <w:r>
        <w:t xml:space="preserve">该处“审查员”仍为空白，请人工确认。</w:t>
      </w:r>
    </w:p>
  </w:comment>
  <w:comment w:id="31" w:author="信贷报告 Agent" w:date="2026-04-10T12:12:26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