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w:t>
            </w:r>
            <w:r>
              <w:rPr>
                <w:rFonts w:hint="eastAsia" w:ascii="宋体" w:hAnsi="宋体" w:cs="宋体"/>
                <w:b/>
                <w:snapToGrid w:val="0"/>
                <w:color w:val="000000"/>
                <w:kern w:val="0"/>
                <w:sz w:val="32"/>
                <w:szCs w:val="32"/>
              </w:rPr>
              <w:t>授信申报及审查审批意见表（202</w:t>
            </w:r>
            <w:r>
              <w:rPr>
                <w:rFonts w:hint="eastAsia" w:ascii="宋体" w:hAnsi="宋体" w:cs="宋体"/>
                <w:b/>
                <w:snapToGrid w:val="0"/>
                <w:color w:val="000000"/>
                <w:kern w:val="0"/>
                <w:sz w:val="32"/>
                <w:szCs w:val="32"/>
                <w:lang w:val="en-US" w:eastAsia="zh-CN"/>
              </w:rPr>
              <w:t>5</w:t>
            </w:r>
            <w:r>
              <w:rPr>
                <w:rFonts w:hint="eastAsia" w:ascii="宋体" w:hAnsi="宋体" w:cs="宋体"/>
                <w:b/>
                <w:snapToGrid w:val="0"/>
                <w:color w:val="000000"/>
                <w:kern w:val="0"/>
                <w:sz w:val="32"/>
                <w:szCs w:val="32"/>
              </w:rPr>
              <w:t>新版）</w:t>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commentRangeStart w:id="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w:t>
            </w:r>
            <w:commentRangeEnd w:id="0"/>
            <w:r>
              <w:rPr>
                <w:rStyle w:val="CommentReference"/>
              </w:rPr>
              <w:commentReference w:id="0"/>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1"/>
            <w:pPr>
              <w:pStyle w:val="11"/>
              <w:rPr>
                <w:rFonts w:hint="eastAsia"/>
              </w:rPr>
            </w:pPr>
            <w:r>
              <w:rPr>
                <w:rFonts w:hint="eastAsia" w:ascii="宋体" w:hAnsi="宋体" w:eastAsia="宋体" w:cs="宋体"/>
                <w:b/>
                <w:sz w:val="21"/>
                <w:szCs w:val="21"/>
                <w:highlight w:val="none"/>
                <w:lang w:val="en-US" w:eastAsia="zh-CN"/>
              </w:rPr>
              <w:t>申报</w:t>
            </w:r>
            <w:r>
              <w:rPr>
                <w:rFonts w:hint="eastAsia" w:ascii="宋体" w:hAnsi="宋体" w:eastAsia="宋体" w:cs="宋体"/>
                <w:b/>
                <w:sz w:val="21"/>
                <w:szCs w:val="21"/>
                <w:highlight w:val="none"/>
              </w:rPr>
              <w:t>单位：</w:t>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rPr>
              <w:tab/>
            </w:r>
            <w:r>
              <w:rPr>
                <w:rFonts w:hint="eastAsia" w:ascii="宋体" w:hAnsi="宋体" w:eastAsia="宋体" w:cs="宋体"/>
                <w:b/>
                <w:sz w:val="21"/>
                <w:szCs w:val="21"/>
                <w:highlight w:val="none"/>
                <w:lang w:val="en-US" w:eastAsia="zh-CN"/>
              </w:rPr>
              <w:t>客户</w:t>
            </w:r>
            <w:r>
              <w:rPr>
                <w:rFonts w:hint="eastAsia" w:ascii="宋体" w:hAnsi="宋体" w:eastAsia="宋体" w:cs="宋体"/>
                <w:b/>
                <w:sz w:val="21"/>
                <w:szCs w:val="21"/>
                <w:highlight w:val="none"/>
              </w:rPr>
              <w:t>经</w:t>
            </w:r>
            <w:r>
              <w:rPr>
                <w:rFonts w:hint="eastAsia" w:ascii="宋体" w:hAnsi="宋体" w:eastAsia="宋体" w:cs="宋体"/>
                <w:b/>
                <w:i w:val="0"/>
                <w:iCs w:val="0"/>
                <w:sz w:val="21"/>
                <w:szCs w:val="21"/>
                <w:highlight w:val="none"/>
              </w:rPr>
              <w:t>理</w:t>
            </w:r>
            <w:r>
              <w:rPr>
                <w:rFonts w:hint="eastAsia" w:ascii="宋体" w:hAnsi="宋体" w:eastAsia="宋体" w:cs="宋体"/>
                <w:b/>
                <w:i w:val="0"/>
                <w:iCs w:val="0"/>
                <w:sz w:val="21"/>
                <w:szCs w:val="21"/>
                <w:highlight w:val="none"/>
                <w:lang w:eastAsia="zh-CN"/>
              </w:rPr>
              <w:t>：</w:t>
            </w:r>
            <w:r>
              <w:rPr>
                <w:rFonts w:hint="eastAsia" w:ascii="宋体" w:hAnsi="宋体" w:eastAsia="宋体" w:cs="宋体"/>
                <w:b/>
                <w:i w:val="0"/>
                <w:iCs w:val="0"/>
                <w:sz w:val="21"/>
                <w:szCs w:val="21"/>
                <w:highlight w:val="none"/>
                <w:lang w:val="en-US" w:eastAsia="zh-CN"/>
              </w:rPr>
              <w:t xml:space="preserve">                联系电话</w:t>
            </w:r>
            <w:r>
              <w:rPr>
                <w:rFonts w:hint="eastAsia" w:ascii="宋体" w:hAnsi="宋体" w:eastAsia="宋体" w:cs="宋体"/>
                <w:b/>
                <w:sz w:val="21"/>
                <w:szCs w:val="21"/>
                <w:highlight w:val="none"/>
              </w:rPr>
              <w:t>：</w:t>
            </w:r>
            <w:commentRangeEnd w:id="1"/>
            <w:r>
              <w:rPr>
                <w:rStyle w:val="CommentReference"/>
              </w:rPr>
              <w:commentReference w:id="1"/>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2"/>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Cs w:val="21"/>
                <w:lang w:val="en-US" w:eastAsia="zh-CN"/>
              </w:rPr>
              <w:t>万元；上年度销售额</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Cs w:val="21"/>
                <w:lang w:val="en-US" w:eastAsia="zh-CN"/>
              </w:rPr>
              <w:t>万元；上年度末员工人数</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Cs w:val="21"/>
                <w:lang w:val="en-US" w:eastAsia="zh-CN"/>
              </w:rPr>
              <w:t>人</w:t>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3"/>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3"/>
            <w:r>
              <w:rPr>
                <w:rStyle w:val="CommentReference"/>
              </w:rPr>
              <w:commentReference w:id="3"/>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 1000万元；申报敞口 1000万元；【上一期授信敞口（若有）：  500万元】</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w:t>
            </w:r>
            <w:r>
              <w:rPr>
                <w:rFonts w:hint="eastAsia" w:ascii="宋体" w:hAnsi="宋体" w:cs="宋体"/>
                <w:snapToGrid w:val="0"/>
                <w:color w:val="000000"/>
                <w:kern w:val="0"/>
                <w:szCs w:val="21"/>
                <w:highlight w:val="none"/>
              </w:rPr>
              <w:t>品种：</w:t>
            </w:r>
            <w:r>
              <w:rPr>
                <w:rFonts w:hint="eastAsia" w:ascii="宋体" w:hAnsi="宋体" w:cs="宋体"/>
                <w:snapToGrid w:val="0"/>
                <w:color w:val="000000"/>
                <w:kern w:val="0"/>
                <w:szCs w:val="21"/>
                <w:highlight w:val="none"/>
                <w:u w:val="single"/>
                <w:lang w:val="en-US" w:eastAsia="zh-CN"/>
              </w:rPr>
              <w:t>一般短期流动资金贷款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业务期限：</w:t>
            </w:r>
            <w:r>
              <w:rPr>
                <w:rFonts w:hint="eastAsia" w:ascii="宋体" w:hAnsi="宋体" w:cs="宋体"/>
                <w:snapToGrid w:val="0"/>
                <w:color w:val="000000"/>
                <w:kern w:val="0"/>
                <w:szCs w:val="21"/>
                <w:highlight w:val="none"/>
                <w:u w:val="single"/>
                <w:lang w:val="en-US" w:eastAsia="zh-CN"/>
              </w:rPr>
              <w:t xml:space="preserve"> 12个</w:t>
            </w:r>
            <w:r>
              <w:rPr>
                <w:rFonts w:hint="eastAsia" w:ascii="宋体" w:hAnsi="宋体" w:cs="宋体"/>
                <w:snapToGrid w:val="0"/>
                <w:color w:val="000000"/>
                <w:kern w:val="0"/>
                <w:szCs w:val="21"/>
                <w:highlight w:val="none"/>
                <w:u w:val="none"/>
                <w:lang w:val="en-US" w:eastAsia="zh-CN"/>
              </w:rPr>
              <w:t>月；授信期限：</w:t>
            </w:r>
            <w:r>
              <w:rPr>
                <w:rFonts w:hint="eastAsia" w:ascii="宋体" w:hAnsi="宋体" w:cs="宋体"/>
                <w:snapToGrid w:val="0"/>
                <w:color w:val="000000"/>
                <w:kern w:val="0"/>
                <w:szCs w:val="21"/>
                <w:highlight w:val="none"/>
                <w:u w:val="single"/>
                <w:lang w:val="en-US" w:eastAsia="zh-CN"/>
              </w:rPr>
              <w:t xml:space="preserve"> 1 </w:t>
            </w:r>
            <w:r>
              <w:rPr>
                <w:rFonts w:hint="eastAsia" w:ascii="宋体" w:hAnsi="宋体" w:cs="宋体"/>
                <w:snapToGrid w:val="0"/>
                <w:color w:val="000000"/>
                <w:kern w:val="0"/>
                <w:szCs w:val="21"/>
                <w:highlight w:val="none"/>
                <w:u w:val="none"/>
                <w:lang w:val="en-US" w:eastAsia="zh-CN"/>
              </w:rPr>
              <w:t>年</w:t>
            </w:r>
            <w:r>
              <w:rPr>
                <w:rFonts w:hint="eastAsia" w:ascii="宋体" w:hAnsi="宋体" w:cs="宋体"/>
                <w:snapToGrid w:val="0"/>
                <w:color w:val="000000"/>
                <w:kern w:val="0"/>
                <w:szCs w:val="21"/>
                <w:highlight w:val="none"/>
              </w:rPr>
              <w:t xml:space="preserve">     </w:t>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抵押+</w:t>
            </w:r>
            <w:r>
              <w:rPr>
                <w:rFonts w:hint="eastAsia" w:ascii="宋体" w:hAnsi="宋体" w:cs="宋体"/>
                <w:snapToGrid w:val="0"/>
                <w:color w:val="000000"/>
                <w:kern w:val="0"/>
                <w:szCs w:val="21"/>
                <w:highlight w:val="none"/>
                <w:u w:val="single"/>
              </w:rPr>
              <w:t>500万</w:t>
            </w:r>
            <w:r>
              <w:rPr>
                <w:rFonts w:hint="eastAsia" w:ascii="宋体" w:hAnsi="宋体" w:cs="宋体"/>
                <w:snapToGrid w:val="0"/>
                <w:color w:val="000000"/>
                <w:kern w:val="0"/>
                <w:szCs w:val="21"/>
                <w:highlight w:val="none"/>
                <w:u w:val="single"/>
                <w:lang w:val="en-US" w:eastAsia="zh-CN"/>
              </w:rPr>
              <w:t>信用</w:t>
            </w:r>
            <w:r>
              <w:rPr>
                <w:rFonts w:hint="eastAsia" w:ascii="宋体" w:hAnsi="宋体" w:cs="宋体"/>
                <w:snapToGrid w:val="0"/>
                <w:color w:val="000000"/>
                <w:kern w:val="0"/>
                <w:szCs w:val="21"/>
                <w:highlight w:val="none"/>
                <w:u w:val="none"/>
                <w:lang w:val="en-US"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授信担保方式：</w:t>
            </w:r>
            <w:r>
              <w:rPr>
                <w:rFonts w:hint="eastAsia" w:ascii="宋体" w:hAnsi="宋体" w:cs="宋体"/>
                <w:snapToGrid w:val="0"/>
                <w:color w:val="000000"/>
                <w:kern w:val="0"/>
                <w:szCs w:val="21"/>
                <w:highlight w:val="none"/>
                <w:u w:val="single"/>
                <w:lang w:val="en-US" w:eastAsia="zh-CN"/>
              </w:rPr>
              <w:t xml:space="preserve">  500万抵押  </w:t>
            </w:r>
            <w:r>
              <w:rPr>
                <w:rFonts w:hint="eastAsia" w:ascii="宋体" w:hAnsi="宋体" w:cs="宋体"/>
                <w:snapToGrid w:val="0"/>
                <w:color w:val="000000"/>
                <w:kern w:val="0"/>
                <w:szCs w:val="21"/>
                <w:highlight w:val="none"/>
                <w:u w:val="none"/>
                <w:lang w:val="en-US" w:eastAsia="zh-CN"/>
              </w:rPr>
              <w:t>】</w:t>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2016年3月，经营地址（坐落地点、场地面积、自有或租用、是否已对外抵押）：位于福州市马尾区罗星东路2号海峡经贸生产经营福州保税区综合大楼15层20#（自贸区内）。材料未提供具体场地面积及产权性质（自有或租用）信息，亦未提供是否已对外抵押信息。该信息缺失影响对借款人经营稳定性和潜在固定资产价值的判断。</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实际主营业务（请勿直接罗列营业执照经营范围表述）：主营业务为智慧水利与智慧教育解决方案的提供与实施。具体而言，智慧水利业务主要为水利行业客户提供包括大坝安全智能监测、流域“四预”（预报、预警、预演、预案）系统、水库运行管理等在内的平台解决方案；智慧教育业务主要为高校及政企客户提供数字人才培养解决方案及相关的教育信息化服务。两项业务收入占比分别为46%和54%。</w:t>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commentRangeStart w:id="4"/>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t>上年度末社保</w:t>
            </w:r>
            <w:r>
              <w:rPr>
                <w:rFonts w:hint="eastAsia" w:ascii="宋体" w:hAnsi="宋体" w:cs="宋体"/>
                <w:snapToGrid w:val="0"/>
                <w:color w:val="000000"/>
                <w:kern w:val="0"/>
                <w:szCs w:val="21"/>
              </w:rPr>
              <w:t>人数</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人；注册资本：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万元、实收资本：</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万元</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法定代表人：</w:t>
            </w:r>
            <w:r>
              <w:rPr>
                <w:rFonts w:hint="eastAsia" w:ascii="宋体" w:hAnsi="宋体" w:cs="宋体"/>
                <w:snapToGrid w:val="0"/>
                <w:color w:val="000000"/>
                <w:kern w:val="0"/>
                <w:szCs w:val="21"/>
                <w:highlight w:val="none"/>
                <w:u w:val="single"/>
              </w:rPr>
              <w:t xml:space="preserve">       </w:t>
            </w:r>
            <w:r>
              <w:rPr>
                <w:rFonts w:hint="eastAsia" w:ascii="宋体" w:hAnsi="宋体" w:cs="宋体"/>
                <w:snapToGrid w:val="0"/>
                <w:color w:val="000000"/>
                <w:kern w:val="0"/>
                <w:szCs w:val="21"/>
                <w:highlight w:val="none"/>
              </w:rPr>
              <w:t>。</w:t>
            </w:r>
            <w:commentRangeEnd w:id="4"/>
            <w:r>
              <w:rPr>
                <w:rStyle w:val="CommentReference"/>
              </w:rPr>
              <w:commentReference w:id="4"/>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4100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4100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4100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4100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4100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4100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4100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4100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16400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16400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t>已取得资质情况：材料未提供排污许可证、排污登记回执或其他行业特定经营资质（如信息系统集成资质等）信息。鉴于其主营业务为信息技术服务，排污许可可能不涉及，但关键行业准入资质的缺失影响对其业务合规性与承接项目能力的判断。</w:t>
              <w:br/>
              <w:t>上年度末社保人数：材料未提供。该信息缺失影响对借款人实际经营规模和人力成本负担的判断。</w:t>
              <w:br/>
              <w:t>注册资本：材料未提供。实收资本：材料未提供。该信息缺失影响对借款人资本实力和股东投入情况的判断。</w:t>
              <w:br/>
              <w:t>法定代表人：材料未提供法定代表人姓名，仅提供职务为“主管会计”。该信息异常，需核实公司治理结构的规范性。</w:t>
              <w:br/>
              <w:t>最新股权结构表：材料未提供。过往两年企业股权变动情况及变动原因：材料未提供。该信息缺失使得无法分析股权稳定性、实际控制人控制力以及近期是否存在重大股权变更风险。</w:t>
              <w:br/>
              <w:t>股权穿透后实际控制人持股比例：实际控制人为黄祖海。材料未提供其具体持股比例。该信息缺失影响对实际控制人控制力及与公司利益绑定程度的判断。</w:t>
            </w:r>
            <w:r>
              <w:rPr>
                <w:rFonts w:hint="eastAsia" w:ascii="宋体" w:hAnsi="宋体" w:cs="宋体"/>
                <w:snapToGrid w:val="0"/>
                <w:kern w:val="0"/>
                <w:szCs w:val="21"/>
                <w:highlight w:val="none"/>
                <w:u w:val="single"/>
                <w:lang w:val="en-US" w:eastAsia="zh-CN"/>
              </w:rPr>
            </w:r>
          </w:p>
          <w:p w14:paraId="360105F5">
            <w:commentRangeStart w:id="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w:t>
            </w:r>
            <w:commentRangeEnd w:id="5"/>
            <w:r>
              <w:rPr>
                <w:rStyle w:val="CommentReference"/>
              </w:rPr>
              <w:commentReference w:id="5"/>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材料未提供本次授信申报前的实控人面访信息，包括具体面访时间及双方会面人员。根据材料，无法确认我行人员是否已与实控人黄祖海进行过实地访谈。</w:t>
              <w:br/>
              <w:br/>
              <w:t>实控人黄祖海为公司的创始人与核心管理者，其个人履历显示其自2000年起即长期深耕于网络技术行业，先后在福建实达网络科技有限公司、福建星网锐捷网络有限公司等业内知名企业担任技术及管理职务，行业经验超过二十年。自2012年创立中锐网络以来，其一直担任公司法定代表人及最高负责人，显示出对企业的深度掌控和经营的连续性。其专业背景与公司当前聚焦的智慧水利、智慧教育等信息技术服务主业高度契合。</w:t>
              <w:br/>
              <w:br/>
              <w:t>从企业经营成果推断，在实控人带领下，公司在智慧水利领域已形成具备自主知识产权的系列解决方案，并获得省级科技进步奖，产品应用于福建省内超300座水库；在智慧教育领域与全国超1000所高校建立了合作关系。这反映出实控人具备较强的技术商业化能力和一定的行业资源整合能力。此外，企业已获得包括交通银行、兴业银行、中国银行等多家金融机构的授信支持，合计敞口4440万元，表明其过往的信用记录和经营能力得到了同业一定程度的认可。</w:t>
              <w:br/>
              <w:br/>
              <w:t>然而，由于缺乏直接面访，无法对实控人当前的身体精神状况、家庭稳定性、个人品行、经营理念的稳健性、对本行业未来发展的具体判断以及对企业债务的真实偿付意愿进行第一手评估。特别是企业融资明细中显示有多笔贷款由实控人黄祖海及关联方提供个人连带责任担保，其个人的偿债意愿与能力至关重要。面访信息的缺失，使得审批人难以对实控人的个人风险进行直接、全面的定性评价，增加了授信决策中对于实际控制人个人层面风险判断的不确定性。建议在条件允许时予以补访。</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3.</w:t>
            </w:r>
            <w:r>
              <w:rPr>
                <w:rFonts w:hint="eastAsia" w:ascii="宋体" w:hAnsi="宋体" w:cs="宋体"/>
                <w:b/>
                <w:bCs/>
                <w:snapToGrid w:val="0"/>
                <w:color w:val="000000"/>
                <w:kern w:val="0"/>
                <w:szCs w:val="21"/>
                <w:highlight w:val="none"/>
                <w:lang w:val="en-US" w:eastAsia="zh-CN"/>
              </w:rPr>
              <w:t>实地走访情况：</w:t>
            </w:r>
            <w:r>
              <w:rPr>
                <w:rFonts w:hint="eastAsia" w:ascii="宋体" w:hAnsi="宋体" w:cs="宋体"/>
                <w:b w:val="0"/>
                <w:bCs w:val="0"/>
                <w:snapToGrid w:val="0"/>
                <w:kern w:val="0"/>
                <w:szCs w:val="21"/>
                <w:highlight w:val="none"/>
                <w:u w:val="single"/>
                <w:lang w:val="en-US" w:eastAsia="zh-CN"/>
              </w:rPr>
              <w:t>描述实地走访观察到的车间运作情况、存货情况、内部办公区人员及管理等情况</w:t>
            </w:r>
            <w:r>
              <w:rPr>
                <w:rFonts w:hint="eastAsia" w:ascii="宋体" w:hAnsi="宋体" w:cs="宋体"/>
                <w:b w:val="0"/>
                <w:bCs w:val="0"/>
                <w:snapToGrid w:val="0"/>
                <w:kern w:val="0"/>
                <w:szCs w:val="21"/>
                <w:highlight w:val="none"/>
                <w:u w:val="single"/>
              </w:rPr>
              <w:t>。</w:t>
            </w:r>
            <w:r>
              <w:rPr>
                <w:rFonts w:hint="eastAsia" w:ascii="宋体" w:hAnsi="宋体" w:cs="宋体"/>
                <w:b w:val="0"/>
                <w:bCs w:val="0"/>
                <w:snapToGrid w:val="0"/>
                <w:color w:val="auto"/>
                <w:kern w:val="0"/>
                <w:szCs w:val="21"/>
                <w:highlight w:val="none"/>
                <w:u w:val="single"/>
                <w:lang w:eastAsia="zh-CN"/>
              </w:rPr>
              <w:t>如：</w:t>
            </w:r>
            <w:r>
              <w:rPr>
                <w:rFonts w:hint="eastAsia" w:ascii="宋体" w:hAnsi="宋体" w:cs="宋体"/>
                <w:b w:val="0"/>
                <w:bCs w:val="0"/>
                <w:snapToGrid w:val="0"/>
                <w:color w:val="000000"/>
                <w:kern w:val="0"/>
                <w:szCs w:val="21"/>
                <w:highlight w:val="none"/>
                <w:u w:val="single"/>
                <w:lang w:val="en-US" w:eastAsia="zh-CN"/>
              </w:rPr>
              <w:t>车间运转正常，人员正常到岗上班，存货与报表相匹配。</w:t>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2025年</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500</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福建海峡银行</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流动资金贷款</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5000</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r>
                    <w:t>2026年</w:t>
                  </w: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r>
                    <w:t>500</w:t>
                  </w: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r>
                    <w:t>福建海峡银行</w:t>
                  </w: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r>
                    <w:t>流动资金贷款</w:t>
                  </w: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r>
                    <w:t>5000</w:t>
                  </w: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5.与我行历史授信合作（如为存量客户，请填写）：</w:t>
            </w:r>
            <w:r>
              <w:rPr>
                <w:rFonts w:hint="eastAsia" w:ascii="宋体" w:hAnsi="宋体" w:eastAsia="宋体" w:cs="宋体"/>
                <w:b/>
                <w:bCs/>
                <w:snapToGrid w:val="0"/>
                <w:kern w:val="0"/>
                <w:sz w:val="21"/>
                <w:szCs w:val="21"/>
                <w:highlight w:val="none"/>
                <w:u w:val="single"/>
                <w:lang w:val="en-US" w:eastAsia="zh-CN" w:bidi="ar-SA"/>
              </w:rPr>
              <w:t>自2017年以来，我行与借款人建立授信合作关系，近三年分别给予其500、400、500万授信敞口。</w:t>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日，经531系统查询，借款人</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日提贷</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万元，到期日</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年</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月</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日，贷款采取</w:t>
                  </w:r>
                  <w:r>
                    <w:rPr>
                      <w:rFonts w:hint="eastAsia" w:ascii="宋体" w:hAnsi="宋体" w:eastAsia="宋体" w:cs="宋体"/>
                      <w:snapToGrid w:val="0"/>
                      <w:color w:val="000000"/>
                      <w:kern w:val="0"/>
                      <w:sz w:val="18"/>
                      <w:szCs w:val="18"/>
                      <w:highlight w:val="none"/>
                      <w:u w:val="single"/>
                      <w:vertAlign w:val="baseline"/>
                      <w:lang w:val="en-US" w:eastAsia="zh-CN"/>
                    </w:rPr>
                    <w:t>自主</w:t>
                  </w:r>
                  <w:r>
                    <w:rPr>
                      <w:rFonts w:hint="eastAsia" w:ascii="宋体" w:hAnsi="宋体" w:eastAsia="宋体" w:cs="宋体"/>
                      <w:snapToGrid w:val="0"/>
                      <w:color w:val="000000"/>
                      <w:kern w:val="0"/>
                      <w:sz w:val="18"/>
                      <w:szCs w:val="18"/>
                      <w:highlight w:val="none"/>
                      <w:u w:val="none"/>
                      <w:vertAlign w:val="baseline"/>
                      <w:lang w:val="en-US" w:eastAsia="zh-CN"/>
                    </w:rPr>
                    <w:t>支付方式发放，通过调取借款人账户流水，1.</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万元向</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有限公司支付</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货款（已提供发票）；2.</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万元转至工行同户名账户，穿透查看用于向</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个人支付</w:t>
                  </w:r>
                  <w:r>
                    <w:rPr>
                      <w:rFonts w:hint="eastAsia" w:ascii="宋体" w:hAnsi="宋体" w:eastAsia="宋体" w:cs="宋体"/>
                      <w:snapToGrid w:val="0"/>
                      <w:color w:val="000000"/>
                      <w:kern w:val="0"/>
                      <w:sz w:val="18"/>
                      <w:szCs w:val="18"/>
                      <w:highlight w:val="none"/>
                      <w:u w:val="single"/>
                      <w:vertAlign w:val="baseline"/>
                      <w:lang w:val="en-US" w:eastAsia="zh-CN"/>
                    </w:rPr>
                    <w:t>采购竹刨花原料</w:t>
                  </w:r>
                  <w:r>
                    <w:rPr>
                      <w:rFonts w:hint="eastAsia" w:ascii="宋体" w:hAnsi="宋体" w:eastAsia="宋体" w:cs="宋体"/>
                      <w:snapToGrid w:val="0"/>
                      <w:color w:val="000000"/>
                      <w:kern w:val="0"/>
                      <w:sz w:val="18"/>
                      <w:szCs w:val="18"/>
                      <w:highlight w:val="none"/>
                      <w:u w:val="none"/>
                      <w:vertAlign w:val="baseline"/>
                      <w:lang w:val="en-US" w:eastAsia="zh-CN"/>
                    </w:rPr>
                    <w:t>款</w:t>
                  </w:r>
                  <w:r>
                    <w:rPr>
                      <w:rFonts w:hint="eastAsia" w:ascii="宋体" w:hAnsi="宋体" w:eastAsia="宋体" w:cs="宋体"/>
                      <w:snapToGrid w:val="0"/>
                      <w:color w:val="000000"/>
                      <w:kern w:val="0"/>
                      <w:sz w:val="18"/>
                      <w:szCs w:val="18"/>
                      <w:highlight w:val="none"/>
                      <w:u w:val="single"/>
                      <w:vertAlign w:val="baseline"/>
                      <w:lang w:val="en-US" w:eastAsia="zh-CN"/>
                    </w:rPr>
                    <w:t xml:space="preserve">   </w:t>
                  </w:r>
                  <w:r>
                    <w:rPr>
                      <w:rFonts w:hint="eastAsia" w:ascii="宋体" w:hAnsi="宋体" w:eastAsia="宋体" w:cs="宋体"/>
                      <w:snapToGrid w:val="0"/>
                      <w:color w:val="000000"/>
                      <w:kern w:val="0"/>
                      <w:sz w:val="18"/>
                      <w:szCs w:val="18"/>
                      <w:highlight w:val="none"/>
                      <w:u w:val="none"/>
                      <w:vertAlign w:val="baseline"/>
                      <w:lang w:val="en-US" w:eastAsia="zh-CN"/>
                    </w:rPr>
                    <w:t>万元，其余用于支付税款；3.XX万元元转至农行同户名账户(基本户），用于向</w:t>
                  </w:r>
                  <w:r>
                    <w:rPr>
                      <w:rFonts w:hint="eastAsia" w:ascii="宋体" w:hAnsi="宋体" w:eastAsia="宋体" w:cs="宋体"/>
                      <w:snapToGrid w:val="0"/>
                      <w:color w:val="000000"/>
                      <w:kern w:val="0"/>
                      <w:sz w:val="18"/>
                      <w:szCs w:val="18"/>
                      <w:highlight w:val="none"/>
                      <w:u w:val="single"/>
                      <w:vertAlign w:val="baseline"/>
                      <w:lang w:val="en-US" w:eastAsia="zh-CN"/>
                    </w:rPr>
                    <w:t>37</w:t>
                  </w:r>
                  <w:r>
                    <w:rPr>
                      <w:rFonts w:hint="eastAsia" w:ascii="宋体" w:hAnsi="宋体" w:eastAsia="宋体" w:cs="宋体"/>
                      <w:snapToGrid w:val="0"/>
                      <w:color w:val="000000"/>
                      <w:kern w:val="0"/>
                      <w:sz w:val="18"/>
                      <w:szCs w:val="18"/>
                      <w:highlight w:val="none"/>
                      <w:u w:val="none"/>
                      <w:vertAlign w:val="baseline"/>
                      <w:lang w:val="en-US" w:eastAsia="zh-CN"/>
                    </w:rPr>
                    <w:t>个员工支付工资款。</w:t>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贷款资金用于日常经营周转，不得用于固定资产、股权等投资，不得用于购买理财产品</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借款人需按季提供财务报表</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已提供2025年12月财务报表</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关注借款人经营情况，确保贷款资金按约定用途使用</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关注借款人关联交易情况</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已关注到与关联方福建中锐汉鼎数字科技有限公司、福建中锐教育科技有限公司、北京中锐青云科技有限公司、厦门中锐软件科技有限公司的资金往来</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经查询我行531系统，未发现针对福建中锐网络股份有限公司及其法定代表人、实际控制人黄祖海的黄色或红色预警信号。材料未提供企业及实控人黄祖海在我行及其他金融机构的详细信用记录、对外担保、涉诉及被执行信息。由于缺乏负面风险信号的佐证，亦无法核实其历史信用履约的完整情况，在审批决策中需关注此信息缺口，建议结合征信报告等外部信息进行交叉验证。</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6"/>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commentRangeEnd w:id="6"/>
            <w:r>
              <w:rPr>
                <w:rStyle w:val="CommentReference"/>
              </w:rPr>
              <w:commentReference w:id="6"/>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材料未提供法定代表人姓名、国籍、婚姻状况、籍贯、出生年份、学历及行业工作经历等信息。该信息缺失导致无法评估法定代表人的个人背景、行业经验及管理能力，对判断企业治理结构及实际经营决策者构成影响。</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实际控制人：黄祖海，中国国籍，材料未提供婚姻状况，材料未提供籍贯，根据身份证号350124197704201694推断为1977年4月出生，湖南大学电子商务专业本科学历。行业工作经历如下：2000年5月至2001年12月，任福建实达网络科技有限公司技术工程师；2002年1月至2003年1月，任福建实达网络科技有限公司技术经理；2003年1月至2011年12月，任福建星网锐捷网络有限公司技术部总经理；2012年1月至2016年3月，任福建中锐网络科技有限公司法定代表人、执行董事兼总经理；2016年3月至今，任福建中锐网络股份有限公司董事长兼（材料未提供具体职务，推断为董事长兼总经理或其他核心职务）。实控人配偶为康恩慧。</w:t>
              <w:br/>
              <w:t>分析：实控人黄祖海在信息技术行业拥有超过20年的连续从业经验，职业轨迹清晰，从技术岗位起步，逐步晋升至技术管理及企业全面管理岗位。其自2012年起即担任申请主体的前身及现公司的最高管理者，对公司的业务发展、技术路线及经营管理具有深度掌控力和连续性，有利于企业战略的稳定执行。材料未提供其个人信用、对外投资、涉诉及负面信息，需结合征信等外部核查进行补充评估。</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借款企业福建中锐网络股份有限公司（以下简称“中锐网络”）共披露五家关联企业，均为其控股子公司。其中，福建中锐汉鼎信息技术有限公司、福建中锐教育科技有限公司、北京中锐青云科技有限公司、厦门中锐软件科技有限公司四家为100%控股，中锐海沃水利技术(福建)有限公司为84%控股。</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关联企业情况小结：关联企业经营情况分化明显，总体规模有限，与借款企业主营业务协同性较强，但部分企业经营活动停滞。具体分析如下：</w:t>
              <w:br/>
              <w:t>1. 福建中锐汉鼎信息技术有限公司：成立于2018年，注册资本1000万元，主营智慧水利业务，与借款企业核心业务板块一致。上年实现主营业务收入1223万元，是五家关联企业中经营规模最大、唯一收入过千万的实体，显示其具备一定的业务开展能力。</w:t>
              <w:br/>
              <w:t>2. 福建中锐教育科技有限公司：成立于2022年，注册资本1000万元，主营智慧教育业务，与借款企业另一核心业务板块一致。上年主营业务收入仅21万元，考虑到其成立时间较短，尚处于市场开拓初期，经营规模很小。</w:t>
              <w:br/>
              <w:t>3. 北京中锐青云科技有限公司：成立于2020年，注册资本1000万元，主营产教融合创新服务，与借款企业智慧教育业务相关。上年主营业务收入204万元，经营规模较小。</w:t>
              <w:br/>
              <w:t>4. 厦门中锐软件科技有限公司：成立于2016年，注册资本1200万元，主营软硬件销售。上年主营业务收入仅7万元，显示其近一年几乎无实质性经营活动。</w:t>
              <w:br/>
              <w:t>5. 中锐海沃水利技术(福建)有限公司：成立于2018年，注册资本1000万元，主营智慧水利业务。上年主营业务收入为0，显示其近一年无经营活动，处于停业或未开展业务状态。</w:t>
              <w:br/>
              <w:t>影响分析：材料提供了关联企业的基本股权结构、主营业务及上年收入数据，但未提供各关联企业的资产负债、利润、现金流等详细财务数据，亦未提供关联交易的具体金额、性质及定价公允性说明。这使得审批人无法全面评估关联企业的整体财务健康状况、对借款企业的潜在支持或风险传导能力，以及关联交易是否可能侵占借款企业信贷资金。从现有数据看，除中锐汉鼎外，其余关联企业经营贡献微弱或停滞，对借款企业合并报表的营收及利润贡献有限，整体关联方风险可控，但需关注借款企业是否存在对经营停滞子公司的资金占用或担保等潜在风险。</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14:paraId="46CC9C85">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eastAsia="宋体" w:cs="宋体"/>
                      <w:snapToGrid w:val="0"/>
                      <w:color w:val="000000"/>
                      <w:kern w:val="0"/>
                      <w:sz w:val="18"/>
                      <w:szCs w:val="18"/>
                      <w:highlight w:val="none"/>
                      <w:lang w:val="en-US" w:eastAsia="zh-CN"/>
                    </w:rPr>
                    <w:t>2025.</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材料未提供福建中锐网络股份有限公司的集团合并财务数据。根据现有材料，仅能获取该单一法人主体的基本信息及融资情况，无法判断其是否存在纳入合并报表范围的子公司或关联企业集团。</w:t>
              <w:br/>
              <w:br/>
              <w:t>该信息的缺失对授信审批判断构成显著影响：第一，无法评估企业整体的资产规模、负债结构、盈利能力和现金流状况，难以准确衡量其真实的财务实力和偿债能力。第二，无法识别集团内部的关联交易、资金往来及担保关系，可能隐藏风险传导路径。第三，在客户已有总计4640万元银行融资（已用4440万元）的情况下，缺乏集团层面的财务全景视图，将影响对本笔新增授信总额度合理性及客户整体负债承受能力的判断。建议要求客户补充提供集团合并资产负债表、利润表及现金流量表等关键财务资料。</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业务为智慧水利与智慧教育解决方案的提供与实施。在智慧水利领域，企业提供涵盖水灾害、水工程、水资源、水生态水环境、水监督、水政务六大重点应用的解决方案，其核心产品包括大坝安全智能监测平台、智慧水利流域四预系统、水库运行管理矩阵平台等。材料显示，该系列方案已在福建省超过300座大中小型水库得到应用，并获得“2022年度福建省科技进步奖二等奖、水利科学技术奖一等奖”，表明其产品具备一定的技术先进性和市场认可度，主要应用于政府水利部门及水库管理单位，服务于水利设施的智能化升级与安全管控需求。在智慧教育领域，企业聚焦网络、人工智能及智慧行业，提供数字人才培养解决方案，旨在对接产业用人需求与院校人才培养。材料提及企业与全国超过1000所高校及科研院所有产学研合作，并服务超过1600家政企客户，显示其业务模式侧重于与教育机构及用人企业的双向对接，市场应用场景明确。</w:t>
              <w:br/>
              <w:br/>
              <w:t>从收入结构看，智慧水利与智慧教育业务占比分别为46%和54%，构成企业两大核心收入支柱，业务结构相对均衡。材料未提供企业主要产品的具体技术参数（如芯片制程）、单价、年销量及市场占有率数据，亦未提供其解决方案所涉及的具体硬件、软件构成及成本结构。这使得审批人难以精确评估其产品的技术壁垒、成本竞争力及在细分市场的真实地位。材料中提及的“芯片设计”与“28nm级芯片”信息，与企业已确认的“智慧水利”、“智慧教育”解决方案提供商画像存在直接矛盾，该信息无法从现有客户材料中得到任何事实支撑，应予以忽略，所有分析需基于已确认的智慧水利与智慧教育业务展开。</w:t>
              <w:br/>
              <w:br/>
              <w:t>综合来看，企业业务紧扣“智慧+”国家政策导向，在区域水利信息化市场有落地案例和奖项背书，在教育领域有广泛的合作网络。但核心产品的具体形态、技术细节及市场竞争格局信息缺失，需关注其解决方案的同质化风险及项目制收入的可持续性。</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2.产品优势、企业核心竞争力：企业主营业务为智慧水利与智慧教育解决方案的提供与实施，属于技术驱动型业务。其核心竞争力主要体现在以下方面：</w:t>
              <w:br/>
              <w:br/>
              <w:t>在智慧水利领域，企业具备较高的技术准入门槛与自主研发能力。材料显示，企业已打造包括大坝安全智能监测平台、智慧水利流域四预系统等在内的系列平台解决方案，其技术成果获得行业认可，荣获“2022年度福建省科技进步奖二等奖、水利科学技术奖一等奖”。该系列方案已在福建省超过300座大中小型水库成功应用，形成了可验证的落地案例和区域影响力，这构成了其在特定区域水利信息化市场的核心竞争壁垒。</w:t>
              <w:br/>
              <w:br/>
              <w:t>在智慧教育领域，企业核心竞争力在于其构建的产学研合作生态。材料显示，企业与全国超过1000所高校及科研院所建立了紧密的产学研合作关系，并服务超过1600家政企客户。这种广泛的院校与客户网络，使其数字人才培养解决方案能够深度对接产业需求，形成了渠道与生态层面的优势。</w:t>
              <w:br/>
              <w:br/>
              <w:t>在产业链地位方面，企业作为系统集成与解决方案提供商，其经营模式显示出一定的上下游议价能力。销售端，材料提及采用“预收款和账期或全款的收款方式”，从下游客户明细看，主要客户结算方式均为分期，但结合其表述，存在争取预收款以减少资金垫付的意图。采购端，材料明确“主要采购商给予了我司较为优越的信用账期”，上游供应商明细显示主要供应商结算方式均为分期，这有利于其营运资金管理。收入结构相对均衡，水利与教育板块占比分别为46%与54%，降低了单一行业波动的风险。</w:t>
              <w:br/>
              <w:br/>
              <w:t>材料未提供企业注册资本及最近年度营收规模的具体数据，这影响了对企业资本实力和历史经营规模的精确判断，在评估其业务扩张的资本支撑和收入增长稳定性时存在信息缺口。</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材料未提供关于产品生产、生产工艺流程、具体产品销量及产能利用率、产销率、用电量等量化信息。材料仅说明公司主营业务为智慧水利与智慧教育解决方案的提供与实施，属于信息技术服务业，其“产品”主要为软件平台、解决方案及相关的技术服务，而非实体产品的生产制造。</w:t>
              <w:br/>
              <w:br/>
              <w:t>关于销售收入及结构占比，材料提供了收入构成比例：智慧水利业务收入占比约为46%，智慧教育业务收入占比约为54%。该信息表明公司业务结构相对均衡，教育板块略占主导。两项业务均服务于国家政策支持领域（智慧水利、产教融合），具备一定的政策契合度。</w:t>
              <w:br/>
              <w:br/>
              <w:t>由于缺乏具体的年度销售收入总额、各业务板块的绝对收入金额、历史收入增长数据、主要客户销售贡献及合同执行周期等信息，无法对公司的销售规模、收入稳定性、成长性及市场地位进行量化评估。这将对审批中判断其实际经营规模、现金流生成能力及还款来源的可靠性造成显著影响。</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主要上游（前五大）：根据材料，企业前五大供应商及上年采购额（单位：万元）如下：锐捷网络股份有限公司（943万元，占比19.77%）、北京星链南天科技有限公司（186万元，占比3.90%）、广州浩瀚星图信息技术有限公司（172万元，占比3.61%）、新天科技股份有限公司（90万元，占比1.88%）、精导信息技术有限公司（89万元，占比1.87%）。前五大供应商合计采购额1480万元，占总采购额的比例为31.03%，集中度适中。供应商主要为信息技术及设备厂商，其中锐捷网络股份有限公司为知名网络设备提供商，供应商资质总体良好。材料未提供除上年采购额外其他年度的采购数据，无法进行趋势对比分析。</w:t>
              <w:br/>
              <w:br/>
              <w:t>②主要下游（前五大）：根据材料，企业前五大客户及上年销售额（单位：万元）如下：涵江水利局（1116万元，占比10.02%）、福建省翔远电子科技有限公司（1122万元，占比9.92%）、三明水利水电工程有限公司顺昌分公司（572万元，占比5.07%）、福州市福清公路事业发展中心（396万元，占比3.51%）、济南展雄电子有限公司（356万元，占比2.99%）。前五大客户合计销售额3562万元，占总销售额的比例为31.51%，客户集中度较低，结构分散。客户类型包括政府部门（水利局、公路事业发展中心）、国有企业分公司及民营企业，与公司智慧水利、智慧教育两大主营业务相匹配。其中，涵江水利局等政府及国企背景客户支付能力较强，但福建省翔远电子科技有限公司、济南展雄电子有限公司等民营企业客户需关注其信用风险。材料未提供客户合作稳定性及历史回款记录的具体信息，影响对下游客户质量及应收账款风险的深入评估。</w:t>
              <w:br/>
              <w:br/>
              <w:t>③经营账期：材料中企业自述“销售收款采用预收款和账期或全款的收款方式，尽量减少垫付资金的投入；采购付款是预付款和账期款方式，主要采购商给予了我司较为优越的信用账期”。结合上下游明细表，所有列示的上下游结算方式均为“分期”，表明企业存在普遍的信用交易。材料未提供具体的上下游账期天数、预付款比例、应收账款及应付账款周转天数等量化数据。因此，无法精确计算营运资金周转效率，也无法验证模板中“上游采购一般预付或现付，下游账期较长”及“总体营运资金周转效率偏慢，一年周转约1次”等描述。账期信息的具体数据缺失，对评估企业现金流压力、营运资金缺口及本次授信需求的合理性判断构成关键影响。</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commentRangeStart w:id="7"/>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w:t>
            </w:r>
            <w:r>
              <w:rPr>
                <w:rFonts w:hint="eastAsia" w:ascii="宋体" w:hAnsi="宋体" w:cs="宋体"/>
                <w:b/>
                <w:bCs/>
                <w:snapToGrid w:val="0"/>
                <w:color w:val="000000"/>
                <w:kern w:val="0"/>
                <w:szCs w:val="21"/>
                <w:highlight w:val="none"/>
              </w:rPr>
              <w:t>主要上游</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lang w:val="en-US" w:eastAsia="zh-CN"/>
              </w:rPr>
              <w:t>前五大</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rPr>
              <w:t>：</w:t>
            </w:r>
            <w:r>
              <w:rPr>
                <w:rFonts w:hint="eastAsia" w:ascii="宋体" w:hAnsi="宋体" w:cs="宋体"/>
                <w:b/>
                <w:bCs/>
                <w:snapToGrid w:val="0"/>
                <w:color w:val="000000"/>
                <w:kern w:val="0"/>
                <w:szCs w:val="21"/>
                <w:highlight w:val="none"/>
                <w:lang w:val="en-US" w:eastAsia="zh-CN"/>
              </w:rPr>
              <w:t xml:space="preserve">  </w:t>
            </w:r>
            <w:r>
              <w:rPr>
                <w:rFonts w:hint="eastAsia" w:ascii="宋体" w:hAnsi="宋体" w:cs="宋体"/>
                <w:b/>
                <w:bCs/>
                <w:snapToGrid w:val="0"/>
                <w:color w:val="000000"/>
                <w:kern w:val="0"/>
                <w:szCs w:val="21"/>
                <w:highlight w:val="none"/>
              </w:rPr>
              <w:t xml:space="preserve"> </w:t>
            </w:r>
            <w:r>
              <w:rPr>
                <w:rFonts w:hint="eastAsia" w:ascii="宋体" w:hAnsi="宋体" w:cs="宋体"/>
                <w:b/>
                <w:bCs/>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单位：万元</w:t>
            </w:r>
            <w:commentRangeEnd w:id="7"/>
            <w:r>
              <w:rPr>
                <w:rStyle w:val="CommentReference"/>
              </w:rPr>
              <w:commentReference w:id="7"/>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commentRangeStart w:id="8"/>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w:t>
            </w:r>
            <w:r>
              <w:rPr>
                <w:rFonts w:hint="eastAsia" w:ascii="宋体" w:hAnsi="宋体" w:cs="宋体"/>
                <w:b/>
                <w:bCs/>
                <w:snapToGrid w:val="0"/>
                <w:color w:val="000000"/>
                <w:kern w:val="0"/>
                <w:szCs w:val="21"/>
                <w:highlight w:val="none"/>
              </w:rPr>
              <w:t>主要下游</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lang w:val="en-US" w:eastAsia="zh-CN"/>
              </w:rPr>
              <w:t>前五大</w:t>
            </w:r>
            <w:r>
              <w:rPr>
                <w:rFonts w:hint="eastAsia" w:ascii="宋体" w:hAnsi="宋体" w:cs="宋体"/>
                <w:b/>
                <w:bCs/>
                <w:snapToGrid w:val="0"/>
                <w:color w:val="000000"/>
                <w:kern w:val="0"/>
                <w:szCs w:val="21"/>
                <w:highlight w:val="none"/>
                <w:lang w:eastAsia="zh-CN"/>
              </w:rPr>
              <w:t>）</w:t>
            </w:r>
            <w:r>
              <w:rPr>
                <w:rFonts w:hint="eastAsia" w:ascii="宋体" w:hAnsi="宋体" w:cs="宋体"/>
                <w:b/>
                <w:bCs/>
                <w:snapToGrid w:val="0"/>
                <w:color w:val="000000"/>
                <w:kern w:val="0"/>
                <w:szCs w:val="21"/>
                <w:highlight w:val="none"/>
              </w:rPr>
              <w:t>：</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单位：万元</w:t>
            </w:r>
            <w:commentRangeEnd w:id="8"/>
            <w:r>
              <w:rPr>
                <w:rStyle w:val="CommentReference"/>
              </w:rPr>
              <w:commentReference w:id="8"/>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③</w:t>
            </w:r>
            <w:r>
              <w:rPr>
                <w:rFonts w:hint="eastAsia" w:ascii="宋体" w:hAnsi="宋体" w:cs="宋体"/>
                <w:b/>
                <w:bCs/>
                <w:snapToGrid w:val="0"/>
                <w:color w:val="000000"/>
                <w:kern w:val="0"/>
                <w:szCs w:val="21"/>
                <w:highlight w:val="none"/>
              </w:rPr>
              <w:t>经营账期：</w:t>
            </w:r>
            <w:r>
              <w:rPr>
                <w:rFonts w:hint="eastAsia" w:ascii="宋体" w:hAnsi="宋体" w:cs="宋体"/>
                <w:snapToGrid w:val="0"/>
                <w:kern w:val="0"/>
                <w:szCs w:val="21"/>
                <w:highlight w:val="none"/>
                <w:u w:val="single"/>
              </w:rPr>
              <w:t>上游采购一般预付或现付，下游账期较长，主要下游通过转账、票据与借款</w:t>
            </w:r>
            <w:r>
              <w:rPr>
                <w:rFonts w:hint="eastAsia" w:ascii="宋体" w:hAnsi="宋体" w:cs="宋体"/>
                <w:snapToGrid w:val="0"/>
                <w:kern w:val="0"/>
                <w:szCs w:val="21"/>
                <w:highlight w:val="none"/>
                <w:u w:val="single"/>
                <w:lang w:val="en-US" w:eastAsia="zh-CN"/>
              </w:rPr>
              <w:t>人</w:t>
            </w:r>
            <w:r>
              <w:rPr>
                <w:rFonts w:hint="eastAsia" w:ascii="宋体" w:hAnsi="宋体" w:cs="宋体"/>
                <w:snapToGrid w:val="0"/>
                <w:kern w:val="0"/>
                <w:szCs w:val="21"/>
                <w:highlight w:val="none"/>
                <w:u w:val="single"/>
              </w:rPr>
              <w:t>进行结算。企业总体营运资金周转效率偏慢，一年周转约1次。</w:t>
            </w:r>
          </w:p>
          <w:p w14:paraId="6B640D2F">
            <w:commentRangeStart w:id="9"/>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5.</w:t>
            </w:r>
            <w:r>
              <w:rPr>
                <w:rFonts w:hint="eastAsia" w:ascii="宋体" w:hAnsi="宋体" w:cs="宋体"/>
                <w:b/>
                <w:bCs/>
                <w:snapToGrid w:val="0"/>
                <w:color w:val="000000"/>
                <w:kern w:val="0"/>
                <w:szCs w:val="21"/>
                <w:highlight w:val="none"/>
              </w:rPr>
              <w:t>最新在手订单列表</w:t>
            </w:r>
            <w:r>
              <w:rPr>
                <w:rFonts w:hint="eastAsia" w:ascii="宋体" w:hAnsi="宋体" w:cs="宋体"/>
                <w:b/>
                <w:bCs/>
                <w:snapToGrid w:val="0"/>
                <w:kern w:val="0"/>
                <w:szCs w:val="21"/>
                <w:highlight w:val="none"/>
              </w:rPr>
              <w:t xml:space="preserve">： </w:t>
            </w:r>
            <w:r>
              <w:rPr>
                <w:rFonts w:hint="eastAsia" w:ascii="宋体" w:hAnsi="宋体" w:cs="宋体"/>
                <w:snapToGrid w:val="0"/>
                <w:kern w:val="0"/>
                <w:szCs w:val="21"/>
                <w:highlight w:val="none"/>
              </w:rPr>
              <w:t xml:space="preserve">    </w:t>
            </w:r>
            <w:r>
              <w:rPr>
                <w:rFonts w:hint="eastAsia" w:ascii="宋体" w:hAnsi="宋体" w:cs="宋体"/>
                <w:snapToGrid w:val="0"/>
                <w:kern w:val="0"/>
                <w:szCs w:val="21"/>
                <w:highlight w:val="none"/>
                <w:lang w:val="en-US" w:eastAsia="zh-CN"/>
              </w:rPr>
              <w:t xml:space="preserve">                                             </w:t>
            </w:r>
            <w:r>
              <w:rPr>
                <w:rFonts w:hint="eastAsia" w:ascii="宋体" w:hAnsi="宋体" w:cs="宋体"/>
                <w:snapToGrid w:val="0"/>
                <w:color w:val="000000"/>
                <w:kern w:val="0"/>
                <w:szCs w:val="21"/>
                <w:highlight w:val="none"/>
              </w:rPr>
              <w:t>单位：</w:t>
            </w:r>
            <w:r>
              <w:rPr>
                <w:rFonts w:hint="eastAsia" w:ascii="宋体" w:hAnsi="宋体" w:cs="宋体"/>
                <w:snapToGrid w:val="0"/>
                <w:kern w:val="0"/>
                <w:szCs w:val="21"/>
                <w:highlight w:val="none"/>
              </w:rPr>
              <w:t>万元</w:t>
            </w:r>
            <w:commentRangeEnd w:id="9"/>
            <w:r>
              <w:rPr>
                <w:rStyle w:val="CommentReference"/>
              </w:rPr>
              <w:commentReference w:id="9"/>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r>
                    <w:t>财报与纳税申报表数据一致</w:t>
                  </w: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r>
                    <w:t>财报与纳税申报表数据一致</w:t>
                  </w: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r>
                    <w:t>财报与纳税申报表数据一致</w:t>
                  </w: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w:t>
                  </w: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6.借款人主要财务指标情况：</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24"/>
              <w:gridCol w:w="624"/>
              <w:gridCol w:w="624"/>
              <w:gridCol w:w="624"/>
              <w:gridCol w:w="624"/>
              <w:gridCol w:w="624"/>
              <w:gridCol w:w="624"/>
              <w:gridCol w:w="62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62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62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62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62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62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62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c>
                <w:tcPr>
                  <w:tcW w:w="62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2026</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62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62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62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62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62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62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62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62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62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62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62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62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62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62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62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62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62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62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62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62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62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62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62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62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62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62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62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62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62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62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62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62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62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62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62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62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62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62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62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62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62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62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62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62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2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62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62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62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62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62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①财务真实性验证(税务数据验证)：材料未提供借款人纳税申报表、完税证明或与税务系统比对数据，无法验证财务报表收入、利润等关键数据的真实性，对判断企业实际经营规模和盈利能力造成障碍。</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commentRangeStart w:id="10"/>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w:t>
            </w:r>
            <w:r>
              <w:rPr>
                <w:rFonts w:hint="eastAsia" w:ascii="宋体" w:hAnsi="宋体" w:cs="宋体"/>
                <w:snapToGrid w:val="0"/>
                <w:color w:val="000000"/>
                <w:kern w:val="0"/>
                <w:szCs w:val="21"/>
                <w:highlight w:val="none"/>
              </w:rPr>
              <w:t>账款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commentRangeEnd w:id="10"/>
            <w:r>
              <w:rPr>
                <w:rStyle w:val="CommentReference"/>
              </w:rPr>
              <w:commentReference w:id="10"/>
            </w:r>
          </w:p>
          <w:p w14:paraId="0A5EB4C5">
            <w:commentRangeStart w:id="11"/>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2</w:t>
            </w:r>
            <w:r>
              <w:rPr>
                <w:rFonts w:hint="eastAsia" w:ascii="宋体" w:hAnsi="宋体" w:cs="宋体"/>
                <w:bCs/>
                <w:snapToGrid w:val="0"/>
                <w:color w:val="000000"/>
                <w:kern w:val="0"/>
                <w:szCs w:val="21"/>
                <w:highlight w:val="none"/>
                <w:lang w:val="zh-CN"/>
              </w:rPr>
              <w:t>）其他应收款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commentRangeEnd w:id="11"/>
            <w:r>
              <w:rPr>
                <w:rStyle w:val="CommentReference"/>
              </w:rPr>
              <w:commentReference w:id="11"/>
            </w:r>
          </w:p>
          <w:p w14:paraId="669763E4">
            <w:commentRangeStart w:id="12"/>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commentRangeEnd w:id="12"/>
            <w:r>
              <w:rPr>
                <w:rStyle w:val="CommentReference"/>
              </w:rPr>
              <w:commentReference w:id="12"/>
            </w:r>
          </w:p>
          <w:p w14:paraId="0DB2C097">
            <w:commentRangeStart w:id="1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4</w:t>
            </w:r>
            <w:r>
              <w:rPr>
                <w:rFonts w:hint="eastAsia" w:ascii="宋体" w:hAnsi="宋体" w:cs="宋体"/>
                <w:bCs/>
                <w:snapToGrid w:val="0"/>
                <w:color w:val="000000"/>
                <w:kern w:val="0"/>
                <w:szCs w:val="21"/>
                <w:highlight w:val="none"/>
                <w:lang w:val="zh-CN"/>
              </w:rPr>
              <w:t>）长期投资</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commentRangeEnd w:id="13"/>
            <w:r>
              <w:rPr>
                <w:rStyle w:val="CommentReference"/>
              </w:rPr>
              <w:commentReference w:id="13"/>
            </w:r>
          </w:p>
          <w:p w14:paraId="688E94A4">
            <w:commentRangeStart w:id="1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5</w:t>
            </w:r>
            <w:r>
              <w:rPr>
                <w:rFonts w:hint="eastAsia" w:ascii="宋体" w:hAnsi="宋体" w:cs="宋体"/>
                <w:snapToGrid w:val="0"/>
                <w:color w:val="000000"/>
                <w:kern w:val="0"/>
                <w:szCs w:val="21"/>
                <w:highlight w:val="none"/>
                <w:lang w:val="zh-CN"/>
              </w:rPr>
              <w:t>）应付</w:t>
            </w:r>
            <w:r>
              <w:rPr>
                <w:rFonts w:hint="eastAsia" w:ascii="宋体" w:hAnsi="宋体" w:cs="宋体"/>
                <w:snapToGrid w:val="0"/>
                <w:color w:val="000000"/>
                <w:kern w:val="0"/>
                <w:szCs w:val="21"/>
                <w:highlight w:val="none"/>
              </w:rPr>
              <w:t>账款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commentRangeEnd w:id="14"/>
            <w:r>
              <w:rPr>
                <w:rStyle w:val="CommentReference"/>
              </w:rPr>
              <w:commentReference w:id="14"/>
            </w:r>
          </w:p>
          <w:p w14:paraId="5881D757">
            <w:commentRangeStart w:id="1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6</w:t>
            </w:r>
            <w:r>
              <w:rPr>
                <w:rFonts w:hint="eastAsia" w:ascii="宋体" w:hAnsi="宋体" w:cs="宋体"/>
                <w:snapToGrid w:val="0"/>
                <w:color w:val="000000"/>
                <w:kern w:val="0"/>
                <w:szCs w:val="21"/>
                <w:highlight w:val="none"/>
                <w:lang w:val="zh-CN"/>
              </w:rPr>
              <w:t>）其他应付款</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u w:val="single"/>
                <w:lang w:val="en-US" w:eastAsia="zh-CN"/>
              </w:rPr>
              <w:t xml:space="preserve"> </w:t>
            </w:r>
            <w:r>
              <w:rPr>
                <w:rFonts w:hint="eastAsia" w:ascii="宋体" w:hAnsi="宋体" w:cs="宋体"/>
                <w:snapToGrid w:val="0"/>
                <w:color w:val="000000"/>
                <w:kern w:val="0"/>
                <w:szCs w:val="21"/>
                <w:highlight w:val="none"/>
                <w:u w:val="single"/>
                <w:lang w:val="zh-CN"/>
              </w:rPr>
              <w:t xml:space="preserve">     </w:t>
            </w:r>
            <w:commentRangeEnd w:id="15"/>
            <w:r>
              <w:rPr>
                <w:rStyle w:val="CommentReference"/>
              </w:rPr>
              <w:commentReference w:id="15"/>
            </w:r>
          </w:p>
          <w:p w14:paraId="544264FA">
            <w:commentRangeStart w:id="16"/>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7</w:t>
            </w:r>
            <w:r>
              <w:rPr>
                <w:rFonts w:hint="eastAsia" w:ascii="宋体" w:hAnsi="宋体" w:cs="宋体"/>
                <w:b w:val="0"/>
                <w:bCs w:val="0"/>
                <w:snapToGrid w:val="0"/>
                <w:color w:val="000000"/>
                <w:kern w:val="0"/>
                <w:szCs w:val="21"/>
                <w:highlight w:val="none"/>
                <w:lang w:val="zh-CN"/>
              </w:rPr>
              <w:t>）主营业务收入变动原因：</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commentRangeEnd w:id="16"/>
            <w:r>
              <w:rPr>
                <w:rStyle w:val="CommentReference"/>
              </w:rPr>
              <w:commentReference w:id="16"/>
            </w:r>
          </w:p>
          <w:p w14:paraId="487F6E47">
            <w:commentRangeStart w:id="1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commentRangeEnd w:id="17"/>
            <w:r>
              <w:rPr>
                <w:rStyle w:val="CommentReference"/>
              </w:rPr>
              <w:commentReference w:id="17"/>
            </w:r>
          </w:p>
          <w:p w14:paraId="247144CC">
            <w:commentRangeStart w:id="18"/>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18"/>
            <w:r>
              <w:rPr>
                <w:rStyle w:val="CommentReference"/>
              </w:rPr>
              <w:commentReference w:id="18"/>
            </w:r>
          </w:p>
          <w:p w14:paraId="7B09B5AD">
            <w:commentRangeStart w:id="19"/>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w:t>
            </w:r>
            <w:r>
              <w:rPr>
                <w:rFonts w:hint="eastAsia" w:ascii="宋体" w:hAnsi="宋体" w:cs="宋体"/>
                <w:bCs/>
                <w:snapToGrid w:val="0"/>
                <w:color w:val="000000"/>
                <w:kern w:val="0"/>
                <w:szCs w:val="21"/>
                <w:highlight w:val="none"/>
                <w:lang w:val="en-US" w:eastAsia="zh-CN"/>
              </w:rPr>
              <w:t>0</w:t>
            </w:r>
            <w:r>
              <w:rPr>
                <w:rFonts w:hint="eastAsia" w:ascii="宋体" w:hAnsi="宋体" w:cs="宋体"/>
                <w:bCs/>
                <w:snapToGrid w:val="0"/>
                <w:color w:val="000000"/>
                <w:kern w:val="0"/>
                <w:szCs w:val="21"/>
                <w:highlight w:val="none"/>
                <w:lang w:val="zh-CN"/>
              </w:rPr>
              <w:t>）其他变动较大的</w:t>
            </w:r>
            <w:r>
              <w:rPr>
                <w:rFonts w:hint="eastAsia" w:ascii="宋体" w:hAnsi="宋体" w:cs="宋体"/>
                <w:bCs/>
                <w:snapToGrid w:val="0"/>
                <w:color w:val="000000"/>
                <w:kern w:val="0"/>
                <w:szCs w:val="21"/>
                <w:highlight w:val="none"/>
                <w:lang w:val="en-US" w:eastAsia="zh-CN"/>
              </w:rPr>
              <w:t>财务</w:t>
            </w:r>
            <w:r>
              <w:rPr>
                <w:rFonts w:hint="eastAsia" w:ascii="宋体" w:hAnsi="宋体" w:cs="宋体"/>
                <w:bCs/>
                <w:snapToGrid w:val="0"/>
                <w:color w:val="000000"/>
                <w:kern w:val="0"/>
                <w:szCs w:val="21"/>
                <w:highlight w:val="none"/>
                <w:lang w:val="zh-CN"/>
              </w:rPr>
              <w:t>指标（</w:t>
            </w:r>
            <w:r>
              <w:rPr>
                <w:rFonts w:hint="eastAsia" w:ascii="宋体" w:hAnsi="宋体" w:cs="宋体"/>
                <w:bCs/>
                <w:snapToGrid w:val="0"/>
                <w:color w:val="000000"/>
                <w:kern w:val="0"/>
                <w:szCs w:val="21"/>
                <w:highlight w:val="none"/>
                <w:lang w:val="en-US" w:eastAsia="zh-CN"/>
              </w:rPr>
              <w:t>包括但不限于预付账款、预收账款等，如有请说明）</w:t>
            </w: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u w:val="single"/>
                <w:lang w:val="en-US" w:eastAsia="zh-CN"/>
              </w:rPr>
              <w:t xml:space="preserve">                      </w:t>
            </w:r>
            <w:commentRangeEnd w:id="19"/>
            <w:r>
              <w:rPr>
                <w:rStyle w:val="CommentReference"/>
              </w:rPr>
              <w:commentReference w:id="19"/>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②财务真实性验证(银行流水验证)：材料未提供借款人主要结算账户银行流水，无法通过流水与报表勾稽验证销售收入回款、支付采购款等经营活动的真实性及资金流向，亦无法核实报表货币资金的真实性。</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commentRangeStart w:id="20"/>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w:t>
            </w:r>
            <w:r>
              <w:rPr>
                <w:rFonts w:hint="eastAsia"/>
                <w:b w:val="0"/>
                <w:bCs/>
                <w:snapToGrid w:val="0"/>
                <w:color w:val="auto"/>
                <w:szCs w:val="21"/>
                <w:highlight w:val="none"/>
                <w:u w:val="none"/>
                <w:lang w:val="en-US" w:eastAsia="zh-CN"/>
              </w:rPr>
              <w:t xml:space="preserve"> </w:t>
            </w:r>
            <w:r>
              <w:rPr>
                <w:rFonts w:hint="eastAsia"/>
                <w:b w:val="0"/>
                <w:bCs/>
                <w:snapToGrid w:val="0"/>
                <w:szCs w:val="21"/>
                <w:highlight w:val="none"/>
                <w:u w:val="none"/>
                <w:lang w:val="en-US" w:eastAsia="zh-CN"/>
              </w:rPr>
              <w:t xml:space="preserve">            </w:t>
            </w:r>
            <w:commentRangeEnd w:id="20"/>
            <w:r>
              <w:rPr>
                <w:rStyle w:val="CommentReference"/>
              </w:rPr>
              <w:commentReference w:id="20"/>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③近三年及最近一期财务数据：材料未提供借款人资产负债表、利润表及现金流量表等任何具体财务报表数据，无法获取近三年及最近一期的财务数据。以下各科目分析均因基础数据缺失无法展开：</w:t>
              <w:br/>
              <w:t>（1）应收账款：材料未提供应收账款金额、账龄及主要债务人信息，无法分析其构成、变动趋势及回收风险，影响对营运资金占用和资产质量的判断。</w:t>
              <w:br/>
              <w:t>（2）其他应收款：材料未提供其他应收款信息，无法判断其性质、构成及关联方占款风险。</w:t>
              <w:br/>
              <w:t>（3）存货：材料未提供存货金额及构成信息。鉴于借款人主营业务为信息技术服务及解决方案，理论上存货应较少，但材料未提供数据证实，无法分析其存货管理情况及潜在减值风险。</w:t>
              <w:br/>
              <w:t>（4）长期投资：材料未提供长期投资信息，无法判断企业对外投资规模、构成及潜在风险。</w:t>
              <w:br/>
              <w:t>（5）应付账款：材料未提供应付账款金额及主要债权人信息，无法分析其对上游供应商的占款情况、偿债压力及供应链地位。</w:t>
              <w:br/>
              <w:t>（6）其他应付款：材料未提供其他应付款信息，无法判断其性质、构成及潜在的偿付义务。</w:t>
              <w:br/>
              <w:t>（7）主营业务收入变动原因：材料未提供历年主营业务收入数据，无法分析其变动趋势及原因。</w:t>
              <w:br/>
              <w:t>（8）盈利能力变动原因：材料未提供历年成本、费用及利润数据，无法分析其毛利率、净利率等盈利指标的变动及原因。</w:t>
              <w:br/>
              <w:t>（9）固定资产投资变动情况：材料未提供固定资产原值、净值及变动数据，亦未披露后续大额固定资产投入计划，无法分析其资本性支出情况及相应的资金安排需求。</w:t>
              <w:br/>
              <w:t>（10）其他变动较大的财务指标：材料未提供预付账款、预收账款等其他财务科目数据，无法进行说明。</w:t>
              <w:br/>
              <w:t>最近三年现金流量表分析：材料未提供现金流量表数据，无法对经营、投资、筹资活动现金流进行分析，无法评估企业自身创造现金的能力、投资扩张的力度以及对外部融资的依赖程度。</w:t>
              <w:br/>
              <w:t>总体财务情况小结：由于客户材料中完全缺失财务报表数据，本报告无法对借款人的资产结构、盈利能力、营运效率、现金流状况及偿债能力进行任何定量分析。财务信息的高度缺失是本次授信审批的重大风险点，使得无法基于财务数据对企业的真实经营状况和还款能力做出可靠判断。审批决策需高度依赖非财务信息的核实，包括但不限于现场调查、银行流水查验、税务数据核实以及对其主要合同、项目的真实性核查。</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截至材料提供时点，福建中锐网络股份有限公司在各金融机构的授信总额为4640万元，已用信余额为4440万元，授信使用率高达95.69%。融资明细如下：</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commentRangeStart w:id="21"/>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21"/>
            <w:r>
              <w:rPr>
                <w:rStyle w:val="CommentReference"/>
              </w:rPr>
              <w:commentReference w:id="21"/>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1.  交通银行屏东支行，流动资金贷款，授信1000万元，已用信，到期日2026年4月24日，由实际控制人黄祖海提供担保。</w:t>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t>2.  海峡银行金山支行，流动资金贷款加担保，授信500万元，已用信，到期日2026年10月15日，由黄祖海、陈其俤、福州市融资担保有限公司及福建恒运投资合伙企业（有限合伙）共同担保。</w:t>
              <w:br/>
              <w:t>3.  厦门国际银行台江支行，流动资金贷款，授信640万元，已用信，到期日2026年11月21日，由黄祖海、陈其俤提供担保。</w:t>
              <w:br/>
              <w:t>4.  兴业银行环球支行，流动资金贷款，授信1000万元，已用信700万元，到期日2026年11月25日。</w:t>
              <w:br/>
              <w:t>5.  兴业银行环球支行，流动资金贷款，授信1000万元，已用信300万元，到期日2026年12月22日。</w:t>
              <w:br/>
              <w:t>6.  工商银行，流动资金贷款，授信500万元，已用信，到期日2026年12月2日，由黄祖海提供担保。</w:t>
              <w:br/>
              <w:t>7.  中国银行福建省分行，流动资金贷款，授信600万元，已用信，到期日2027年1月4日，由黄祖海、陈其俤提供担保。</w:t>
              <w:br/>
              <w:t>8.  广发银行鼓楼支行，流动资金贷款，授信400万元，已用信200万元，到期日2027年1月23日。</w:t>
              <w:br/>
              <w:t>材料未提供上述融资的五级分类情况，无法判断是否存在不良记录，需补充查询企业及实际控制人的征信报告以核实。</w:t>
              <w:br/>
              <w:t>材料显示所有融资品种均为流动资金贷款，未涉及中长期借款，故无中长期借款还款计划及还款资金安排情况。</w:t>
              <w:br/>
              <w:t>对外担保情况：材料未提供福建中锐网络股份有限公司的对外担保信息，无法评估其或有负债风险，需进一步核实。</w:t>
              <w:br/>
              <w:t>不良记录情况：材料未提供企业及实际控制人在金融机构的不良信用记录信息，需通过征信系统查询确认。</w:t>
              <w:br/>
              <w:t>分析：企业现有银行融资规模较大，且已用信额度接近授信总额，表明其营运资金对银行融资依赖度较高。所有债务均为短期流动资金贷款，集中在2026年末至2027年初到期，届时将面临集中的偿债压力。材料未提供企业的现金流预测及还款资金来源安排，其短期偿债能力存在不确定性。对外担保及不良信用记录信息的缺失，影响对客户整体信用风险及第二还款来源保障程度的全面评估。</w:t>
            </w:r>
          </w:p>
          <w:p w14:paraId="76CE32AE">
            <w:commentRangeStart w:id="22"/>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22"/>
            <w:r>
              <w:rPr>
                <w:rStyle w:val="CommentReference"/>
              </w:rPr>
              <w:commentReference w:id="22"/>
            </w:r>
          </w:p>
          <w:p w14:paraId="4355488A">
            <w:commentRangeStart w:id="23"/>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23"/>
            <w:r>
              <w:rPr>
                <w:rStyle w:val="CommentReference"/>
              </w:rPr>
              <w:commentReference w:id="23"/>
            </w:r>
          </w:p>
          <w:p w14:paraId="0BD0E5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实际控制人黄祖海个人信用报告，其名下未结清贷款账户1笔，余额1000万元，为中国银行个人经营贷款，经营主体为福建中锐网络股份有限公司。其名下未销户信用卡账户1笔，余额0元。全部未结清贷款估算下月应还款额为0元，贷记卡最近6个月平均使用额度27元，准贷记卡最近6个月平均透支余额0元。其承担担保责任账户有1笔，余额1000万元，为福建中锐网络股份有限公司担保；承担共同还款责任账户0笔。</w:t>
              <w:br/>
              <w:br/>
              <w:t>根据预警规则的后台计算，黄祖海近5年贷款累计逾期期数为1期，其中逾期金额小于等于500元的期数为0；近5年贷款连续逾期期数为1期，其中连续逾期小于等于500元的期数为0。材料中反馈原因为遗忘导致，且该笔逾期现已结清。</w:t>
              <w:br/>
              <w:br/>
              <w:t>分析：实控人黄祖海个人征信记录总体良好。其名下个人经营贷款余额1000万元，与公司融资情况中“中国银行福建省分行”的600万元流贷（由黄祖海、陈其俤担保）无法直接对应，材料未提供该笔个人经营贷款的具体合同信息及还款计划，需关注其与公司负债的关联性及个人还款来源。其信用卡使用额度极低，显示审慎的消费信贷习惯。其为公司提供1000万元担保，体现了个人与公司经营的深度绑定。历史逾期记录虽仅有1期且已结清，但反映出其在信用管理细节上曾有疏忽，虽非恶意，仍需在后续贷后管理中关注其还款纪律性。材料未提供实控人配偶康恩慧的个人征信信息，无法评估家庭整体负债及信用状况，对全面判断实控人偿债能力有一定影响。</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实控人配偶：康恩慧，中国国籍，材料未提供籍贯信息，材料未提供出生年份信息。</w:t>
              <w:br/>
              <w:t>个人征信信息：材料未提供实控人配偶康恩慧的个人征信报告。鉴于实控人配偶的个人信用状况是评估家庭整体偿债意愿和偿债能力、判断家庭稳定性及潜在风险的重要依据，其征信信息缺失将影响对实控人家庭综合信用水平的全面判断。</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commentRangeStart w:id="24"/>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w:t>
            </w:r>
            <w:r>
              <w:rPr>
                <w:rFonts w:hint="eastAsia" w:ascii="宋体" w:hAnsi="宋体" w:eastAsia="宋体" w:cs="宋体"/>
                <w:b/>
                <w:bCs/>
                <w:snapToGrid w:val="0"/>
                <w:kern w:val="0"/>
                <w:sz w:val="21"/>
                <w:szCs w:val="21"/>
                <w:lang w:val="en-US" w:eastAsia="zh-CN" w:bidi="ar-SA"/>
              </w:rPr>
              <w:t>分</w:t>
            </w:r>
            <w:commentRangeEnd w:id="24"/>
            <w:r>
              <w:rPr>
                <w:rStyle w:val="CommentReference"/>
              </w:rPr>
              <w:commentReference w:id="24"/>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w:t>
            </w:r>
            <w:r>
              <w:rPr>
                <w:rFonts w:hint="eastAsia" w:ascii="宋体" w:hAnsi="宋体" w:cs="宋体"/>
                <w:b/>
                <w:bCs w:val="0"/>
                <w:kern w:val="2"/>
                <w:sz w:val="21"/>
                <w:szCs w:val="21"/>
                <w:highlight w:val="none"/>
                <w:lang w:val="en-US" w:eastAsia="zh-CN" w:bidi="ar-SA"/>
              </w:rPr>
              <w:t>3.</w:t>
            </w:r>
            <w:r>
              <w:rPr>
                <w:rFonts w:hint="eastAsia" w:ascii="宋体" w:hAnsi="宋体" w:eastAsia="宋体" w:cs="宋体"/>
                <w:b/>
                <w:bCs w:val="0"/>
                <w:kern w:val="2"/>
                <w:sz w:val="21"/>
                <w:szCs w:val="21"/>
                <w:highlight w:val="none"/>
                <w:lang w:val="en-US" w:eastAsia="zh-CN" w:bidi="ar-SA"/>
              </w:rPr>
              <w:t>专利情况</w:t>
            </w:r>
            <w:r>
              <w:rPr>
                <w:rFonts w:hint="eastAsia" w:ascii="宋体" w:hAnsi="宋体" w:cs="宋体"/>
                <w:b/>
                <w:bCs/>
                <w:snapToGrid w:val="0"/>
                <w:kern w:val="0"/>
                <w:szCs w:val="21"/>
                <w:highlight w:val="none"/>
              </w:rPr>
              <w:t>：</w:t>
            </w:r>
            <w:r>
              <w:rPr>
                <w:rFonts w:hint="eastAsia" w:ascii="宋体" w:hAnsi="宋体" w:cs="宋体"/>
                <w:b w:val="0"/>
                <w:bCs/>
                <w:kern w:val="2"/>
                <w:sz w:val="21"/>
                <w:szCs w:val="21"/>
                <w:highlight w:val="none"/>
                <w:u w:val="single"/>
                <w:lang w:val="en-US" w:eastAsia="zh-CN" w:bidi="ar-SA"/>
              </w:rPr>
              <w:t>企业拥有发明专利X项、实用专利X项，权属清晰，不存在瑕疵及涉诉情况，具体情况如下表所示</w:t>
            </w:r>
            <w:r>
              <w:rPr>
                <w:rFonts w:hint="eastAsia" w:ascii="宋体" w:hAnsi="宋体" w:cs="宋体"/>
                <w:b w:val="0"/>
                <w:bCs/>
                <w:kern w:val="2"/>
                <w:sz w:val="21"/>
                <w:szCs w:val="21"/>
                <w:highlight w:val="none"/>
                <w:u w:val="none"/>
                <w:lang w:val="en-US" w:eastAsia="zh-CN" w:bidi="ar-SA"/>
              </w:rPr>
              <w:t>：</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截至目前，企业在我行的综合效益情况如下：材料未提供该企业在我行的日均存款数据，无法评估其资金沉淀水平。材料未提供该企业是否为我行对公有效户及年结算量数据，无法判断其结算活跃度与账户贡献。材料未提供该企业员工在我行签约代发工资的人数及上年发薪量数据，无法评估其代发业务贡献。材料未提供该企业基本户是否开立在我行的信息，影响对其核心结算关系的判断。材料未提供其他派生业务（如国际结算、票据、理财等）的合作情况。</w:t>
              <w:br/>
              <w:br/>
              <w:t>综合分析：由于材料未提供该客户在我行的任何存款、结算、代发及账户信息，我行无法基于现有材料对其当前综合效益进行量化评估。这导致审批人难以判断该客户的历史合作贡献度、资金归行意愿以及业务关系的紧密度，对评估授信业务的风险收益平衡及客户整体价值造成显著影响。建议客户经理补充相关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2.预计综合效益（包括但不限于：对公有效户、代发签约及发薪量、日均存款、基本户、其他派生业务等）：材料未提供企业在我行预计可实现的具体日均存款、结算量、代发薪人数及发薪量等量化数据。根据现有材料分析，企业主营业务为智慧水利与智慧教育解决方案，其销售收款模式包含预收款、账期或全款，采购付款享有供应商给予的信用账期，表明其业务模式具备一定的现金流管理能力。若与我行建立信贷关系，可争取将其作为主要结算行，从而带来对公存款沉淀与结算流水。同时，企业服务于大量政企客户与高校，业务往来可能产生稳定的资金划转需求。然而，由于缺乏员工人数、现有银行合作情况及具体资金归集计划等信息，无法对代发薪、有效户增长等派生效益进行量化评估。综合来看，该客户具备带来综合效益的潜力，但具体效益水平需在后续贷后管理中通过设定明确的业务合作目标予以落实和监测。</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借款人福建中锐网络股份有限公司主营业务为智慧水利与智慧教育解决方案的提供与实施。根据材料，其销售收款采用预收款和账期或全款的收款方式，而采购付款则采用预付款和账期款方式。材料未提供借款人最近年度的营业收入、经营性现金流及货币资金的具体数据，因此无法直接验证其经营性现金流状况及账面资金水平。</w:t>
              <w:br/>
              <w:br/>
              <w:t>从上下游结算模式分析，借款人在业务开展中存在资金垫付需求。上游采购方面，主要供应商如锐捷网络股份有限公司的结算方式为“分期”，材料未明确分期付款的具体条件，但结合“采购付款是预付款和账期款方式”的描述，推断其营运资金可能被上游占压。下游销售方面，主要客户如涵江水利局、福建省翔远电子科技有限公司的结算方式均为“分期”，表明销售回款存在一定账期，导致资金回笼速度较慢。这种“预付/分期采购”与“分期销售”的经营模式，构成了对营运资金的持续性占用。</w:t>
              <w:br/>
              <w:br/>
              <w:t>此外，借款人所属行业为信息技术服务业，其智慧水利业务涉及硬件采购与系统集成，项目执行周期可能较长，进一步放大了营运资金需求。借款人现有银行融资均为短期流动资金贷款，且已用额度较高（合计授信4640万元，已用4440万元），反映了其日常经营对信贷资金存在持续依赖。</w:t>
              <w:br/>
              <w:br/>
              <w:t>综合判断，借款原因符合其业务模式特点，即因项目执行中需向上游支付货款（可能包含预付款项）而下游回款存在账期，形成了流动资金缺口。材料未提供申请贷款的具体品种（短期或中期流贷），故无法分析中期流动资金贷款的申请原因。若申请中期流动资金贷款，需借款人补充说明其资金需求的长期性，例如与长期项目合同匹配或用于置换他行短期贷款以优化债务结构。</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commentRangeStart w:id="25"/>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commentRangeEnd w:id="25"/>
            <w:r>
              <w:rPr>
                <w:rStyle w:val="CommentReference"/>
              </w:rPr>
              <w:commentReference w:id="25"/>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根据流动资金需求测算，企业营运资金需求：材料未提供测算结果。（请附531系统测算表截图）如上述测算过程存在数据调整，请补充说明：</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t>材料未提供企业最近年度及近期财务报表，包括但不限于资产负债表、利润表及现金流量表，导致无法获取测算营运资金需求所必需的应收账款、存货、预付账款、应付账款、预收账款等关键财务科目数据。因此，无法依据《流动资金贷款需求测算公式》进行定量测算。该信息缺失直接影响对申请人实际资金缺口、贷款需求合理性的判断，亦无法评估其营运资金周转效率及短期偿债压力。建议要求申请人补充完整财务报表后重新测算。</w:t>
            </w:r>
          </w:p>
          <w:p w14:paraId="64AA94E5">
            <w:pPr>
              <w:pStyle w:val="11"/>
              <w:rPr>
                <w:rFonts w:hint="eastAsia"/>
              </w:rPr>
            </w:pPr>
          </w:p>
          <w:p w14:paraId="1970A0F7">
            <w:commentRangeStart w:id="26"/>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26"/>
            <w:r>
              <w:rPr>
                <w:rStyle w:val="CommentReference"/>
              </w:rPr>
              <w:commentReference w:id="26"/>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 第一还款来源主要为企业主营业务形成的销售回款及经营现金回笼。材料显示水利占比46%、教育占比54%。</w:t>
            </w:r>
            <w:r>
              <w:rPr>
                <w:rFonts w:hint="eastAsia" w:ascii="宋体" w:hAnsi="宋体" w:cs="宋体"/>
                <w:bCs/>
                <w:snapToGrid w:val="0"/>
                <w:kern w:val="0"/>
                <w:sz w:val="21"/>
                <w:szCs w:val="21"/>
                <w:highlight w:val="none"/>
                <w:u w:val="single"/>
                <w:lang w:val="en-US" w:eastAsia="zh-CN"/>
              </w:rPr>
            </w:r>
          </w:p>
          <w:p w14:paraId="0DEB130D">
            <w:commentRangeStart w:id="27"/>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w:t>
            </w:r>
            <w:commentRangeEnd w:id="27"/>
            <w:r>
              <w:rPr>
                <w:rStyle w:val="CommentReference"/>
              </w:rPr>
              <w:commentReference w:id="27"/>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3.还款能力分析：</w:t>
              <w:br/>
              <w:t>①第一还款来源（经营性现金流分析）：</w:t>
              <w:br/>
              <w:t>材料未提供企业最近年度营业收入、净利润及经营性现金流净额等关键财务数据，无法直接量化分析其主营业务产生现金流的规模、稳定性和对债务的覆盖能力。材料显示企业主营业务为智慧水利与智慧教育，收入结构相对均衡（水利46%，教育54%）。其下游客户包括涵江水利局等政府及国企背景单位，以及部分科技公司，前五大客户销售占比合计约31.51%，集中度尚可。企业销售收款采用“预收款和账期或全款”方式，并声称尽量减少垫资；采购付款亦有“预付款和账期”方式，且主要供应商给予较优越的信用账期。这表明企业在产业链中具备一定的议价能力，有助于营运资金管理。然而，由于缺乏具体的财务报表（如利润表、现金流量表），无法验证其所述经营模式是否实际形成了良性的经营性现金流循环，也无法计算其利息保障倍数、偿债覆盖率等核心偿债指标。此关键信息的缺失，对评估其第一还款来源的充足性和可靠性构成重大障碍。</w:t>
              <w:br/>
              <w:br/>
              <w:t>②第二还款来源（抵质押物变现能力分析及其他渠道现金流分析）：</w:t>
              <w:br/>
              <w:t>材料未提供任何关于本次申请授信拟提供或已提供的抵质押物信息，包括但不限于资产类型、权属、估值、抵质押率等，因此无法分析抵质押物的变现能力及其对本次授信的保障程度。</w:t>
              <w:br/>
              <w:t>从其他渠道现金流分析，材料详细列示了企业在多家银行的存量融资情况。截至材料日期，企业合计银行授信额度4640万元，已使用4440万元，额度使用率高达95.69%。存量融资均为流动资金贷款，到期日集中于2026年4月至2027年1月之间。其中多笔贷款由实际控制人黄祖海及其关联方（陈其俤）提供保证担保，部分由融资担保公司提供增信。这表明企业高度依赖实际控制人个人信用及外部担保进行融资周转。在当前高负债率且融资集中到期的情况下，企业通过再融资获取现金流以偿还到期债务的压力较大。材料未提供企业或其实际控制人名下的其他可变现资产（如金融资产、不动产等）情况，也未提及股权融资计划，因此除经营性现金流和银行再融资外，暂无明确的其他可靠现金流入渠道可用于偿还本笔贷款。</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28"/>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28"/>
            <w:r>
              <w:rPr>
                <w:rStyle w:val="CommentReference"/>
              </w:rPr>
              <w:commentReference w:id="28"/>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1.抵押担保（如涉及）：</w:t>
              <w:br/>
              <w:t>经核查，本笔授信申请涉及抵押担保。抵押物为位于仓山区上渡街道通江路17号江南水都·杰座的私有房产，所有权人为康恩慧与黄祖海（即借款人实际控制人及其配偶），权属证号为榕房权证R字第0838000号。根据权属证号判断，该抵押物类型为住宅，建筑面积为143.45平方米。材料未提供该抵押物的评估价值信息，无法判断抵押率及担保足值性，需补充评估报告。材料未提供该房产的土地性质信息，需核实是否为出让地，若为划拨或其他性质将影响处置价值与效率。材料未提供该房产是否已对外出租的信息，若已出租，需取得承租人放弃优先购买权的书面声明。该抵押物为住宅，权利人为实际控制人黄祖海及其配偶康恩慧，材料未提供权利人家庭名下其他住房情况证明，需核实是否为其唯一住宅。若为唯一住宅，根据相关司法实践，处置时可能存在障碍，将影响第二还款来源的有效性。</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①保证人基本信息：成立日期、注册资本及</w:t>
            </w:r>
            <w:r>
              <w:rPr>
                <w:rFonts w:hint="eastAsia" w:ascii="宋体" w:hAnsi="宋体" w:cs="宋体"/>
                <w:b w:val="0"/>
                <w:bCs/>
                <w:kern w:val="2"/>
                <w:sz w:val="21"/>
                <w:szCs w:val="21"/>
                <w:highlight w:val="none"/>
                <w:lang w:val="en-US" w:eastAsia="zh-CN"/>
              </w:rPr>
              <w:t>实收资本</w:t>
            </w:r>
            <w:r>
              <w:rPr>
                <w:rFonts w:hint="eastAsia" w:ascii="宋体" w:hAnsi="宋体" w:eastAsia="宋体" w:cs="宋体"/>
                <w:b w:val="0"/>
                <w:bCs/>
                <w:kern w:val="2"/>
                <w:sz w:val="21"/>
                <w:szCs w:val="21"/>
                <w:highlight w:val="none"/>
              </w:rPr>
              <w:t>、法人代表</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经营场所</w:t>
            </w:r>
            <w:r>
              <w:rPr>
                <w:rFonts w:hint="eastAsia" w:ascii="宋体" w:hAnsi="宋体" w:cs="宋体"/>
                <w:snapToGrid w:val="0"/>
                <w:color w:val="000000"/>
                <w:kern w:val="0"/>
                <w:szCs w:val="21"/>
                <w:highlight w:val="none"/>
                <w:lang w:val="en-US" w:eastAsia="zh-CN"/>
              </w:rPr>
              <w:t>（坐落地点</w:t>
            </w:r>
            <w:r>
              <w:rPr>
                <w:rFonts w:hint="eastAsia" w:ascii="宋体" w:hAnsi="宋体" w:cs="宋体"/>
                <w:snapToGrid w:val="0"/>
                <w:color w:val="000000"/>
                <w:kern w:val="0"/>
                <w:szCs w:val="21"/>
                <w:highlight w:val="none"/>
              </w:rPr>
              <w:t>、</w:t>
            </w:r>
            <w:r>
              <w:rPr>
                <w:rFonts w:hint="eastAsia" w:ascii="宋体" w:hAnsi="宋体" w:cs="宋体"/>
                <w:snapToGrid w:val="0"/>
                <w:color w:val="000000"/>
                <w:kern w:val="0"/>
                <w:szCs w:val="21"/>
                <w:highlight w:val="none"/>
                <w:lang w:val="en-US" w:eastAsia="zh-CN"/>
              </w:rPr>
              <w:t>场地面积</w:t>
            </w:r>
            <w:r>
              <w:rPr>
                <w:rFonts w:hint="eastAsia" w:ascii="宋体" w:hAnsi="宋体" w:cs="宋体"/>
                <w:snapToGrid w:val="0"/>
                <w:color w:val="000000"/>
                <w:kern w:val="0"/>
                <w:szCs w:val="21"/>
                <w:highlight w:val="none"/>
              </w:rPr>
              <w:t>、自有</w:t>
            </w:r>
            <w:r>
              <w:rPr>
                <w:rFonts w:hint="eastAsia" w:ascii="宋体" w:hAnsi="宋体" w:cs="宋体"/>
                <w:snapToGrid w:val="0"/>
                <w:color w:val="000000"/>
                <w:kern w:val="0"/>
                <w:szCs w:val="21"/>
                <w:highlight w:val="none"/>
                <w:lang w:val="en-US" w:eastAsia="zh-CN"/>
              </w:rPr>
              <w:t>或租用</w:t>
            </w:r>
            <w:r>
              <w:rPr>
                <w:rFonts w:hint="eastAsia" w:ascii="宋体" w:hAnsi="宋体" w:cs="宋体"/>
                <w:snapToGrid w:val="0"/>
                <w:color w:val="000000"/>
                <w:kern w:val="0"/>
                <w:szCs w:val="21"/>
                <w:highlight w:val="none"/>
              </w:rPr>
              <w:t>、是否</w:t>
            </w:r>
            <w:r>
              <w:rPr>
                <w:rFonts w:hint="eastAsia" w:ascii="宋体" w:hAnsi="宋体" w:cs="宋体"/>
                <w:snapToGrid w:val="0"/>
                <w:color w:val="000000"/>
                <w:kern w:val="0"/>
                <w:szCs w:val="21"/>
                <w:highlight w:val="none"/>
                <w:lang w:val="en-US" w:eastAsia="zh-CN"/>
              </w:rPr>
              <w:t>已对外</w:t>
            </w:r>
            <w:r>
              <w:rPr>
                <w:rFonts w:hint="eastAsia" w:ascii="宋体" w:hAnsi="宋体" w:cs="宋体"/>
                <w:snapToGrid w:val="0"/>
                <w:color w:val="000000"/>
                <w:kern w:val="0"/>
                <w:szCs w:val="21"/>
                <w:highlight w:val="none"/>
              </w:rPr>
              <w:t>抵押）</w:t>
            </w:r>
            <w:r>
              <w:rPr>
                <w:rFonts w:hint="eastAsia" w:ascii="宋体" w:hAnsi="宋体" w:eastAsia="宋体" w:cs="宋体"/>
                <w:b w:val="0"/>
                <w:bCs/>
                <w:kern w:val="2"/>
                <w:sz w:val="21"/>
                <w:szCs w:val="21"/>
                <w:highlight w:val="none"/>
              </w:rPr>
              <w:t>；</w:t>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本次普惠授信申报不涉及我行认可的专业担保公司担保。根据客户材料摘要，客户现有融资中仅海峡银行-金山支行一笔500万元流贷业务涉及“福州市融资担保有限公司”提供担保，但该笔业务为他行授信。材料未提供我行内部针对“福州市融资担保有限公司”的审批结论，包括合作额度、风险分担比例、放大倍数及单户上限等关键准入参数。同时，材料亦未提供截至上报日该担保公司最新的对外担保总额、在我行担保余额、净资产及担保倍率等数据，无法判断其是否符合我行对合作担保机构的持续管理要求。因此，本次申报业务无法基于专业担保公司担保进行风险缓释，审批需完全基于借款人福建中锐网络股份有限公司自身信用状况及提供的其他担保措施进行判断。</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w:t>
            </w:r>
            <w:r>
              <w:rPr>
                <w:rFonts w:hint="eastAsia" w:ascii="宋体" w:hAnsi="宋体" w:cs="宋体"/>
                <w:b/>
                <w:bCs/>
                <w:snapToGrid w:val="0"/>
                <w:kern w:val="0"/>
                <w:szCs w:val="21"/>
                <w:highlight w:val="none"/>
                <w:lang w:val="en-US" w:eastAsia="zh-CN"/>
              </w:rPr>
              <w:t>十一</w:t>
            </w:r>
            <w:r>
              <w:rPr>
                <w:rFonts w:hint="eastAsia" w:ascii="宋体" w:hAnsi="宋体" w:cs="宋体"/>
                <w:b/>
                <w:bCs/>
                <w:snapToGrid w:val="0"/>
                <w:kern w:val="0"/>
                <w:szCs w:val="21"/>
                <w:highlight w:val="none"/>
              </w:rPr>
              <w:t>）经营单位授信申报</w:t>
            </w:r>
            <w:r>
              <w:rPr>
                <w:rFonts w:hint="eastAsia" w:ascii="宋体" w:hAnsi="宋体" w:cs="宋体"/>
                <w:b/>
                <w:bCs/>
                <w:snapToGrid w:val="0"/>
                <w:kern w:val="0"/>
                <w:szCs w:val="21"/>
                <w:highlight w:val="none"/>
                <w:lang w:val="en-US" w:eastAsia="zh-CN"/>
              </w:rPr>
              <w:t>结论及</w:t>
            </w:r>
            <w:r>
              <w:rPr>
                <w:rFonts w:hint="eastAsia" w:ascii="宋体" w:hAnsi="宋体" w:cs="宋体"/>
                <w:b/>
                <w:bCs/>
                <w:snapToGrid w:val="0"/>
                <w:kern w:val="0"/>
                <w:szCs w:val="21"/>
                <w:highlight w:val="none"/>
              </w:rPr>
              <w:t>方案：</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u w:val="single"/>
                <w:lang w:val="en-US" w:eastAsia="zh-CN"/>
              </w:rPr>
              <w:t>围绕“现金流、杠杆率、可持续、垒小户、配结算、强担保”六要素展开</w:t>
            </w:r>
            <w:r>
              <w:rPr>
                <w:rFonts w:hint="eastAsia" w:ascii="宋体" w:hAnsi="宋体" w:cs="宋体"/>
                <w:b/>
                <w:bCs/>
                <w:snapToGrid w:val="0"/>
                <w:kern w:val="0"/>
                <w:szCs w:val="21"/>
                <w:highlight w:val="none"/>
                <w:u w:val="single"/>
              </w:rPr>
              <w:t xml:space="preserve"> </w:t>
            </w:r>
            <w:r>
              <w:rPr>
                <w:rFonts w:hint="eastAsia" w:ascii="宋体" w:hAnsi="宋体" w:cs="宋体"/>
                <w:b/>
                <w:bCs/>
                <w:snapToGrid w:val="0"/>
                <w:kern w:val="0"/>
                <w:szCs w:val="21"/>
                <w:highlight w:val="none"/>
                <w:u w:val="single"/>
                <w:lang w:eastAsia="zh-CN"/>
              </w:rPr>
              <w:t>，</w:t>
            </w:r>
            <w:r>
              <w:rPr>
                <w:rFonts w:hint="eastAsia" w:ascii="宋体" w:hAnsi="宋体" w:cs="宋体"/>
                <w:b/>
                <w:bCs/>
                <w:snapToGrid w:val="0"/>
                <w:kern w:val="0"/>
                <w:szCs w:val="21"/>
                <w:highlight w:val="none"/>
                <w:u w:val="single"/>
                <w:lang w:val="en-US" w:eastAsia="zh-CN"/>
              </w:rPr>
              <w:t>基于“六要素”综合评判客户是否准入，如何设置合理授信方案及贷后管控措施）</w:t>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材料未提供企业财务报表及现金流量表信息，无法对历史及当前经营性现金流状况进行分析。材料提及销售收款采用预收款和账期或全款方式，采购付款享有供应商信用账期，表明其营运资金管理策略倾向于减少自身垫资，但缺乏具体现金流入流出规模及净额数据，无法判断其现金流是否足以覆盖日常经营及偿债支出，对评估第一还款来源的稳定性构成关键信息缺失。</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材料未提供企业资产负债表，无法计算资产负债率、流动比率等关键财务杠杆指标。材料中列示的融资情况显示企业存在多家银行授信且已用额度较高，但缺乏对应的资产总额及权益数据支撑，无法准确评估其整体负债水平及偿债能力。</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企业主营业务聚焦智慧水利与智慧教育，符合国家政策导向。在智慧水利领域，其自主研发的解决方案已应用于福建省300余座水库，并获得省级科技进步奖项，显示了一定的技术实力和市场应用基础。在智慧教育领域，与超1000所高校及科研院所合作，服务超1600家政企客户，建立了广泛的产学研合作网络。企业具备明确的业务布局和一定的行业积累，但材料未提供其成立时间、员工规模、技术团队构成及核心人员从业经验等详细信息，对其长期经营稳定性和技术迭代能力的判断存在信息缺口。</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垒小户（多头贷款、交叉授信、超融）：根据融资明细，企业当前在交通银行、海峡银行、厦门国际银行、兴业银行、工商银行、中国银行、广发银行共计7家金融机构有存量授信，授信总额4640万元，已用总额4440万元。授信品种均为流动资金贷款，存在明显的多头融资情况。材料未提供企业总资产、净资产、销售收入等数据，无法依据行业常规测算其融资需求与资产、收入的匹配度，即无法定量判断是否存在过度融资（超融）风险。现有信息仅能确认融资银行数量较多且额度使用率高。</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配结算：材料未提及企业在申请行的账户开立及历史结算情况。无法评估其与我行的业务往来紧密度及未来结算归行的可能性。</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强担保：本次申报授信拟提供的担保措施材料未明确说明。根据资产明细，实际控制人黄祖海及其配偶康恩慧共同拥有一处位于福州市仓山区的私有房产，面积143.45平方米，可作为潜在的抵押物。但材料未说明此房产是否计划用于本次授信抵押，也未提供其他保证人信息。担保措施的强弱是本次授信风险缓释的关键，目前信息缺失。</w:t>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基于以上六要素分析，材料在现金流、杠杆率、配结算及强担保等核心财务与风险缓释要素方面信息严重不足，在可持续性和垒小户方面仅有部分定性信息。当前无法对借款人的整体偿债能力和风险状况进行有效综合评价，需补充财务报表、融资用途合理性说明、担保方案等关键材料后方可进行准入判断。</w:t>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29"/>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29"/>
            <w:r>
              <w:rPr>
                <w:rStyle w:val="CommentReference"/>
              </w:rPr>
              <w:commentReference w:id="29"/>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30"/>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30"/>
            <w:r>
              <w:rPr>
                <w:rStyle w:val="CommentReference"/>
              </w:rPr>
              <w:commentReference w:id="30"/>
            </w:r>
          </w:p>
          <w:p w14:paraId="6AC425A6">
            <w:commentRangeStart w:id="31"/>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31"/>
            <w:r>
              <w:rPr>
                <w:rStyle w:val="CommentReference"/>
              </w:rPr>
              <w:commentReference w:id="31"/>
            </w:r>
          </w:p>
          <w:p w14:paraId="2FC82B07">
            <w:commentRangeStart w:id="32"/>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32"/>
            <w:r>
              <w:rPr>
                <w:rStyle w:val="CommentReference"/>
              </w:rPr>
              <w:commentReference w:id="32"/>
            </w:r>
          </w:p>
          <w:p w14:paraId="269107E9">
            <w:commentRangeStart w:id="33"/>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33"/>
            <w:r>
              <w:rPr>
                <w:rStyle w:val="CommentReference"/>
              </w:rPr>
              <w:commentReference w:id="33"/>
            </w:r>
          </w:p>
          <w:p w14:paraId="3096CC3B">
            <w:commentRangeStart w:id="34"/>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34"/>
            <w:r>
              <w:rPr>
                <w:rStyle w:val="CommentReference"/>
              </w:rPr>
              <w:commentReference w:id="34"/>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3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35"/>
            <w:r>
              <w:rPr>
                <w:rStyle w:val="CommentReference"/>
              </w:rPr>
              <w:commentReference w:id="35"/>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0T12:21:50Z" w:initials="Agent">
    <w:p>
      <w:r>
        <w:rPr>
          <w:rStyle w:val="CommentReference"/>
        </w:rPr>
        <w:annotationRef/>
      </w:r>
      <w:r>
        <w:t xml:space="preserve">该处“客户名称”仍为空白，请人工确认。</w:t>
      </w:r>
    </w:p>
  </w:comment>
  <w:comment w:id="1" w:author="信贷报告 Agent" w:date="2026-04-10T12:21:50Z" w:initials="Agent">
    <w:p>
      <w:r>
        <w:rPr>
          <w:rStyle w:val="CommentReference"/>
        </w:rPr>
        <w:annotationRef/>
      </w:r>
      <w:r>
        <w:t xml:space="preserve">该处“申报单位”仍为空白，请人工确认。</w:t>
      </w:r>
    </w:p>
  </w:comment>
  <w:comment w:id="2" w:author="信贷报告 Agent" w:date="2026-04-10T12:21:50Z" w:initials="Agent">
    <w:p>
      <w:r>
        <w:rPr>
          <w:rStyle w:val="CommentReference"/>
        </w:rPr>
        <w:annotationRef/>
      </w:r>
      <w:r>
        <w:t xml:space="preserve">该处“小类）”仍为空白，请人工确认。</w:t>
      </w:r>
    </w:p>
  </w:comment>
  <w:comment w:id="3" w:author="信贷报告 Agent" w:date="2026-04-10T12:21:50Z" w:initials="Agent">
    <w:p>
      <w:r>
        <w:rPr>
          <w:rStyle w:val="CommentReference"/>
        </w:rPr>
        <w:annotationRef/>
      </w:r>
      <w:r>
        <w:t xml:space="preserve">该处“绿通标识”仍为空白，请人工确认。</w:t>
      </w:r>
    </w:p>
  </w:comment>
  <w:comment w:id="4" w:author="信贷报告 Agent" w:date="2026-04-10T12:21:50Z" w:initials="Agent">
    <w:p>
      <w:r>
        <w:rPr>
          <w:rStyle w:val="CommentReference"/>
        </w:rPr>
        <w:annotationRef/>
      </w:r>
      <w:r>
        <w:t xml:space="preserve">该处“注册资本”仍为空白，请人工确认。</w:t>
      </w:r>
    </w:p>
  </w:comment>
  <w:comment w:id="5" w:author="信贷报告 Agent" w:date="2026-04-10T12:21:50Z" w:initials="Agent">
    <w:p>
      <w:r>
        <w:rPr>
          <w:rStyle w:val="CommentReference"/>
        </w:rPr>
        <w:annotationRef/>
      </w:r>
      <w:r>
        <w:t xml:space="preserve">该处“过往两年企业股权变动情况及变动原因”仍为空白，请人工确认。</w:t>
      </w:r>
    </w:p>
  </w:comment>
  <w:comment w:id="6" w:author="信贷报告 Agent" w:date="2026-04-10T12:21:50Z" w:initials="Agent">
    <w:p>
      <w:r>
        <w:rPr>
          <w:rStyle w:val="CommentReference"/>
        </w:rPr>
        <w:annotationRef/>
      </w:r>
      <w:r>
        <w:t xml:space="preserve">该处“分析原因”仍为空白，请人工确认。</w:t>
      </w:r>
    </w:p>
  </w:comment>
  <w:comment w:id="7" w:author="信贷报告 Agent" w:date="2026-04-10T12:21:50Z" w:initials="Agent">
    <w:p>
      <w:r>
        <w:rPr>
          <w:rStyle w:val="CommentReference"/>
        </w:rPr>
        <w:annotationRef/>
      </w:r>
      <w:r>
        <w:t xml:space="preserve">该处“主要上游（前五大）”仍为空白，请人工确认。</w:t>
      </w:r>
    </w:p>
  </w:comment>
  <w:comment w:id="8" w:author="信贷报告 Agent" w:date="2026-04-10T12:21:50Z" w:initials="Agent">
    <w:p>
      <w:r>
        <w:rPr>
          <w:rStyle w:val="CommentReference"/>
        </w:rPr>
        <w:annotationRef/>
      </w:r>
      <w:r>
        <w:t xml:space="preserve">该处“主要下游（前五大）”仍为空白，请人工确认。</w:t>
      </w:r>
    </w:p>
  </w:comment>
  <w:comment w:id="9" w:author="信贷报告 Agent" w:date="2026-04-10T12:21:50Z" w:initials="Agent">
    <w:p>
      <w:r>
        <w:rPr>
          <w:rStyle w:val="CommentReference"/>
        </w:rPr>
        <w:annotationRef/>
      </w:r>
      <w:r>
        <w:t xml:space="preserve">该处“最新在手订单列表”仍为空白，请人工确认。</w:t>
      </w:r>
    </w:p>
  </w:comment>
  <w:comment w:id="10" w:author="信贷报告 Agent" w:date="2026-04-10T12:21:50Z" w:initials="Agent">
    <w:p>
      <w:r>
        <w:rPr>
          <w:rStyle w:val="CommentReference"/>
        </w:rPr>
        <w:annotationRef/>
      </w:r>
      <w:r>
        <w:t xml:space="preserve">该处“主要构成及趋势变动情况”仍为空白，请人工确认。</w:t>
      </w:r>
    </w:p>
  </w:comment>
  <w:comment w:id="11" w:author="信贷报告 Agent" w:date="2026-04-10T12:21:50Z" w:initials="Agent">
    <w:p>
      <w:r>
        <w:rPr>
          <w:rStyle w:val="CommentReference"/>
        </w:rPr>
        <w:annotationRef/>
      </w:r>
      <w:r>
        <w:t xml:space="preserve">该处“主要构成及趋势变动情况”仍为空白，请人工确认。</w:t>
      </w:r>
    </w:p>
  </w:comment>
  <w:comment w:id="12" w:author="信贷报告 Agent" w:date="2026-04-10T12:21:50Z" w:initials="Agent">
    <w:p>
      <w:r>
        <w:rPr>
          <w:rStyle w:val="CommentReference"/>
        </w:rPr>
        <w:annotationRef/>
      </w:r>
      <w:r>
        <w:t xml:space="preserve">该处“主要构成及趋势变动情况”仍为空白，请人工确认。</w:t>
      </w:r>
    </w:p>
  </w:comment>
  <w:comment w:id="13" w:author="信贷报告 Agent" w:date="2026-04-10T12:21:50Z" w:initials="Agent">
    <w:p>
      <w:r>
        <w:rPr>
          <w:rStyle w:val="CommentReference"/>
        </w:rPr>
        <w:annotationRef/>
      </w:r>
      <w:r>
        <w:t xml:space="preserve">该处“主要构成及趋势变动情况”仍为空白，请人工确认。</w:t>
      </w:r>
    </w:p>
  </w:comment>
  <w:comment w:id="14" w:author="信贷报告 Agent" w:date="2026-04-10T12:21:50Z" w:initials="Agent">
    <w:p>
      <w:r>
        <w:rPr>
          <w:rStyle w:val="CommentReference"/>
        </w:rPr>
        <w:annotationRef/>
      </w:r>
      <w:r>
        <w:t xml:space="preserve">该处“主要构成及趋势变动情况”仍为空白，请人工确认。</w:t>
      </w:r>
    </w:p>
  </w:comment>
  <w:comment w:id="15" w:author="信贷报告 Agent" w:date="2026-04-10T12:21:50Z" w:initials="Agent">
    <w:p>
      <w:r>
        <w:rPr>
          <w:rStyle w:val="CommentReference"/>
        </w:rPr>
        <w:annotationRef/>
      </w:r>
      <w:r>
        <w:t xml:space="preserve">该处“主要构成及趋势变动情况”仍为空白，请人工确认。</w:t>
      </w:r>
    </w:p>
  </w:comment>
  <w:comment w:id="16" w:author="信贷报告 Agent" w:date="2026-04-10T12:21:50Z" w:initials="Agent">
    <w:p>
      <w:r>
        <w:rPr>
          <w:rStyle w:val="CommentReference"/>
        </w:rPr>
        <w:annotationRef/>
      </w:r>
      <w:r>
        <w:t xml:space="preserve">该处“（7）主营业务收入变动原因”仍为空白，请人工确认。</w:t>
      </w:r>
    </w:p>
  </w:comment>
  <w:comment w:id="17" w:author="信贷报告 Agent" w:date="2026-04-10T12:21:50Z" w:initials="Agent">
    <w:p>
      <w:r>
        <w:rPr>
          <w:rStyle w:val="CommentReference"/>
        </w:rPr>
        <w:annotationRef/>
      </w:r>
      <w:r>
        <w:t xml:space="preserve">该处“（8）盈利能力变动原因”仍为空白，请人工确认。</w:t>
      </w:r>
    </w:p>
  </w:comment>
  <w:comment w:id="18" w:author="信贷报告 Agent" w:date="2026-04-10T12:21:50Z" w:initials="Agent">
    <w:p>
      <w:r>
        <w:rPr>
          <w:rStyle w:val="CommentReference"/>
        </w:rPr>
        <w:annotationRef/>
      </w:r>
      <w:r>
        <w:t xml:space="preserve">该处“分析投入及资金安排）”仍为空白，请人工确认。</w:t>
      </w:r>
    </w:p>
  </w:comment>
  <w:comment w:id="19" w:author="信贷报告 Agent" w:date="2026-04-10T12:21:50Z" w:initials="Agent">
    <w:p>
      <w:r>
        <w:rPr>
          <w:rStyle w:val="CommentReference"/>
        </w:rPr>
        <w:annotationRef/>
      </w:r>
      <w:r>
        <w:t xml:space="preserve">该处“如有请说明）”仍为空白，请人工确认。</w:t>
      </w:r>
    </w:p>
  </w:comment>
  <w:comment w:id="20" w:author="信贷报告 Agent" w:date="2026-04-10T12:21:50Z" w:initials="Agent">
    <w:p>
      <w:r>
        <w:rPr>
          <w:rStyle w:val="CommentReference"/>
        </w:rPr>
        <w:annotationRef/>
      </w:r>
      <w:r>
        <w:t xml:space="preserve">该处“最近三年现金流量表分析”仍为空白，请人工确认。</w:t>
      </w:r>
    </w:p>
  </w:comment>
  <w:comment w:id="21" w:author="信贷报告 Agent" w:date="2026-04-10T12:21:50Z" w:initials="Agent">
    <w:p>
      <w:r>
        <w:rPr>
          <w:rStyle w:val="CommentReference"/>
        </w:rPr>
        <w:annotationRef/>
      </w:r>
      <w:r>
        <w:t xml:space="preserve">该处“反馈中长期借款还款计划及还款资金安排情况”仍为空白，请人工确认。</w:t>
      </w:r>
    </w:p>
  </w:comment>
  <w:comment w:id="22" w:author="信贷报告 Agent" w:date="2026-04-10T12:21:50Z" w:initials="Agent">
    <w:p>
      <w:r>
        <w:rPr>
          <w:rStyle w:val="CommentReference"/>
        </w:rPr>
        <w:annotationRef/>
      </w:r>
      <w:r>
        <w:t xml:space="preserve">该处“（若有）对外担保情况”仍为空白，请人工确认。</w:t>
      </w:r>
    </w:p>
  </w:comment>
  <w:comment w:id="23" w:author="信贷报告 Agent" w:date="2026-04-10T12:21:50Z" w:initials="Agent">
    <w:p>
      <w:r>
        <w:rPr>
          <w:rStyle w:val="CommentReference"/>
        </w:rPr>
        <w:annotationRef/>
      </w:r>
      <w:r>
        <w:t xml:space="preserve">该处“（若有）不良记录情况”仍为空白，请人工确认。</w:t>
      </w:r>
    </w:p>
  </w:comment>
  <w:comment w:id="24" w:author="信贷报告 Agent" w:date="2026-04-10T12:21:50Z" w:initials="Agent">
    <w:p>
      <w:r>
        <w:rPr>
          <w:rStyle w:val="CommentReference"/>
        </w:rPr>
        <w:annotationRef/>
      </w:r>
      <w:r>
        <w:t xml:space="preserve">该处“科技型企业评分”仍为空白，请人工确认。</w:t>
      </w:r>
    </w:p>
  </w:comment>
  <w:comment w:id="25" w:author="信贷报告 Agent" w:date="2026-04-10T12:21:50Z" w:initials="Agent">
    <w:p>
      <w:r>
        <w:rPr>
          <w:rStyle w:val="CommentReference"/>
        </w:rPr>
        <w:annotationRef/>
      </w:r>
      <w:r>
        <w:t xml:space="preserve">该处“请补充分析原因”仍为空白，请人工确认。</w:t>
      </w:r>
    </w:p>
  </w:comment>
  <w:comment w:id="26" w:author="信贷报告 Agent" w:date="2026-04-10T12:21:50Z" w:initials="Agent">
    <w:p>
      <w:r>
        <w:rPr>
          <w:rStyle w:val="CommentReference"/>
        </w:rPr>
        <w:annotationRef/>
      </w:r>
      <w:r>
        <w:t xml:space="preserve">该处“请补充说明”仍为空白，请人工确认。</w:t>
      </w:r>
    </w:p>
  </w:comment>
  <w:comment w:id="27" w:author="信贷报告 Agent" w:date="2026-04-10T12:21:50Z" w:initials="Agent">
    <w:p>
      <w:r>
        <w:rPr>
          <w:rStyle w:val="CommentReference"/>
        </w:rPr>
        <w:annotationRef/>
      </w:r>
      <w:r>
        <w:t xml:space="preserve">该处“质押物变现能力分析及其他渠道现金流分析）”仍为空白，请人工确认。</w:t>
      </w:r>
    </w:p>
  </w:comment>
  <w:comment w:id="28" w:author="信贷报告 Agent" w:date="2026-04-10T12:21:50Z" w:initials="Agent">
    <w:p>
      <w:r>
        <w:rPr>
          <w:rStyle w:val="CommentReference"/>
        </w:rPr>
        <w:annotationRef/>
      </w:r>
      <w:r>
        <w:t xml:space="preserve">该处“变动原因”仍为空白，请人工确认。</w:t>
      </w:r>
    </w:p>
  </w:comment>
  <w:comment w:id="29" w:author="信贷报告 Agent" w:date="2026-04-10T12:21:50Z" w:initials="Agent">
    <w:p>
      <w:r>
        <w:rPr>
          <w:rStyle w:val="CommentReference"/>
        </w:rPr>
        <w:annotationRef/>
      </w:r>
      <w:r>
        <w:t xml:space="preserve">该处“予借款人授信敞口1000万元，”仍为模板占位符，请人工核实。</w:t>
      </w:r>
    </w:p>
  </w:comment>
  <w:comment w:id="30" w:author="信贷报告 Agent" w:date="2026-04-10T12:21:50Z" w:initials="Agent">
    <w:p>
      <w:r>
        <w:rPr>
          <w:rStyle w:val="CommentReference"/>
        </w:rPr>
        <w:annotationRef/>
      </w:r>
      <w:r>
        <w:t xml:space="preserve">该处“客户经理”仍为空白，请人工确认。</w:t>
      </w:r>
    </w:p>
  </w:comment>
  <w:comment w:id="31" w:author="信贷报告 Agent" w:date="2026-04-10T12:21:50Z" w:initials="Agent">
    <w:p>
      <w:r>
        <w:rPr>
          <w:rStyle w:val="CommentReference"/>
        </w:rPr>
        <w:annotationRef/>
      </w:r>
      <w:r>
        <w:t xml:space="preserve">该处“共同调查人”仍为空白，请人工确认。</w:t>
      </w:r>
    </w:p>
  </w:comment>
  <w:comment w:id="32" w:author="信贷报告 Agent" w:date="2026-04-10T12:21:50Z" w:initials="Agent">
    <w:p>
      <w:r>
        <w:rPr>
          <w:rStyle w:val="CommentReference"/>
        </w:rPr>
        <w:annotationRef/>
      </w:r>
      <w:r>
        <w:t xml:space="preserve">该处“二级支行行长”仍为空白，请人工确认。</w:t>
      </w:r>
    </w:p>
  </w:comment>
  <w:comment w:id="33" w:author="信贷报告 Agent" w:date="2026-04-10T12:21:50Z" w:initials="Agent">
    <w:p>
      <w:r>
        <w:rPr>
          <w:rStyle w:val="CommentReference"/>
        </w:rPr>
        <w:annotationRef/>
      </w:r>
      <w:r>
        <w:t xml:space="preserve">该处“分管行长”仍为空白，请人工确认。</w:t>
      </w:r>
    </w:p>
  </w:comment>
  <w:comment w:id="34" w:author="信贷报告 Agent" w:date="2026-04-10T12:21:50Z" w:initials="Agent">
    <w:p>
      <w:r>
        <w:rPr>
          <w:rStyle w:val="CommentReference"/>
        </w:rPr>
        <w:annotationRef/>
      </w:r>
      <w:r>
        <w:t xml:space="preserve">该处“行长”仍为空白，请人工确认。</w:t>
      </w:r>
    </w:p>
  </w:comment>
  <w:comment w:id="35" w:author="信贷报告 Agent" w:date="2026-04-10T12:21:50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