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授信申报及审查审批意见表（202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新版）</w:t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福建中锐网络股份有限公司 </w:t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0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经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  <w:t>理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 xml:space="preserve">                联系电话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☑维持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☑小型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所属客群：☑支持类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 18575万元；上年度销售额 8712万元；上年度末员工人数      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2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500万元】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品种：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一般短期流动资金贷款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12个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月；授信期限：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</w:t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抵押+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；【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500万抵押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】</w:t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企业成立于[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待核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实：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成立日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期]，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经营地址（坐落地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场地面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积、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自有或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租用、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是否已对外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押）：位于福州市马尾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区罗星东路2号海峡经贸广场1#楼A615，面积[待核实：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场地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面积]平。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（自有）厂房/办公楼，占地面积[待核实：占地面积]，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建筑面积[待核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实：建筑面积]，已取得土地证（已收集并核实相关权证，权证号：[待核实：土地证号]），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抵押/有抵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押（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抵押[待核实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抵押银行]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银行）。（租用）厂房/办公楼，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租用[待核实：出租方公司]（关联企业/非关联企业）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土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地厂房总面积[待核实：租用面积]平，年租金[待核实：年租金金额]万，按月/季缴纳，已收集租赁合同并核对银行租金流水（租赁信息核对无误）。</w:t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实际主营业务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请勿直接罗列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营业执照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经营范围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表述）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0959F8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上年度末社保人数     人；注册资本： 4100万元、实收资本：        万元；法定代表人： 黄祖海 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1200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7300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7300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</w:tbl>
          <w:p w14:paraId="247BBB4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股权穿透后实际控制人持股比例：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实控人黄祖海，持股比例____%。</w:t>
            </w:r>
          </w:p>
          <w:p w14:paraId="360105F5">
            <w:commentRangeStart w:id="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实控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人黄祖海，湖南大学电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子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商务专业本科学历。2000年5月至2001年12月，任福建实达网络科技有限公司技术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工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程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师；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2002年1月至2003年1月，任福建实达网络科技有限公司技术经理；2003年1月至2011年12月，任福建星网锐捷网络有限公司技术部总经理；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2012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年1月至2016年3月，任福建中锐网络科技有限公司法定代表人、执行董事兼总经理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；2016年3月至今，任福建中锐网络股份有限公司董事长兼总裁。身份证号：350124197704201694.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实地走访情况：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描述实地走访观察到的车间运作情况、存货情况、内部办公区人员及管理等情况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  <w:t>如：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车间运转正常，人员正常到岗上班，存货与报表相匹配。</w:t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2025年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股权融资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未提供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5.与我行历史授信合作（如为存量客户，请填写）：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自2017年以来，我行与借款人建立授信合作关系，近三年分别给予其500、400、500万授信敞口。</w:t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 2025 年 12 月 2025年12月31日 日，经531系统查询，借款人 2025 年 12 月   日提贷 500万元，到期日 2026 年 12 月   日，贷款采取自主支付方式发放，通过调取借款人账户流水，1. 500万元向 福建中锐汉鼎数字科技有限公司 有限公司支付 货款（已提供发票）；2. 货款（已提供发票）；2. 400万元转至工行同户名账户，穿透查看用于向 1 个人支付采购竹刨花原料款 100万元，其余用于支付税款；3.____万元元转至农行同户名账户(基本户），用于向37个员工支付工资款。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贷款采取自主支付方式发放，通过调取借款人账户流水，1. 万元向 有限公司支付 货款（已提供发票）；2. 万元转至工行同户名账户，穿透查看用于向 个人支付采购竹刨花原料款 万元，其余用于支付税款；3.XX万元元转至农行同户名账户(基本户），用于向37个员工支付工资款。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贷款采取自主支付方式发放，通过调取借款人账户流水，1. 万元向 有限公司支付 货款（已提供发票）；2. 万元转至工行同户名账户，穿透查看用于向 个人支付采购竹刨花原料款 万元，其余用于支付税款；3.XX万元元转至农行同户名账户(基本户），用于向37个员工支付工资款。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如未落实，请说明原因</w:t>
                  </w: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如未落实，请说明原因</w:t>
                  </w: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授信及风险信号提示及反馈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531系统模块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黄色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提示法定代表人目前信用卡存在逾期，经核实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……。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综合评判，未对借款人造成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实质性风险。</w:t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2001年毕业于清华大学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；1997年——2002年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公司总经理；2003年——2005年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有限公司总经理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2005年——至今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有限公司董事长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。</w:t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实际控制人：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张祖海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                           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出租，出租方____公司/个人，年租金____万元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企业关联方众多，但仅关联企业1、2有实际经营，总体经营规模不大，与借款企业存在少量关联交易、资金往来。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集团内因生产工艺等原因，互有关联销售，合计在____亿左右，剔除关联交易后，集团整体销售约____亿。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产品（业务）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及其市场应用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主营芯片设计，主要销售的芯片为28nm级，产品主要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等。</w:t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产品优势、企业核心竞争力: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企业产品准入门槛较高，技术……，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>/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企业为传统行业企业，依托与上下游建立的多年稳定的合作关系经营。</w:t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  <w:t>有）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生产分析：公司主营业务为智慧水利与智慧教育解决方案的研发与销售，不涉及传统制造业的机器设备与生产线。企业2023-2025年营业收入分别为121300917.57元、87123689.95元、100096348.09元。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上下游情况：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企业上游为中芯国际等，部分晶圆通过骏方微电子、成都锐杰微等民营企业下单采购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下游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客户有中电二十七所、中电五十四所、中电西安乾景防务、中国兵器工业导航与控制技术研究所等，客户资质较强，均为国有大型企业、院所。</w:t>
            </w:r>
          </w:p>
          <w:p w14:paraId="7EA0A4A4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主要上游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6"/>
            <w:r>
              <w:rPr>
                <w:rStyle w:val="CommentReference"/>
              </w:rPr>
              <w:commentReference w:id="6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主要下游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7"/>
            <w:r>
              <w:rPr>
                <w:rStyle w:val="CommentReference"/>
              </w:rPr>
              <w:commentReference w:id="7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最新在手订单列表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 xml:space="preserve">：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万元</w:t>
            </w:r>
            <w:commentRangeEnd w:id="8"/>
            <w:r>
              <w:rPr>
                <w:rStyle w:val="CommentReference"/>
              </w:rPr>
              <w:commentReference w:id="8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t>2021.11（3年）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中国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福建中锐网络股份有限公司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t>409161646186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企业年报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是否审计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及审计结论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（若涉及审计事务所变动请说明原因），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借款人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三年财务数据，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其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中2023年年报由德赢（福建）会计师事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务所审计（出具无保留意见）、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2024年年报由德赢（福建）会计师事务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所审计（出具无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保留意见），因为[待核实：更换审计所原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因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]2024年更换审计所：（注意：列表填写完整财务科目，表格根据实际情况增减科目）</w:t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2025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注：以下财务数据明细为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2025年X月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数据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（若该科目占比超10%或变动超20%的需做具体分析，其他可视情况简要说明）</w:t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（1）应收账款 7430万元，主要构成及趋势变动情况： 2025年末应收账款为7430万元，较2024年末的9253万元下降19.7%，回款情况有所改善。然而，该科目自2022年以来整体呈快速增长趋势，2023年及2024年同比增幅分别达44.1%和45.6%，需关注其历史增长对资产质量的影响。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（2）其他应收款 2774万元，主要构成及趋势变动情况： 其他应收款2025年末为2774万元，较2024年末的3522万元下降21.2%，呈回落趋势。该科目占流动资产比重为21.2%，规模仍较大，但材料未披露其具体构成及变动原因。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69763E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（3）存货 2192万元，主要构成及趋势变动情况： 企业存货2025年末为2192万元，较2024年末的1166万元大幅增长88.0%，结束了此前连续两年（2023年2545万元、2022年5301万元）的下降趋势。结合资产负债表，存货占总流动资产（13110万元）的比重约为16.7%。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（4）长期投资 3123万元，主要构成及趋势变动情况： 长期投资2025年末为3123万元，较2024年末的2518万元增长605万元，增幅达24.0%。该科目自2022年以来呈波动上升趋势，2024年较2023年有显著增长，2025年延续增长态势。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（5）应付账款 1026万元，主要构成及趋势变动情况： 应付账款2025年末为1026万元，较2024年末的2333万元大幅下降56.0%，主要系公司支付供应商货款所致。该科目自2022年以来持续增长至2024年，2025年出现显著回落。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（6）其他应付款 168万元，主要构成及趋势变动情况： 2025年末其他应付款为168万元，较2024年末的648万元大幅下降480万元，降幅达74.1%，主要系往来款项减少所致。该科目余额已回落至接近2022年（63万元）与2023年（185万元）的水平。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（7）主营业务收入变动原因： 企业2025年主营业务收入为10,10万元，较2024年的8,712万元增长1,298万元，增幅为14.9%，呈现恢复性增长。但收入规模仍远低于2022年的21,198万元，整体经营规模收缩趋势未改。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（8）盈利能力变动原因： 企业盈利能力持续承压，2025年净利润为494万元，净利率为4.9%，虽较2024年的3.8%有所回升，但营业收入自2022年的21,198万元连续下滑至2025年的10,10万元，累计降幅达52.8%，是导致期间利润规模萎缩的主要原因。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因此，无法对报告期内固定资产投资变动进行分析。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（10）其他变动较大的财务指标（包括但不限于预付账款、预收账款等，如有请说明）： 企业2025年末货币资金余额为286万元，较年初的506万元大幅减少43.58%，流动性显著收紧。同时，短期借款余额为4,730万元，虽较年初的4,990万元略有下降，但规模仍远高于货币资金，短期偿债压力较大。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例：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  <w:t>去年至今年的应收账期一般在240天，预计明年将恢复至4个月左右，公司也在管控账期，所以现有1.05亿元应收款预计2025年能收回，按照25年3.6亿元营收预测，能回收2.4-2.5亿元，合计现金流入3.4-3.5亿元。当年成本支出约2.66亿，管理费用、研发费用、销售费用支出约0.96亿，合计支出约3.62亿；现金流稍有流出，基本实现平衡。反向预估，明年预计债权融资控制在1亿元左右（较目前增加约3000万），无大额固定资产投入，账面资金预计保持在2000-3000万元（较目前增加1000-2000万），现金流同样稍有流出，基本实现平衡。</w:t>
            </w:r>
          </w:p>
          <w:p w14:paraId="1ED229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最近三年现金流量表分析：  2025年经营活动现金流量净额791万元，投资活动现金流量净额-586万元，筹资活动现金流量净额-426万元。 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收入在经历连续下滑后于2025年恢复增长，同时毛利率在波动中显著提升并趋于稳定，但净利润规模仍处于较低水平且恢复缓慢。收入、毛利与净利润需联动分析，重点关注利润兑现与毛利波动是否匹配。若收入扩张快于利润兑现，应审慎评估盈利质量的可持续性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资产负债率呈下降趋势，长期偿债压力有所缓解。然而，货币资金对短期借款的覆盖能力持续大幅减弱，短期流动性风险显著升高。偿债能力由杠杆水平与流动性共同决定，需同步观察资产负债率和短债覆盖能力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天数持续恶化，表明回款能力显著下降，尽管近期收入有所恢复，但运营效率仍面临严峻挑战。运营效率需重点跟踪应收账款周转与收入扩张的匹配程度。若应收周转放缓且收入增速回落，需警惕回款质量下行对现金流的传导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经营现金流数据缺失，无法评估其质量与稳定性。经营现金流当前表现为无法判断，需关注现金回笼与利润质量是否一致。若经营现金流波动较大，应强化订单回款、存货占用与资金调度管理。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天数自2023年起持续超过180天阈值，回款能力显著恶化，存在较高的坏账风险。货币资金对短期借款覆盖率自2024年起已低于20%的警戒线，短期偿债能力严重不足，流动性风险极高。当前已触发硬阈值预警：应收账款周转天数超过180天，回款风险偏高。</w:t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commentRangeStart w:id="9"/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截至XX年X月X日，公司各行贷款余额合计3000万元，其中我行1000万元，XX银行1000万元，XX银行1000万元，五级分类正常。无对外担保、无被追偿记录。</w:t>
            </w:r>
            <w:commentRangeEnd w:id="9"/>
            <w:r>
              <w:rPr>
                <w:rStyle w:val="CommentReference"/>
              </w:rPr>
              <w:commentReference w:id="9"/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材料中未提供中长期借款还款计划及还款资金安排情况。 </w:t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10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 w14:paraId="435548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材料中未提供不良记录情况。 </w:t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实控人黄祖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海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湖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南大学电子商务专业本科学历。2000年5月至2001年12月，任福建实达网络科技有限公司技术工程师；2002年1月至2003年1月，任福建实达网络科技有限公司技术经理；2003年1月至2011年12月，任福建星网锐捷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5424B92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实控人配偶情况：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恩慧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19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个人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征信信息：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可参考实控人征信描述格式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材料中未提供科技型企业评分。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设备故障的检测处理方法、装置和网络设备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ZL201010512112.7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数据缓存管理方法及装置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ZL201010601468.8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一种Web远程docker容器桌面的方法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ZL201910907578.8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1.当前综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合效益（包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括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但不限于：对公有效户、代发签约及发薪量、日均存款、基本户、其他派生业务等）：截至目前，企业在我行日均存款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[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待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日均存款金额]万元，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折对公有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效户年[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效户数量]户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全年结算量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[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全年结算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量金额]万元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[待核实：代发员工人数]名员工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在我行签约代发，上年发薪量[待核实：上年发薪量金额]万元，综合效益较好。</w:t>
            </w:r>
          </w:p>
          <w:p w14:paraId="6148F89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预计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  <w:t>企业在我行可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实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现日均存款[待核实：日均存款金额]万元，折对公有效户年[待核实：对公有效户年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新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增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户数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]户，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全年结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算量[待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算量]万元，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[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员工代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发签约人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]名员工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可在我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行签约代发，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预计可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带来年度发薪量[待核实：年度发薪量]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万元，整体综合效益较好。</w:t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借款原因说明：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目前经营性现金流状况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整体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较好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且账上拥有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货币资金1500万，但因对上游账款预付或现付、下游货款回笼较慢，且前端工序处于涨价周期，对营运资金需求较大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故需申请部分贷款用于补充流动资金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13F0D54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材料中未提供申请中期流动资金贷款的原因分析。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流动资金需求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测算，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营运资金需求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万元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材料中未提供测算数据调整说明。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①第一还款来源（经营性现金流分析）： 2025年经营活动产生的现金流量净额为791万元，为公司主要还款来源。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r>
          </w:p>
          <w:p w14:paraId="0DEB130D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材料中未提供抵质押物变现能力分析及其他渠道现金流分析。 </w:t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1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2523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租赁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920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/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其他补充说明：（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①抵押物土地性质不是“出让”的应重点说明；②如已对外出租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应说明承租人是否同意放弃优先受让权；③如为个人住宅应说明权利人别处可供居住的房屋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（非唯一住宅说明）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我行认可的专业担保公司担保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简要阐述我行内部审批结论（额度、风险分担比例、放大倍数、单户上限等），并说明截止上报日该担保公司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最新担保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情况是否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要求（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包括：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对外担保总额、我行担保余额、净资产和担保倍率等）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本次担保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是否符合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准入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。</w:t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网络行业多年的专业人员，公司可持续性发展趋势良好。</w:t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垒小户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（多头贷款、交叉授信、超融）：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现有合作银行4家，短期贷款2300万元，均是短贷产品。我行此次申请敞口额度1000万元，其中500万元用于补充流动资金需求，故最终整体合作银行仍维持4家，短期贷款2800万元。公司名下无房产，现有固定资产1300万元大部分是生产设备。该公司成立时间较长，上下游客户稳定且较优质，主要生产模具，研发和生产能力较强，团队专业能力较强，法人及团队长经验丰富，企业抗风险能力较强，不存在融资银行垒小户现象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该公司名下无房产，他行贷款均是信用方式，我行此次申请授信敞口1000万，其中500万元由实控人个人房产抵押，剩余500万元为信用方式，并追加实控人个人连带责任保证。</w:t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13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14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p w14:paraId="6AC425A6">
            <w:commentRangeStart w:id="15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p w14:paraId="2FC82B07">
            <w:commentRangeStart w:id="16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269107E9">
            <w:commentRangeStart w:id="17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3096CC3B">
            <w:commentRangeStart w:id="18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1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4T16:54:56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1" w:author="信贷报告 Agent" w:date="2026-04-04T16:54:56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2" w:author="信贷报告 Agent" w:date="2026-04-04T16:54:56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3" w:author="信贷报告 Agent" w:date="2026-04-04T16:54:56Z" w:initials="Agent">
    <w:p>
      <w:r>
        <w:rPr>
          <w:rStyle w:val="CommentReference"/>
        </w:rPr>
        <w:annotationRef/>
      </w:r>
      <w:r>
        <w:t xml:space="preserve">该处“过往两年企业股权变动情况及变动原因”仍为空白，请人工确认。</w:t>
      </w:r>
    </w:p>
  </w:comment>
  <w:comment w:id="4" w:author="信贷报告 Agent" w:date="2026-04-04T16:54:56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5" w:author="信贷报告 Agent" w:date="2026-04-04T16:54:56Z" w:initials="Agent">
    <w:p>
      <w:r>
        <w:rPr>
          <w:rStyle w:val="CommentReference"/>
        </w:rPr>
        <w:annotationRef/>
      </w:r>
      <w:r>
        <w:t xml:space="preserve">该处“合计在”仍为空白，请人工确认。</w:t>
      </w:r>
    </w:p>
  </w:comment>
  <w:comment w:id="6" w:author="信贷报告 Agent" w:date="2026-04-04T16:54:56Z" w:initials="Agent">
    <w:p>
      <w:r>
        <w:rPr>
          <w:rStyle w:val="CommentReference"/>
        </w:rPr>
        <w:annotationRef/>
      </w:r>
      <w:r>
        <w:t xml:space="preserve">该处“主要上游（前五大）”仍为空白，请人工确认。</w:t>
      </w:r>
    </w:p>
  </w:comment>
  <w:comment w:id="7" w:author="信贷报告 Agent" w:date="2026-04-04T16:54:56Z" w:initials="Agent">
    <w:p>
      <w:r>
        <w:rPr>
          <w:rStyle w:val="CommentReference"/>
        </w:rPr>
        <w:annotationRef/>
      </w:r>
      <w:r>
        <w:t xml:space="preserve">该处“主要下游（前五大）”仍为空白，请人工确认。</w:t>
      </w:r>
    </w:p>
  </w:comment>
  <w:comment w:id="8" w:author="信贷报告 Agent" w:date="2026-04-04T16:54:56Z" w:initials="Agent">
    <w:p>
      <w:r>
        <w:rPr>
          <w:rStyle w:val="CommentReference"/>
        </w:rPr>
        <w:annotationRef/>
      </w:r>
      <w:r>
        <w:t xml:space="preserve">该处“最新在手订单列表”仍为空白，请人工确认。</w:t>
      </w:r>
    </w:p>
  </w:comment>
  <w:comment w:id="9" w:author="信贷报告 Agent" w:date="2026-04-04T16:54:56Z" w:initials="Agent">
    <w:p>
      <w:r>
        <w:rPr>
          <w:rStyle w:val="CommentReference"/>
        </w:rPr>
        <w:annotationRef/>
      </w:r>
      <w:r>
        <w:t xml:space="preserve">该处“截至”仍为模板占位符，请人工核实。</w:t>
      </w:r>
    </w:p>
  </w:comment>
  <w:comment w:id="10" w:author="信贷报告 Agent" w:date="2026-04-04T16:54:56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11" w:author="信贷报告 Agent" w:date="2026-04-04T16:54:56Z" w:initials="Agent">
    <w:p>
      <w:r>
        <w:rPr>
          <w:rStyle w:val="CommentReference"/>
        </w:rPr>
        <w:annotationRef/>
      </w:r>
      <w:r>
        <w:t xml:space="preserve">该处“企业营运资金需求”仍为空白，请人工确认。</w:t>
      </w:r>
    </w:p>
  </w:comment>
  <w:comment w:id="12" w:author="信贷报告 Agent" w:date="2026-04-04T16:54:56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13" w:author="信贷报告 Agent" w:date="2026-04-04T16:54:56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14" w:author="信贷报告 Agent" w:date="2026-04-04T16:54:56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15" w:author="信贷报告 Agent" w:date="2026-04-04T16:54:56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16" w:author="信贷报告 Agent" w:date="2026-04-04T16:54:56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17" w:author="信贷报告 Agent" w:date="2026-04-04T16:54:56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18" w:author="信贷报告 Agent" w:date="2026-04-04T16:54:56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19" w:author="信贷报告 Agent" w:date="2026-04-04T16:54:56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