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企业成立于[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待核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成立时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间]，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经营地址（坐落地点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对外抵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位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于福州市马尾区罗星东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路2号海峡经贸广场1#楼A615室（自贸试验区内），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场地面积]平。（自有）厂房/办公楼，占地面积[待核实：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占地面积]，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建筑面积[待核实：建筑面积]，已取得土地证（已收集并核实相关权证，权证号：[待核实：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地证号]）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未抵押/有抵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押（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抵押[待核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实：抵押银行]银行）。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（租用）厂房/办公楼，租用[待核实：出租方公司]（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关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联企业/非关联企业）土地厂房总面积[待核实：租用面积]平，年租金[待核实：年租金]万，按月/季缴纳，已收集租赁合同并核对银行租金流水（租赁信息核对无误）。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60105F5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借款人需在授信期间内，保持资产负债率不高于70%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借款人需在授信期间内，保持流动比率不低于1.2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借款人需在授信期间内，保持主营业务收入同比增长不低于5%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借款人需在授信期间内，保持净利润为正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如未落实，请说明原因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产分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析：公司主营业务为智慧水利与智慧教育解决方案的提供，不涉及传统制造业的规模化生产。企业2023-2025年营业收入分别为121300917.57元、87123689.95元、100096348.09元。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务所审计（出具无保留意见）、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所审计（出具无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保留意见），因为[待核实：更换审计所原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因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]2024年更换审计所：（注意：列表填写完整财务科目，表格根据实际情况增减科目）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2025年末应收账款为7430万元，较2024年末的9253万元下降19.7%，回款情况有所改善。该科目在2022至2024年间持续快速增长，2025年首次出现下降。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其他应收款2025年末为2774万元，较2024年末的3522万元下降21.2%，呈回落趋势。该科目占流动资产比重较高，但材料未披露其具体构成与交易对手，无法评估其回收风险。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存货期末余额为2192万元，较年初的1166万元大幅增长88.0%，主要系原材料及在产品增加所致。该科目占流动资产比重由年初的7.9%上升至16.7%，资产结构有所变化。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长期投资2025年末为3123万元，较2024年末的2518万元增长605万元，增幅达24.0%。该科目自2022年以来呈持续增长趋势，2023至2025年复合增长率达24.0%。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应付账款期末余额为1026万元，较年初的2333万元大幅下降1307万元，降幅达56.0%。该科目连续两年增长后于2025年显著回落，主要系公司偿还供应商款项所致。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2025年末其他应付款为168万元，较2024年末的648万元大幅下降480万元，降幅达74.1%。该科目余额已回落至接近2023年水平，但具体构成及变动原因需企业进一步说明。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企业主营业务收入自2022年的21,198万元持续下滑至2024年的8,712万元，但2025年回升至10,10万元，同比增长14.9%。然而，提供的财务报表材料中未包含对收入变动的具体原因说明。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企业盈利能力持续承压，2025年净利润为494万元，净利率为4.9%，虽较2024年的3.8%有所回升，但收入规模自2022年的21,198万元连续下滑至2025年的10,10万元，是导致利润总额下降的主要原因。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企业2025年末货币资金余额为286万元，较年初的506万元大幅下降43.58%。同时，短期借款余额为4,730万元，虽较年初的4,990万元略有下降，但货币资金对短期借款的覆盖能力显著减弱。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2025年经营活动现金流量净额791万元，投资活动现金流量净额-586万元，筹资活动现金流量净额-426万元。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公司收入在经历连续下滑后于2025年恢复增长，同时毛利率在波动中显著提升并趋于稳定，但净利润规模仍远低于前期水平，盈利能力的恢复尚不稳固。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资产负债率呈持续下降趋势，长期偿债压力有所缓解。然而，货币资金对短期借款的覆盖能力显著恶化，短期流动性风险急剧升高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2025年虽有所改善但仍处高位，显示回款能力严重不足。收入在连续两年大幅下滑后于2025年恢复增长，但运营效率的恶化表明其增长质量与现金流风险值得高度关注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经营现金流数据缺失，无法评估其质量与稳定性。经营现金流当前表现为无法判断，需关注现金回笼与利润质量是否一致。若经营现金流波动较大，应强化订单回款、存货占用与资金调度管理。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2024年起远超警戒线，表明客户回款能力严重不足，信用风险显著升高。货币资金对短期借款的覆盖率自2024年起已低于安全阈值，且持续恶化，企业面临严峻的短期偿债压力。当前已触发硬阈值预警：应收账款周转天数超过180天，回款风险偏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2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材料中未涉及中长期借款还款计划。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3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1.当前综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合效益（包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括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但不限于：对公有效户、代发签约及发薪量、日均存款、基本户、其他派生业务等）：截至目前，企业在我行日均存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日均存款金额]万元，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效户年[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效户数]户，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结算量金额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[待核实：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人数]名员工在我行签约代发，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上年发薪量[待核实：发薪量金额]万元，综合效益较好。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企业在我行可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现日均存款[待核实：日均存款金额]万元，折对公有效户年[待核实：对公有效户年新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增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数]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算量[待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算量金额]万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[待核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发签约员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工人数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]名员工可在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我行签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约代发，预计可带来年度发薪量[待核实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：年度发薪量金额]万元，整体综合效益较好。</w:t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2025年经营活动产生的现金流量净额为791万元，经营活动现金流入14806万元，流出14015万元，经营活动现金流为正，具备一定的第一还款能力。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材料中未提供抵质押物信息及其他渠道现金流分析。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16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7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6AC425A6">
            <w:commentRangeStart w:id="1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2FC82B07">
            <w:commentRangeStart w:id="20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69107E9">
            <w:commentRangeStart w:id="21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3096CC3B">
            <w:commentRangeStart w:id="22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4T16:58:06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4T16:58:06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4T16:58:06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04T16:58:06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5" w:author="信贷报告 Agent" w:date="2026-04-04T16:58:06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6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7" w:author="信贷报告 Agent" w:date="2026-04-04T16:58:06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8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9" w:author="信贷报告 Agent" w:date="2026-04-04T16:58:06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0" w:author="信贷报告 Agent" w:date="2026-04-04T16:58:06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1" w:author="信贷报告 Agent" w:date="2026-04-04T16:58:06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2" w:author="信贷报告 Agent" w:date="2026-04-04T16:58:06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3" w:author="信贷报告 Agent" w:date="2026-04-04T16:58:06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4" w:author="信贷报告 Agent" w:date="2026-04-04T16:58:06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5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6" w:author="信贷报告 Agent" w:date="2026-04-04T16:58:06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17" w:author="信贷报告 Agent" w:date="2026-04-04T16:58:06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8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9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0" w:author="信贷报告 Agent" w:date="2026-04-04T16:58:06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1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2" w:author="信贷报告 Agent" w:date="2026-04-04T16:58:06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3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4" w:author="信贷报告 Agent" w:date="2026-04-04T16:58:06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