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面积及产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息，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无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法核实其经营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稳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性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及资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产抵押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情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况。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360105F5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2024年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A轮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2134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无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无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无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4 月   日，贷款采取自主支付方式发放，通过调取借款人账户流水，1. 943万元向 锐捷网络股份有限公司 有限公司支付 锐捷网络股份有限公司 货款（已提供发票）；2. 186万元转至工行同户名账户，穿透查看用于向 1 个人支付采购竹刨花原料款 100万元，其余用于支付税款；3.____万元元转至农行同户名账户(基本户），用于向37个员工支付工资款。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授信额度1000万元，期限2年，用于流动资金周转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由黄祖海、陈其俤提供连带责任保证担保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授信额度1000万元，期限1年，用于流动资金周转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由黄祖海、陈其俤、福建中锐汉鼎信息技术有限公司提供连带责任保证担保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稳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公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验，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企业的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续经营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和技术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展提供了重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支撑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出租，出租方陈独熹公司/个人，年租金____万元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分析：借款人主营业务为智慧水利与智慧教育解决方案的研发、销售及服务，属于轻资产运营的软件与信息技术服务企业。根据财务报表，公司固定资产规模较小，2025年末固定资产账面价值为93万元，主要为办公及研发设备，符合其行业特性。公司2023年至2025年营业收入分别为1.21亿元、0.87亿元和1.00亿元，呈现波动。2025年营业收入较2024年有所回升，但尚未恢复至2023年水平。材料未提供产能、产量、产销率及用电量等具体生产性指标，无法评估其生产环节的运营效率。公司核心资产体现为无形资产及长期股权投资，2025年末分别为156万元和3,123万元，反映了其在技术研发及对外投资方面的布局。总体来看，公司经营模式不依赖重资产生产，其经营稳定性更多取决于项目获取能力、技术研发投入及下游回款情况。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7"/>
            <w:r>
              <w:rPr>
                <w:rStyle w:val="CommentReference"/>
              </w:rPr>
              <w:commentReference w:id="7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8"/>
            <w:r>
              <w:rPr>
                <w:rStyle w:val="CommentReference"/>
              </w:rPr>
              <w:commentReference w:id="8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企业近三年财务报告均经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审计。2023年度及2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024年度财务报表均由德赢（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福建）会计师事务所（普通合伙）审计，并出具了标准无保留意见的审计报告。材料未提供2025年度审计报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告，其财务数据为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未经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审计的报表。近三年主要财务数据如下：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20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23年末、2024年末及2025年末，公司总资产分别为1.79亿元、1.86亿元和1.70亿元，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呈波动下降趋势；营业收入分别为1.21亿元、0.87亿元和1.00亿元，2024年收入下滑后202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5年有所回升；净利润分别为393万元、329万元和494万元，盈利能力保持稳定。2025年末，公司资产负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债率为42.51%，流动比率为1.82，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短期偿债能力尚可；但期末货币资金仅286万元，较年初大幅减少，对短期债务的覆盖能力较弱。公司经营活动现金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流在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2024年为净流出896万元后，2025年转为净流入791万元，现金流状况有所改善。总体来看，公司经营规模相对稳定，但资产规模收缩，货币资金较为紧张，需关注其流动性管理及对银行融资的依赖。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2025年末应收账款为7430万元，较2024年末的9253万元下降19.7%，回款情况有所改善。但该科目自2022年以来总体呈快速增长趋势，2023年及2024年同比增幅分别达44.1%和45.6%，需关注其历史增长对资产质量的影响。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2025年末其他应收款为2774万元，较2024年末的3522万元下降748万元，降幅达21.2%。该科目余额自2022年末的1432万元起连续两年大幅增长后，于2025年首次出现显著回落。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企业存货2025年末为2192万元，较2024年末的1166万元大幅增加1026万元，增幅达88.0%。结合历史数据，存货在2022年达到5301万元后连续两年下降，2025年的增长逆转了此前的下降趋势。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长期投资2025年末为3123万元，较2024年末的2518万元增长605万元，增幅达24.0%。该科目自2022年以来呈持续增长趋势，2025年增幅显著扩大。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应付账款2025年末为1026万元，较2024年末的2333万元大幅下降56.0%，主要系公司支付供应商货款所致。该科目自2022年以来持续增长至2024年，2025年出现显著回落。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2025年末其他应付款为168万元，较2024年末的648万元大幅下降480万元，降幅达74.1%，主要系往来款项减少所致。7倍。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企业主营业务收入自2022年的21,198万元持续下滑至2024年的8,712万元，但2025年回升至10,10万元，同比增长14.9%。本次提供的财务报表未包含利润表，无法从财务数据层面分析收入变动的具体原因。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企业盈利能力持续承压，2025年净利润为494万元，净利率为4.9%，虽较2024年的3.8%有所回升，但营业收入自2022年的21,198万元连续下滑至2025年的10,10万元，累计降幅超50%，是导致期间净利润从983万元大幅萎缩的主因。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企业2025年末货币资金余额为286万元，较年初的506万元大幅下降43.58%。同时，短期借款余额为4,730万元，虽较年初的4,990万元略有减少，但货币资金对短期借款的覆盖能力显著减弱。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下滑趋势在2025年得到扭转并实现增长，同时毛利率在经历波动后于近两年稳定在较高水平，显示盈利能力的恢复与巩固。毛利率标准差处于可控范围，表明盈利质量趋于稳定。收入、毛利与净利润需联动分析，重点关注利润兑现与毛利波动是否匹配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企业短期偿债压力显著加剧，货币资金对短期债务的保障能力持续恶化。尽管流动比率有所改善且资产负债率呈下降趋势，但核心流动性指标的大幅下滑表明企业即期支付能力存在严重隐患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应收账款周转效率持续恶化，回款能力显著下降。存货管理波动剧烈，近期库存积压风险大幅上升。运营效率需重点跟踪应收账款周转与收入扩张的匹配程度。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现金流数据缺失，无法评估其质量与连续性。经营现金流当前表现为无法判断，需关注现金回笼与利润质量是否一致。若经营现金流波动较大，应强化订单回款、存货占用与资金调度管理。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远超警戒水平，表明客户回款能力严重不足，信用风险显著升高。货币资金对短期借款的覆盖率已降至极低水平，企业面临严峻的短期偿债压力，流动性风险极高。尽管资产负债率有所改善，但前述两项核心指标的严重恶化已构成重大风险信号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根据2025年度现金流量表，公司当年取得借款收到的现金为4286万元，偿还债务支付的现金为4546万元，表明其银行融资处于正常借新还旧的周转状态。公司无对外担保及被追偿记录。材料未提供借款人及实际控制人黄祖海的个人征信报告，无法对其信用状况进行直接评估。</w:t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材料中未提供中长期借款还款计划及还款资金安排情况。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0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材料中未提供不良记录情况。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截至目前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业在我行日均存款情况材料未提供相关信息，无法评估其存款贡献。企业在我行开立了基本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存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款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账户，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账户核准号为J39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100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146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13603。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料未提供企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业在我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行结算量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代发工资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签约及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发薪量、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效户数量等派生业务数据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，因此无法对其综合效益进行量化评价。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企业在我行可实现日均存款约286万元，折对公有效户1户，全年结算量约1.48亿元。材料未提供企业员工代发签约及年度发薪量的相关信息。企业在我行已开立基本存款账户，其主营业务智慧水利与智慧教育均符合国家政策导向，具备一定的技术积累与客户基础，预计未来结算业务将主要围绕其与水利部门、高校及政企客户的业务往来展开。整体来看，授信业务可带来稳定的结算量与存款沉淀，综合效益尚可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材料中未提供申请中期流动资金贷款的原因分析。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材料中未提供测算数据调整说明。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2025年经营活动产生的现金流量净额为791万元，为公司主要还款来源。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材料中未提供抵质押物变现能力分析及其他渠道现金流分析。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100%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网络行业多年的专业人员，公司可持续性发展趋势良好。</w:t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3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AC425A6">
            <w:commentRangeStart w:id="1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2FC82B07">
            <w:commentRangeStart w:id="1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69107E9">
            <w:commentRangeStart w:id="1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3096CC3B">
            <w:commentRangeStart w:id="18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7T10:40:20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7T10:40:20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7T10:40:20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4" w:author="信贷报告 Agent" w:date="2026-04-07T10:40:20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5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6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7" w:author="信贷报告 Agent" w:date="2026-04-07T10:40:20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8" w:author="信贷报告 Agent" w:date="2026-04-07T10:40:20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9" w:author="信贷报告 Agent" w:date="2026-04-07T10:40:20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0" w:author="信贷报告 Agent" w:date="2026-04-07T10:40:20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1" w:author="信贷报告 Agent" w:date="2026-04-07T10:40:20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2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3" w:author="信贷报告 Agent" w:date="2026-04-07T10:40:20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4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5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16" w:author="信贷报告 Agent" w:date="2026-04-07T10:40:20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17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18" w:author="信贷报告 Agent" w:date="2026-04-07T10:40:20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19" w:author="信贷报告 Agent" w:date="2026-04-07T10:40:20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