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公司贷款调查报告撰写规范</w:t>
      </w:r>
    </w:p>
    <w:p>
      <w:pPr>
        <w:jc w:val="center"/>
      </w:pPr>
      <w:r>
        <w:rPr>
          <w:i/>
          <w:sz w:val="18"/>
        </w:rPr>
        <w:t>文号：公司授信 [2024] 第 15 号　版本：v2024.12　生效：2025-01-01　失效：2027-12-31　密级：内部</w:t>
      </w:r>
    </w:p>
    <w:p>
      <w:r>
        <w:rPr>
          <w:b/>
          <w:sz w:val="26"/>
        </w:rPr>
        <w:t>第一章 总则</w:t>
      </w:r>
    </w:p>
    <w:p>
      <w:r>
        <w:t>第一条　为规范本行公司贷款调查报告的格式、内容与撰写标准，制定本规范。</w:t>
      </w:r>
    </w:p>
    <w:p>
      <w:r>
        <w:t>第二条　本规范适用于本行对公贷款业务的客户调查报告（含首贷与续贷）。</w:t>
      </w:r>
    </w:p>
    <w:p>
      <w:r>
        <w:rPr>
          <w:b/>
          <w:sz w:val="26"/>
        </w:rPr>
        <w:t>第二章 报告结构</w:t>
      </w:r>
    </w:p>
    <w:p>
      <w:r>
        <w:rPr>
          <w:b/>
          <w:sz w:val="23"/>
        </w:rPr>
        <w:t>（一）必备章节（按顺序）</w:t>
      </w:r>
    </w:p>
    <w:p>
      <w:pPr>
        <w:pStyle w:val="ListNumber"/>
      </w:pPr>
      <w:r>
        <w:t>1、基本情况（企业信息 · 股东结构 · 关联方关系）</w:t>
      </w:r>
    </w:p>
    <w:p>
      <w:pPr>
        <w:pStyle w:val="ListNumber"/>
      </w:pPr>
      <w:r>
        <w:t>2、经营分析（行业地位 · 主营业务 · 核心客户与供应商）</w:t>
      </w:r>
    </w:p>
    <w:p>
      <w:pPr>
        <w:pStyle w:val="ListNumber"/>
      </w:pPr>
      <w:r>
        <w:t>3、财务分析（3 年财务报表指标 · 偏离度分析 · 同行业对标）</w:t>
      </w:r>
    </w:p>
    <w:p>
      <w:pPr>
        <w:pStyle w:val="ListNumber"/>
      </w:pPr>
      <w:r>
        <w:t>4、现金流分析（经营性现金流覆盖 · 还款来源可靠性）</w:t>
      </w:r>
    </w:p>
    <w:p>
      <w:pPr>
        <w:pStyle w:val="ListNumber"/>
      </w:pPr>
      <w:r>
        <w:t>5、担保分析（担保方式 · 押品评估 · 处置能力）</w:t>
      </w:r>
    </w:p>
    <w:p>
      <w:pPr>
        <w:pStyle w:val="ListNumber"/>
      </w:pPr>
      <w:r>
        <w:t>6、合规与风险（征信情况 · 未决诉讼 · 行政处罚）</w:t>
      </w:r>
    </w:p>
    <w:p>
      <w:pPr>
        <w:pStyle w:val="ListNumber"/>
      </w:pPr>
      <w:r>
        <w:t>7、授信建议（品种 / 额度 / 期限 / 定价 / 条件）</w:t>
      </w:r>
    </w:p>
    <w:p>
      <w:r>
        <w:rPr>
          <w:b/>
          <w:sz w:val="23"/>
        </w:rPr>
        <w:t>（二）必须引用的数据口径</w:t>
      </w:r>
    </w:p>
    <w:p>
      <w:pPr>
        <w:pStyle w:val="ListNumber"/>
      </w:pPr>
      <w:r>
        <w:t>1、财报数据引自最近一期审计报告或经管理层确认的内部报表；</w:t>
      </w:r>
    </w:p>
    <w:p>
      <w:pPr>
        <w:pStyle w:val="ListNumber"/>
      </w:pPr>
      <w:r>
        <w:t>2、流水数据引自银行对账单或第三方数据平台拉取记录；</w:t>
      </w:r>
    </w:p>
    <w:p>
      <w:pPr>
        <w:pStyle w:val="ListNumber"/>
      </w:pPr>
      <w:r>
        <w:t>3、征信数据引自人行征信中心出具的企业信用报告；</w:t>
      </w:r>
    </w:p>
    <w:p>
      <w:pPr>
        <w:pStyle w:val="ListNumber"/>
      </w:pPr>
      <w:r>
        <w:t>4、舆情数据引自正式监管公告、裁判文书网、信用中国等权威渠道。</w:t>
      </w:r>
    </w:p>
    <w:p>
      <w:r>
        <w:rPr>
          <w:b/>
          <w:sz w:val="26"/>
        </w:rPr>
        <w:t>第三章 撰写要求</w:t>
      </w:r>
    </w:p>
    <w:p>
      <w:r>
        <w:t>第三条　数据应溯源：任何结论或数字需注明数据来源文件及页码。</w:t>
      </w:r>
    </w:p>
    <w:p>
      <w:r>
        <w:t>第四条　避免主观臆断：不得使用“大致”、“大概”、“预计”等未经数据支持的模糊表述。</w:t>
      </w:r>
    </w:p>
    <w:p>
      <w:r>
        <w:t>第五条　财务比率必须与 3 年均值及同行业均值对标；显著偏离的需在报告中解释。</w:t>
      </w:r>
    </w:p>
    <w:p>
      <w:r>
        <w:t>第六条　关联交易与关联担保事项必须独立成段披露；不得合并于一般往来中。</w:t>
      </w:r>
    </w:p>
    <w:p/>
    <w:p>
      <w:pPr>
        <w:jc w:val="right"/>
      </w:pPr>
      <w:r>
        <w:t>主办部门：公司部 - 公司客户中心</w:t>
      </w:r>
    </w:p>
    <w:p>
      <w:pPr>
        <w:jc w:val="right"/>
      </w:pPr>
      <w:r>
        <w:t>本版修订日期：2024-12-10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