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对公授信审查要点（2025 版）</w:t>
      </w:r>
    </w:p>
    <w:p>
      <w:pPr>
        <w:jc w:val="center"/>
      </w:pPr>
      <w:r>
        <w:rPr>
          <w:i/>
          <w:sz w:val="18"/>
        </w:rPr>
        <w:t>文号：授信审查 [2025] 第 02 号　版本：v2025.02　生效：2025-03-01　失效：2027-02-28　密级：内部</w:t>
      </w:r>
    </w:p>
    <w:p>
      <w:r>
        <w:rPr>
          <w:b/>
          <w:sz w:val="26"/>
        </w:rPr>
        <w:t>第一章 通用审查要点</w:t>
      </w:r>
    </w:p>
    <w:p>
      <w:pPr>
        <w:pStyle w:val="ListNumber"/>
      </w:pPr>
      <w:r>
        <w:t>1、借款人的主体资格、经营范围、存续情况；</w:t>
      </w:r>
    </w:p>
    <w:p>
      <w:pPr>
        <w:pStyle w:val="ListNumber"/>
      </w:pPr>
      <w:r>
        <w:t>2、财务报告的真实性、完整性及审计意见；</w:t>
      </w:r>
    </w:p>
    <w:p>
      <w:pPr>
        <w:pStyle w:val="ListNumber"/>
      </w:pPr>
      <w:r>
        <w:t>3、征信报告反映的信用状况、逾期记录、查询密度；</w:t>
      </w:r>
    </w:p>
    <w:p>
      <w:pPr>
        <w:pStyle w:val="ListNumber"/>
      </w:pPr>
      <w:r>
        <w:t>4、资金用途合理性及与经营周期匹配度；</w:t>
      </w:r>
    </w:p>
    <w:p>
      <w:pPr>
        <w:pStyle w:val="ListNumber"/>
      </w:pPr>
      <w:r>
        <w:t>5、还款来源第一、第二来源的覆盖测算；</w:t>
      </w:r>
    </w:p>
    <w:p>
      <w:pPr>
        <w:pStyle w:val="ListNumber"/>
      </w:pPr>
      <w:r>
        <w:t>6、担保方式的合法性及价值足额性；</w:t>
      </w:r>
    </w:p>
    <w:p>
      <w:pPr>
        <w:pStyle w:val="ListNumber"/>
      </w:pPr>
      <w:r>
        <w:t>7、反洗钱客户尽职调查记录。</w:t>
      </w:r>
    </w:p>
    <w:p>
      <w:r>
        <w:rPr>
          <w:b/>
          <w:sz w:val="26"/>
        </w:rPr>
        <w:t>第二章 专项审查要点（按客群）</w:t>
      </w:r>
    </w:p>
    <w:p>
      <w:r>
        <w:rPr>
          <w:b/>
          <w:sz w:val="23"/>
        </w:rPr>
        <w:t>（一）小微客户</w:t>
      </w:r>
    </w:p>
    <w:p>
      <w:pPr>
        <w:pStyle w:val="ListNumber"/>
      </w:pPr>
      <w:r>
        <w:t>1、税务合规性（纳税等级 · 近 12 个月纳税波动）；</w:t>
      </w:r>
    </w:p>
    <w:p>
      <w:pPr>
        <w:pStyle w:val="ListNumber"/>
      </w:pPr>
      <w:r>
        <w:t>2、结算流水与营业收入的匹配度；</w:t>
      </w:r>
    </w:p>
    <w:p>
      <w:pPr>
        <w:pStyle w:val="ListNumber"/>
      </w:pPr>
      <w:r>
        <w:t>3、法人信用及家庭金融状况。</w:t>
      </w:r>
    </w:p>
    <w:p>
      <w:r>
        <w:rPr>
          <w:b/>
          <w:sz w:val="23"/>
        </w:rPr>
        <w:t>（二）对公客户</w:t>
      </w:r>
    </w:p>
    <w:p>
      <w:pPr>
        <w:pStyle w:val="ListNumber"/>
      </w:pPr>
      <w:r>
        <w:t>1、核心客户/供应商集中度及变化趋势；</w:t>
      </w:r>
    </w:p>
    <w:p>
      <w:pPr>
        <w:pStyle w:val="ListNumber"/>
      </w:pPr>
      <w:r>
        <w:t>2、关联交易披露充分性；</w:t>
      </w:r>
    </w:p>
    <w:p>
      <w:pPr>
        <w:pStyle w:val="ListNumber"/>
      </w:pPr>
      <w:r>
        <w:t>3、对外担保余额及承担能力；</w:t>
      </w:r>
    </w:p>
    <w:p>
      <w:pPr>
        <w:pStyle w:val="ListNumber"/>
      </w:pPr>
      <w:r>
        <w:t>4、重大合同真实性与履约情况；</w:t>
      </w:r>
    </w:p>
    <w:p>
      <w:pPr>
        <w:pStyle w:val="ListNumber"/>
      </w:pPr>
      <w:r>
        <w:t>5、在建项目资金来源与竣工时间。</w:t>
      </w:r>
    </w:p>
    <w:p>
      <w:r>
        <w:rPr>
          <w:b/>
          <w:sz w:val="23"/>
        </w:rPr>
        <w:t>（三）集团客户</w:t>
      </w:r>
    </w:p>
    <w:p>
      <w:pPr>
        <w:pStyle w:val="ListNumber"/>
      </w:pPr>
      <w:r>
        <w:t>1、集团成员户授信统一管理；</w:t>
      </w:r>
    </w:p>
    <w:p>
      <w:pPr>
        <w:pStyle w:val="ListNumber"/>
      </w:pPr>
      <w:r>
        <w:t>2、集团内部关联担保与资金往来；</w:t>
      </w:r>
    </w:p>
    <w:p>
      <w:pPr>
        <w:pStyle w:val="ListNumber"/>
      </w:pPr>
      <w:r>
        <w:t>3、集团层面的最大在贷余额与风险缓释。</w:t>
      </w:r>
    </w:p>
    <w:p/>
    <w:p>
      <w:pPr>
        <w:jc w:val="right"/>
      </w:pPr>
      <w:r>
        <w:t>主办部门：授信审查部</w:t>
      </w:r>
    </w:p>
    <w:p>
      <w:pPr>
        <w:jc w:val="right"/>
      </w:pPr>
      <w:r>
        <w:t>本版修订日期：2025-02-25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