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对公企业客户准入标准（2026 版）</w:t>
      </w:r>
    </w:p>
    <w:p>
      <w:pPr>
        <w:jc w:val="center"/>
      </w:pPr>
      <w:r>
        <w:rPr>
          <w:i/>
          <w:sz w:val="18"/>
        </w:rPr>
        <w:t>文号：对公准入 [2026] 第 01 号　版本：v2026.01　生效：2026-01-01　失效：2027-12-31　密级：内部</w:t>
      </w:r>
    </w:p>
    <w:p>
      <w:r>
        <w:rPr>
          <w:b/>
          <w:sz w:val="26"/>
        </w:rPr>
        <w:t>第一章 主体准入</w:t>
      </w:r>
    </w:p>
    <w:p>
      <w:pPr>
        <w:pStyle w:val="ListNumber"/>
      </w:pPr>
      <w:r>
        <w:t>1、借款人为依法设立并有效存续的企业法人；</w:t>
      </w:r>
    </w:p>
    <w:p>
      <w:pPr>
        <w:pStyle w:val="ListNumber"/>
      </w:pPr>
      <w:r>
        <w:t>2、成立时间满 3 年；</w:t>
      </w:r>
    </w:p>
    <w:p>
      <w:pPr>
        <w:pStyle w:val="ListNumber"/>
      </w:pPr>
      <w:r>
        <w:t>3、注册资本实缴比例不低于 50%；</w:t>
      </w:r>
    </w:p>
    <w:p>
      <w:pPr>
        <w:pStyle w:val="ListNumber"/>
      </w:pPr>
      <w:r>
        <w:t>4、公司治理结构健全（具备董事会/股东会/监事会）；</w:t>
      </w:r>
    </w:p>
    <w:p>
      <w:pPr>
        <w:pStyle w:val="ListNumber"/>
      </w:pPr>
      <w:r>
        <w:t>5、行业不属于本行年度避开清单。</w:t>
      </w:r>
    </w:p>
    <w:p>
      <w:r>
        <w:rPr>
          <w:b/>
          <w:sz w:val="26"/>
        </w:rPr>
        <w:t>第二章 经营准入</w:t>
      </w:r>
    </w:p>
    <w:p>
      <w:pPr>
        <w:pStyle w:val="ListNumber"/>
      </w:pPr>
      <w:r>
        <w:t>1、近 2 年营业收入连续为正且年增长率在行业合理区间；</w:t>
      </w:r>
    </w:p>
    <w:p>
      <w:pPr>
        <w:pStyle w:val="ListNumber"/>
      </w:pPr>
      <w:r>
        <w:t>2、核心业务毛利率稳定；</w:t>
      </w:r>
    </w:p>
    <w:p>
      <w:pPr>
        <w:pStyle w:val="ListNumber"/>
      </w:pPr>
      <w:r>
        <w:t>3、上下游结构稳定，无重大客户流失；</w:t>
      </w:r>
    </w:p>
    <w:p>
      <w:pPr>
        <w:pStyle w:val="ListNumber"/>
      </w:pPr>
      <w:r>
        <w:t>4、在建项目资金来源合规。</w:t>
      </w:r>
    </w:p>
    <w:p>
      <w:r>
        <w:rPr>
          <w:b/>
          <w:sz w:val="26"/>
        </w:rPr>
        <w:t>第三章 财务准入</w:t>
      </w:r>
    </w:p>
    <w:p>
      <w:pPr>
        <w:pStyle w:val="ListNumber"/>
      </w:pPr>
      <w:r>
        <w:t>1、近 1 年营业收入 ≥ 5000 万元；</w:t>
      </w:r>
    </w:p>
    <w:p>
      <w:pPr>
        <w:pStyle w:val="ListNumber"/>
      </w:pPr>
      <w:r>
        <w:t>2、总资产 ≥ 3000 万元；</w:t>
      </w:r>
    </w:p>
    <w:p>
      <w:pPr>
        <w:pStyle w:val="ListNumber"/>
      </w:pPr>
      <w:r>
        <w:t>3、资产负债率 ≤ 70%（制造业可放宽至 75%）；</w:t>
      </w:r>
    </w:p>
    <w:p>
      <w:pPr>
        <w:pStyle w:val="ListNumber"/>
      </w:pPr>
      <w:r>
        <w:t>4、速动比率 ≥ 0.8；</w:t>
      </w:r>
    </w:p>
    <w:p>
      <w:pPr>
        <w:pStyle w:val="ListNumber"/>
      </w:pPr>
      <w:r>
        <w:t>5、经营性现金流净额近 2 年累计为正。</w:t>
      </w:r>
    </w:p>
    <w:p>
      <w:r>
        <w:rPr>
          <w:b/>
          <w:sz w:val="26"/>
        </w:rPr>
        <w:t>第四章 合规准入</w:t>
      </w:r>
    </w:p>
    <w:p>
      <w:pPr>
        <w:pStyle w:val="ListNumber"/>
      </w:pPr>
      <w:r>
        <w:t>1、最近 3 年审计报告为标准无保留意见；</w:t>
      </w:r>
    </w:p>
    <w:p>
      <w:pPr>
        <w:pStyle w:val="ListNumber"/>
      </w:pPr>
      <w:r>
        <w:t>2、未披露的对外担保余额不超过净资产的 50%；</w:t>
      </w:r>
    </w:p>
    <w:p>
      <w:pPr>
        <w:pStyle w:val="ListNumber"/>
      </w:pPr>
      <w:r>
        <w:t>3、无正在进行的重大诉讼（涉案金额超过净资产 10%）。</w:t>
      </w:r>
    </w:p>
    <w:p/>
    <w:p>
      <w:pPr>
        <w:jc w:val="right"/>
      </w:pPr>
      <w:r>
        <w:t>主办部门：公司授信部</w:t>
      </w:r>
    </w:p>
    <w:p>
      <w:pPr>
        <w:jc w:val="right"/>
      </w:pPr>
      <w:r>
        <w:t>本版修订日期：2025-12-22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