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小微企业客户准入标准（2026 版）</w:t>
      </w:r>
    </w:p>
    <w:p>
      <w:pPr>
        <w:jc w:val="center"/>
      </w:pPr>
      <w:r>
        <w:rPr>
          <w:i/>
          <w:sz w:val="18"/>
        </w:rPr>
        <w:t>文号：小微准入 [2026] 第 01 号　版本：v2026.01　生效：2026-01-01　失效：2027-12-31　密级：内部</w:t>
      </w:r>
    </w:p>
    <w:p>
      <w:r>
        <w:rPr>
          <w:b/>
          <w:sz w:val="26"/>
        </w:rPr>
        <w:t>第一章 主体准入</w:t>
      </w:r>
    </w:p>
    <w:p>
      <w:pPr>
        <w:pStyle w:val="ListNumber"/>
      </w:pPr>
      <w:r>
        <w:t>1、借款人为依法设立并有效存续的企业法人；</w:t>
      </w:r>
    </w:p>
    <w:p>
      <w:pPr>
        <w:pStyle w:val="ListNumber"/>
      </w:pPr>
      <w:r>
        <w:t>2、成立时间满 18 个月（高新技术企业可放宽至 12 个月）；</w:t>
      </w:r>
    </w:p>
    <w:p>
      <w:pPr>
        <w:pStyle w:val="ListNumber"/>
      </w:pPr>
      <w:r>
        <w:t>3、注册资本符合行业常识且实缴比例不低于 30%；</w:t>
      </w:r>
    </w:p>
    <w:p>
      <w:pPr>
        <w:pStyle w:val="ListNumber"/>
      </w:pPr>
      <w:r>
        <w:t>4、经营场所具备真实办公/生产能力；</w:t>
      </w:r>
    </w:p>
    <w:p>
      <w:pPr>
        <w:pStyle w:val="ListNumber"/>
      </w:pPr>
      <w:r>
        <w:t>5、行业不属于本行年度避开清单。</w:t>
      </w:r>
    </w:p>
    <w:p>
      <w:r>
        <w:rPr>
          <w:b/>
          <w:sz w:val="26"/>
        </w:rPr>
        <w:t>第二章 经营准入</w:t>
      </w:r>
    </w:p>
    <w:p>
      <w:pPr>
        <w:pStyle w:val="ListNumber"/>
      </w:pPr>
      <w:r>
        <w:t>1、近 12 个月月均结算流水不低于 30 万元；</w:t>
      </w:r>
    </w:p>
    <w:p>
      <w:pPr>
        <w:pStyle w:val="ListNumber"/>
      </w:pPr>
      <w:r>
        <w:t>2、近 3 个月内无大额异常出账（单笔 &gt; 100 万元且无合理业务匹配）；</w:t>
      </w:r>
    </w:p>
    <w:p>
      <w:pPr>
        <w:pStyle w:val="ListNumber"/>
      </w:pPr>
      <w:r>
        <w:t>3、核心客户/供应商集中度不超过 60%；</w:t>
      </w:r>
    </w:p>
    <w:p>
      <w:pPr>
        <w:pStyle w:val="ListNumber"/>
      </w:pPr>
      <w:r>
        <w:t>4、主业与工商登记经营范围相符。</w:t>
      </w:r>
    </w:p>
    <w:p>
      <w:r>
        <w:rPr>
          <w:b/>
          <w:sz w:val="26"/>
        </w:rPr>
        <w:t>第三章 信用准入</w:t>
      </w:r>
    </w:p>
    <w:p>
      <w:pPr>
        <w:pStyle w:val="ListNumber"/>
      </w:pPr>
      <w:r>
        <w:t>1、法人代表征信查询 30 天内无新增逾期；</w:t>
      </w:r>
    </w:p>
    <w:p>
      <w:pPr>
        <w:pStyle w:val="ListNumber"/>
      </w:pPr>
      <w:r>
        <w:t>2、企业征信无当前关注类及以下分类；</w:t>
      </w:r>
    </w:p>
    <w:p>
      <w:pPr>
        <w:pStyle w:val="ListNumber"/>
      </w:pPr>
      <w:r>
        <w:t>3、近 24 个月未被监管机构行政处罚（金额 &gt; 5 万元）；</w:t>
      </w:r>
    </w:p>
    <w:p>
      <w:pPr>
        <w:pStyle w:val="ListNumber"/>
      </w:pPr>
      <w:r>
        <w:t>4、无失信被执行记录。</w:t>
      </w:r>
    </w:p>
    <w:p>
      <w:r>
        <w:rPr>
          <w:b/>
          <w:sz w:val="26"/>
        </w:rPr>
        <w:t>第四章 财务准入</w:t>
      </w:r>
    </w:p>
    <w:p>
      <w:pPr>
        <w:pStyle w:val="ListNumber"/>
      </w:pPr>
      <w:r>
        <w:t>1、近 1 年营业收入 ≥ 800 万元；</w:t>
      </w:r>
    </w:p>
    <w:p>
      <w:pPr>
        <w:pStyle w:val="ListNumber"/>
      </w:pPr>
      <w:r>
        <w:t>2、毛利率 ≥ 8%（特殊行业另行约定）；</w:t>
      </w:r>
    </w:p>
    <w:p>
      <w:pPr>
        <w:pStyle w:val="ListNumber"/>
      </w:pPr>
      <w:r>
        <w:t>3、资产负债率 ≤ 75%；</w:t>
      </w:r>
    </w:p>
    <w:p>
      <w:pPr>
        <w:pStyle w:val="ListNumber"/>
      </w:pPr>
      <w:r>
        <w:t>4、经营性现金流净额近 2 年连续为正。</w:t>
      </w:r>
    </w:p>
    <w:p/>
    <w:p>
      <w:pPr>
        <w:jc w:val="right"/>
      </w:pPr>
      <w:r>
        <w:t>主办部门：小微业务中心</w:t>
      </w:r>
    </w:p>
    <w:p>
      <w:pPr>
        <w:jc w:val="right"/>
      </w:pPr>
      <w:r>
        <w:t>本版修订日期：2025-12-18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