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KYC 客户尽职调查操作规范（2025 版）</w:t>
      </w:r>
    </w:p>
    <w:p>
      <w:pPr>
        <w:jc w:val="center"/>
      </w:pPr>
      <w:r>
        <w:rPr>
          <w:i/>
          <w:sz w:val="18"/>
        </w:rPr>
        <w:t>文号：反洗钱 [2025] 第 04 号　版本：v2025.04　生效：2025-05-01　失效：2027-04-30　密级：内部</w:t>
      </w:r>
    </w:p>
    <w:p>
      <w:r>
        <w:rPr>
          <w:b/>
          <w:sz w:val="26"/>
        </w:rPr>
        <w:t>第一章 调查对象</w:t>
      </w:r>
    </w:p>
    <w:p>
      <w:pPr>
        <w:pStyle w:val="ListNumber"/>
      </w:pPr>
      <w:r>
        <w:t>1、初次建立业务关系的客户；</w:t>
      </w:r>
    </w:p>
    <w:p>
      <w:pPr>
        <w:pStyle w:val="ListNumber"/>
      </w:pPr>
      <w:r>
        <w:t>2、现有客户重要信息发生变更；</w:t>
      </w:r>
    </w:p>
    <w:p>
      <w:pPr>
        <w:pStyle w:val="ListNumber"/>
      </w:pPr>
      <w:r>
        <w:t>3、高风险等级客户定期重审（1 年 1 次）；</w:t>
      </w:r>
    </w:p>
    <w:p>
      <w:pPr>
        <w:pStyle w:val="ListNumber"/>
      </w:pPr>
      <w:r>
        <w:t>4、与本行发生单笔 ≥ 100 万元大额交易的自然人或法人。</w:t>
      </w:r>
    </w:p>
    <w:p>
      <w:r>
        <w:rPr>
          <w:b/>
          <w:sz w:val="26"/>
        </w:rPr>
        <w:t>第二章 身份识别要素</w:t>
      </w:r>
    </w:p>
    <w:p>
      <w:r>
        <w:rPr>
          <w:b/>
          <w:sz w:val="23"/>
        </w:rPr>
        <w:t>（一）法人客户</w:t>
      </w:r>
    </w:p>
    <w:p>
      <w:pPr>
        <w:pStyle w:val="ListNumber"/>
      </w:pPr>
      <w:r>
        <w:t>1、注册名称 / 统一社会信用代码 / 注册地址 / 经营地址 / 法定代表人；</w:t>
      </w:r>
    </w:p>
    <w:p>
      <w:pPr>
        <w:pStyle w:val="ListNumber"/>
      </w:pPr>
      <w:r>
        <w:t>2、股权结构（至少至实际受益人）；</w:t>
      </w:r>
    </w:p>
    <w:p>
      <w:pPr>
        <w:pStyle w:val="ListNumber"/>
      </w:pPr>
      <w:r>
        <w:t>3、经营范围 / 行业分类；</w:t>
      </w:r>
    </w:p>
    <w:p>
      <w:pPr>
        <w:pStyle w:val="ListNumber"/>
      </w:pPr>
      <w:r>
        <w:t>4、主要客户/供应商；</w:t>
      </w:r>
    </w:p>
    <w:p>
      <w:pPr>
        <w:pStyle w:val="ListNumber"/>
      </w:pPr>
      <w:r>
        <w:t>5、关联企业结构图。</w:t>
      </w:r>
    </w:p>
    <w:p>
      <w:r>
        <w:rPr>
          <w:b/>
          <w:sz w:val="23"/>
        </w:rPr>
        <w:t>（二）自然人客户</w:t>
      </w:r>
    </w:p>
    <w:p>
      <w:pPr>
        <w:pStyle w:val="ListNumber"/>
      </w:pPr>
      <w:r>
        <w:t>1、姓名 / 身份证件号码 / 国籍；</w:t>
      </w:r>
    </w:p>
    <w:p>
      <w:pPr>
        <w:pStyle w:val="ListNumber"/>
      </w:pPr>
      <w:r>
        <w:t>2、职业 / 收入来源；</w:t>
      </w:r>
    </w:p>
    <w:p>
      <w:pPr>
        <w:pStyle w:val="ListNumber"/>
      </w:pPr>
      <w:r>
        <w:t>3、住所与联系方式；</w:t>
      </w:r>
    </w:p>
    <w:p>
      <w:pPr>
        <w:pStyle w:val="ListNumber"/>
      </w:pPr>
      <w:r>
        <w:t>4、是否属于政治公众人物（PEP）。</w:t>
      </w:r>
    </w:p>
    <w:p>
      <w:r>
        <w:rPr>
          <w:b/>
          <w:sz w:val="26"/>
        </w:rPr>
        <w:t>第三章 风险等级评估</w:t>
      </w:r>
    </w:p>
    <w:p>
      <w:pPr>
        <w:pStyle w:val="ListNumber"/>
      </w:pPr>
      <w:r>
        <w:t>1、低风险：普通商业企业 / 无跨境业务 / 行业风险较低；</w:t>
      </w:r>
    </w:p>
    <w:p>
      <w:pPr>
        <w:pStyle w:val="ListNumber"/>
      </w:pPr>
      <w:r>
        <w:t>2、中风险：涉及跨境结算 / 商贸/建材/地产等高现金行业；</w:t>
      </w:r>
    </w:p>
    <w:p>
      <w:pPr>
        <w:pStyle w:val="ListNumber"/>
      </w:pPr>
      <w:r>
        <w:t>3、高风险：涉及现金密集行业 / 关联交易复杂 / 政治公众人物相关。</w:t>
      </w:r>
    </w:p>
    <w:p>
      <w:r>
        <w:rPr>
          <w:b/>
          <w:sz w:val="26"/>
        </w:rPr>
        <w:t>第四章 持续监控</w:t>
      </w:r>
    </w:p>
    <w:p>
      <w:r>
        <w:t>第一条　客户经理应按客户风险等级对应的频率开展后续监控，发现异常及时上报。</w:t>
      </w:r>
    </w:p>
    <w:p/>
    <w:p>
      <w:pPr>
        <w:jc w:val="right"/>
      </w:pPr>
      <w:r>
        <w:t>主办部门：合规部 - 反洗钱中心</w:t>
      </w:r>
    </w:p>
    <w:p>
      <w:pPr>
        <w:jc w:val="right"/>
      </w:pPr>
      <w:r>
        <w:t>本版修订日期：2025-04-22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