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兴旺生鲜合作联社（寿光） 客户画像（脱敏档案）</w:t>
      </w:r>
    </w:p>
    <w:p>
      <w:r>
        <w:rPr>
          <w:i/>
        </w:rPr>
        <w:t>本档由对应分行客户经理维护 · 用于本行获客推荐与 look-alike 匹配的种子样本。</w:t>
      </w:r>
    </w:p>
    <w:p>
      <w:pPr>
        <w:pStyle w:val="Heading2"/>
      </w:pPr>
      <w:r>
        <w:t>基本信息</w:t>
      </w:r>
    </w:p>
    <w:p>
      <w:r>
        <w:rPr>
          <w:b/>
        </w:rPr>
        <w:t>行业：</w:t>
      </w:r>
      <w:r>
        <w:t>农业-蔬菜合作社</w:t>
      </w:r>
    </w:p>
    <w:p>
      <w:r>
        <w:rPr>
          <w:b/>
        </w:rPr>
        <w:t>区域：</w:t>
      </w:r>
      <w:r>
        <w:t>山东省潍坊市寿光市</w:t>
      </w:r>
    </w:p>
    <w:p>
      <w:r>
        <w:rPr>
          <w:b/>
        </w:rPr>
        <w:t>规模：</w:t>
      </w:r>
      <w:r>
        <w:t>中型（营收约 1.2 亿/联合农户 680 户）</w:t>
      </w:r>
    </w:p>
    <w:p>
      <w:pPr>
        <w:pStyle w:val="Heading2"/>
      </w:pPr>
      <w:r>
        <w:t>成交情况</w:t>
      </w:r>
    </w:p>
    <w:p>
      <w:r>
        <w:rPr>
          <w:b/>
        </w:rPr>
        <w:t>首次成交时间：</w:t>
      </w:r>
      <w:r>
        <w:t>2022-10</w:t>
      </w:r>
    </w:p>
    <w:p>
      <w:r>
        <w:rPr>
          <w:b/>
        </w:rPr>
        <w:t>成交产品：</w:t>
      </w:r>
      <w:r>
        <w:t>助农贷 1500 万（联保+保证）</w:t>
      </w:r>
    </w:p>
    <w:p>
      <w:r>
        <w:rPr>
          <w:b/>
        </w:rPr>
        <w:t>授信额度（万元）：</w:t>
      </w:r>
      <w:r>
        <w:t>1500</w:t>
      </w:r>
    </w:p>
    <w:p>
      <w:pPr>
        <w:pStyle w:val="Heading2"/>
      </w:pPr>
      <w:r>
        <w:t>业务亮点</w:t>
      </w:r>
    </w:p>
    <w:p>
      <w:pPr>
        <w:pStyle w:val="ListBullet"/>
      </w:pPr>
      <w:r>
        <w:t>设施蔬菜合作联社 · 国家级示范</w:t>
      </w:r>
    </w:p>
    <w:p>
      <w:pPr>
        <w:pStyle w:val="ListBullet"/>
      </w:pPr>
      <w:r>
        <w:t>覆盖华北商超直采 + 长三角批发</w:t>
      </w:r>
    </w:p>
    <w:p>
      <w:pPr>
        <w:pStyle w:val="ListBullet"/>
      </w:pPr>
      <w:r>
        <w:t>建成冷库 1.5 万立方米</w:t>
      </w:r>
    </w:p>
    <w:p>
      <w:pPr>
        <w:pStyle w:val="Heading2"/>
      </w:pPr>
      <w:r>
        <w:t>风险观察</w:t>
      </w:r>
    </w:p>
    <w:p>
      <w:pPr>
        <w:pStyle w:val="ListBullet"/>
      </w:pPr>
      <w:r>
        <w:t>天气 + 疫情因子影响产量波动</w:t>
      </w:r>
    </w:p>
    <w:p>
      <w:pPr>
        <w:pStyle w:val="ListBullet"/>
      </w:pPr>
      <w:r>
        <w:t>联保机制已覆盖 90% 额度</w:t>
      </w:r>
    </w:p>
    <w:p>
      <w:pPr>
        <w:pStyle w:val="Heading2"/>
      </w:pPr>
      <w:r>
        <w:t>客户经理备注</w:t>
      </w:r>
    </w:p>
    <w:p>
      <w:r>
        <w:t>潍坊分行涉农金融 · 与当地农担公司合作</w:t>
      </w:r>
    </w:p>
    <w:p/>
    <w:p>
      <w:pPr>
        <w:jc w:val="right"/>
      </w:pPr>
      <w:r>
        <w:t>档案版本：v2 · 维护主体：对应分行 · 档案密级：内部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