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融创建材连锁（成都）有限公司 客户画像（脱敏档案）</w:t>
      </w:r>
    </w:p>
    <w:p>
      <w:r>
        <w:rPr>
          <w:i/>
        </w:rPr>
        <w:t>本档由对应分行客户经理维护 · 用于本行获客推荐与 look-alike 匹配的种子样本。</w:t>
      </w:r>
    </w:p>
    <w:p>
      <w:pPr>
        <w:pStyle w:val="Heading2"/>
      </w:pPr>
      <w:r>
        <w:t>基本信息</w:t>
      </w:r>
    </w:p>
    <w:p>
      <w:r>
        <w:rPr>
          <w:b/>
        </w:rPr>
        <w:t>行业：</w:t>
      </w:r>
      <w:r>
        <w:t>零售商贸-建材</w:t>
      </w:r>
    </w:p>
    <w:p>
      <w:r>
        <w:rPr>
          <w:b/>
        </w:rPr>
        <w:t>区域：</w:t>
      </w:r>
      <w:r>
        <w:t>四川省成都市武侯区</w:t>
      </w:r>
    </w:p>
    <w:p>
      <w:r>
        <w:rPr>
          <w:b/>
        </w:rPr>
        <w:t>规模：</w:t>
      </w:r>
      <w:r>
        <w:t>小型（营收约 9200 万/员工 58 人）</w:t>
      </w:r>
    </w:p>
    <w:p>
      <w:pPr>
        <w:pStyle w:val="Heading2"/>
      </w:pPr>
      <w:r>
        <w:t>成交情况</w:t>
      </w:r>
    </w:p>
    <w:p>
      <w:r>
        <w:rPr>
          <w:b/>
        </w:rPr>
        <w:t>首次成交时间：</w:t>
      </w:r>
      <w:r>
        <w:t>2023-04</w:t>
      </w:r>
    </w:p>
    <w:p>
      <w:r>
        <w:rPr>
          <w:b/>
        </w:rPr>
        <w:t>成交产品：</w:t>
      </w:r>
      <w:r>
        <w:t>经营性贷款 500 万 + 承兑 1000 万</w:t>
      </w:r>
    </w:p>
    <w:p>
      <w:r>
        <w:rPr>
          <w:b/>
        </w:rPr>
        <w:t>授信额度（万元）：</w:t>
      </w:r>
      <w:r>
        <w:t>500</w:t>
      </w:r>
    </w:p>
    <w:p>
      <w:pPr>
        <w:pStyle w:val="Heading2"/>
      </w:pPr>
      <w:r>
        <w:t>业务亮点</w:t>
      </w:r>
    </w:p>
    <w:p>
      <w:pPr>
        <w:pStyle w:val="ListBullet"/>
      </w:pPr>
      <w:r>
        <w:t>西南建材连锁 · 门店 18 家 + 加盟 36 家</w:t>
      </w:r>
    </w:p>
    <w:p>
      <w:pPr>
        <w:pStyle w:val="ListBullet"/>
      </w:pPr>
      <w:r>
        <w:t>与 3 家主流涂料品牌签区域代理</w:t>
      </w:r>
    </w:p>
    <w:p>
      <w:pPr>
        <w:pStyle w:val="ListBullet"/>
      </w:pPr>
      <w:r>
        <w:t>数字化订货系统上线</w:t>
      </w:r>
    </w:p>
    <w:p>
      <w:pPr>
        <w:pStyle w:val="Heading2"/>
      </w:pPr>
      <w:r>
        <w:t>风险观察</w:t>
      </w:r>
    </w:p>
    <w:p>
      <w:pPr>
        <w:pStyle w:val="ListBullet"/>
      </w:pPr>
      <w:r>
        <w:t>地产下游传导影响较大</w:t>
      </w:r>
    </w:p>
    <w:p>
      <w:pPr>
        <w:pStyle w:val="ListBullet"/>
      </w:pPr>
      <w:r>
        <w:t>应收账款账期 90-120 天</w:t>
      </w:r>
    </w:p>
    <w:p>
      <w:pPr>
        <w:pStyle w:val="ListBullet"/>
      </w:pPr>
      <w:r>
        <w:t>2024 年已收紧新增地产项目客户</w:t>
      </w:r>
    </w:p>
    <w:p>
      <w:pPr>
        <w:pStyle w:val="Heading2"/>
      </w:pPr>
      <w:r>
        <w:t>客户经理备注</w:t>
      </w:r>
    </w:p>
    <w:p>
      <w:r>
        <w:t>成都分行关注类观察中 · 2025Q2 重审</w:t>
      </w:r>
    </w:p>
    <w:p/>
    <w:p>
      <w:pPr>
        <w:jc w:val="right"/>
      </w:pPr>
      <w:r>
        <w:t>档案版本：v2 · 维护主体：对应分行 · 档案密级：内部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