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海通机电贸易（青岛）有限公司 客户画像（脱敏档案）</w:t>
      </w:r>
    </w:p>
    <w:p>
      <w:r>
        <w:rPr>
          <w:i/>
        </w:rPr>
        <w:t>本档由对应分行客户经理维护 · 用于本行获客推荐与 look-alike 匹配的种子样本。</w:t>
      </w:r>
    </w:p>
    <w:p>
      <w:pPr>
        <w:pStyle w:val="Heading2"/>
      </w:pPr>
      <w:r>
        <w:t>基本信息</w:t>
      </w:r>
    </w:p>
    <w:p>
      <w:r>
        <w:rPr>
          <w:b/>
        </w:rPr>
        <w:t>行业：</w:t>
      </w:r>
      <w:r>
        <w:t>跨境外贸-机电出口</w:t>
      </w:r>
    </w:p>
    <w:p>
      <w:r>
        <w:rPr>
          <w:b/>
        </w:rPr>
        <w:t>区域：</w:t>
      </w:r>
      <w:r>
        <w:t>山东省青岛市市南区</w:t>
      </w:r>
    </w:p>
    <w:p>
      <w:r>
        <w:rPr>
          <w:b/>
        </w:rPr>
        <w:t>规模：</w:t>
      </w:r>
      <w:r>
        <w:t>中型（营收约 1.8 亿/员工 76 人）</w:t>
      </w:r>
    </w:p>
    <w:p>
      <w:pPr>
        <w:pStyle w:val="Heading2"/>
      </w:pPr>
      <w:r>
        <w:t>成交情况</w:t>
      </w:r>
    </w:p>
    <w:p>
      <w:r>
        <w:rPr>
          <w:b/>
        </w:rPr>
        <w:t>首次成交时间：</w:t>
      </w:r>
      <w:r>
        <w:t>2023-09</w:t>
      </w:r>
    </w:p>
    <w:p>
      <w:r>
        <w:rPr>
          <w:b/>
        </w:rPr>
        <w:t>成交产品：</w:t>
      </w:r>
      <w:r>
        <w:t>国内信用证 + 福费廷 2000 万</w:t>
      </w:r>
    </w:p>
    <w:p>
      <w:r>
        <w:rPr>
          <w:b/>
        </w:rPr>
        <w:t>授信额度（万元）：</w:t>
      </w:r>
      <w:r>
        <w:t>2000</w:t>
      </w:r>
    </w:p>
    <w:p>
      <w:pPr>
        <w:pStyle w:val="Heading2"/>
      </w:pPr>
      <w:r>
        <w:t>业务亮点</w:t>
      </w:r>
    </w:p>
    <w:p>
      <w:pPr>
        <w:pStyle w:val="ListBullet"/>
      </w:pPr>
      <w:r>
        <w:t>机电产品综合商社 · 主力市场东南亚 + 南美</w:t>
      </w:r>
    </w:p>
    <w:p>
      <w:pPr>
        <w:pStyle w:val="ListBullet"/>
      </w:pPr>
      <w:r>
        <w:t>海关 AEO 高级认证</w:t>
      </w:r>
    </w:p>
    <w:p>
      <w:pPr>
        <w:pStyle w:val="ListBullet"/>
      </w:pPr>
      <w:r>
        <w:t>年度出口额 2800 万美元</w:t>
      </w:r>
    </w:p>
    <w:p>
      <w:pPr>
        <w:pStyle w:val="Heading2"/>
      </w:pPr>
      <w:r>
        <w:t>风险观察</w:t>
      </w:r>
    </w:p>
    <w:p>
      <w:pPr>
        <w:pStyle w:val="ListBullet"/>
      </w:pPr>
      <w:r>
        <w:t>汇率波动敏感 · 已做期权锁汇</w:t>
      </w:r>
    </w:p>
    <w:p>
      <w:pPr>
        <w:pStyle w:val="ListBullet"/>
      </w:pPr>
      <w:r>
        <w:t>目标市场关税政策风险</w:t>
      </w:r>
    </w:p>
    <w:p>
      <w:pPr>
        <w:pStyle w:val="ListBullet"/>
      </w:pPr>
      <w:r>
        <w:t>应收账款以 L/C 为主 · 风险较低</w:t>
      </w:r>
    </w:p>
    <w:p>
      <w:pPr>
        <w:pStyle w:val="Heading2"/>
      </w:pPr>
      <w:r>
        <w:t>客户经理备注</w:t>
      </w:r>
    </w:p>
    <w:p>
      <w:r>
        <w:t>青岛分行国际业务主推 · 本行出口贷标杆</w:t>
      </w:r>
    </w:p>
    <w:p/>
    <w:p>
      <w:pPr>
        <w:jc w:val="right"/>
      </w:pPr>
      <w:r>
        <w:t>档案版本：v2 · 维护主体：对应分行 · 档案密级：内部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