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颂安医疗器械（苏州）有限公司 客户画像（脱敏档案）</w:t>
      </w:r>
    </w:p>
    <w:p>
      <w:r>
        <w:rPr>
          <w:i/>
        </w:rPr>
        <w:t>本档由对应分行客户经理维护 · 用于本行获客推荐与 look-alike 匹配的种子样本。</w:t>
      </w:r>
    </w:p>
    <w:p>
      <w:pPr>
        <w:pStyle w:val="Heading2"/>
      </w:pPr>
      <w:r>
        <w:t>基本信息</w:t>
      </w:r>
    </w:p>
    <w:p>
      <w:r>
        <w:rPr>
          <w:b/>
        </w:rPr>
        <w:t>行业：</w:t>
      </w:r>
      <w:r>
        <w:t>制造业-医疗影像零部件</w:t>
      </w:r>
    </w:p>
    <w:p>
      <w:r>
        <w:rPr>
          <w:b/>
        </w:rPr>
        <w:t>区域：</w:t>
      </w:r>
      <w:r>
        <w:t>江苏省苏州市吴中区</w:t>
      </w:r>
    </w:p>
    <w:p>
      <w:r>
        <w:rPr>
          <w:b/>
        </w:rPr>
        <w:t>规模：</w:t>
      </w:r>
      <w:r>
        <w:t>小型（营收约 3800 万/员工 52 人）</w:t>
      </w:r>
    </w:p>
    <w:p>
      <w:pPr>
        <w:pStyle w:val="Heading2"/>
      </w:pPr>
      <w:r>
        <w:t>成交情况</w:t>
      </w:r>
    </w:p>
    <w:p>
      <w:r>
        <w:rPr>
          <w:b/>
        </w:rPr>
        <w:t>首次成交时间：</w:t>
      </w:r>
      <w:r>
        <w:t>2024-06</w:t>
      </w:r>
    </w:p>
    <w:p>
      <w:r>
        <w:rPr>
          <w:b/>
        </w:rPr>
        <w:t>成交产品：</w:t>
      </w:r>
      <w:r>
        <w:t>科技贷 400 万</w:t>
      </w:r>
    </w:p>
    <w:p>
      <w:r>
        <w:rPr>
          <w:b/>
        </w:rPr>
        <w:t>授信额度（万元）：</w:t>
      </w:r>
      <w:r>
        <w:t>400</w:t>
      </w:r>
    </w:p>
    <w:p>
      <w:pPr>
        <w:pStyle w:val="Heading2"/>
      </w:pPr>
      <w:r>
        <w:t>业务亮点</w:t>
      </w:r>
    </w:p>
    <w:p>
      <w:pPr>
        <w:pStyle w:val="ListBullet"/>
      </w:pPr>
      <w:r>
        <w:t>DR/CT 影像设备结构件 · 进入 3 家头部客户合格供方</w:t>
      </w:r>
    </w:p>
    <w:p>
      <w:pPr>
        <w:pStyle w:val="ListBullet"/>
      </w:pPr>
      <w:r>
        <w:t>ISO13485 认证</w:t>
      </w:r>
    </w:p>
    <w:p>
      <w:pPr>
        <w:pStyle w:val="ListBullet"/>
      </w:pPr>
      <w:r>
        <w:t>市级专精特新</w:t>
      </w:r>
    </w:p>
    <w:p>
      <w:pPr>
        <w:pStyle w:val="Heading2"/>
      </w:pPr>
      <w:r>
        <w:t>风险观察</w:t>
      </w:r>
    </w:p>
    <w:p>
      <w:pPr>
        <w:pStyle w:val="ListBullet"/>
      </w:pPr>
      <w:r>
        <w:t>医疗器械行业监管严格</w:t>
      </w:r>
    </w:p>
    <w:p>
      <w:pPr>
        <w:pStyle w:val="ListBullet"/>
      </w:pPr>
      <w:r>
        <w:t>出口欧洲样件订单需关注 CE 进度</w:t>
      </w:r>
    </w:p>
    <w:p>
      <w:pPr>
        <w:pStyle w:val="Heading2"/>
      </w:pPr>
      <w:r>
        <w:t>客户经理备注</w:t>
      </w:r>
    </w:p>
    <w:p>
      <w:r>
        <w:t>苏州分行科创金融 · 2025Q1 营收同比 +28%</w:t>
      </w:r>
    </w:p>
    <w:p/>
    <w:p>
      <w:pPr>
        <w:jc w:val="right"/>
      </w:pPr>
      <w:r>
        <w:t>档案版本：v2 · 维护主体：对应分行 · 档案密级：内部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