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2026 年度客户拓展避开清单（行业+客群维度）</w:t>
      </w:r>
    </w:p>
    <w:p>
      <w:r>
        <w:rPr>
          <w:i/>
        </w:rPr>
        <w:t>文号：风险部 [2026] 第 02 号 · 发文日期：2025-12-28 · 密级：内部</w:t>
      </w:r>
    </w:p>
    <w:p>
      <w:pPr>
        <w:pStyle w:val="Heading2"/>
      </w:pPr>
      <w:r>
        <w:t>一、行业避开清单</w:t>
      </w:r>
    </w:p>
    <w:p>
      <w:pPr>
        <w:pStyle w:val="ListBullet"/>
      </w:pPr>
      <w:r>
        <w:t>商业地产开发与运营（含商业综合体自持+租赁主体）</w:t>
      </w:r>
    </w:p>
    <w:p>
      <w:pPr>
        <w:pStyle w:val="ListBullet"/>
      </w:pPr>
      <w:r>
        <w:t>强周期性基建（政府投资项目依赖度 &gt; 70%）</w:t>
      </w:r>
    </w:p>
    <w:p>
      <w:pPr>
        <w:pStyle w:val="ListBullet"/>
      </w:pPr>
      <w:r>
        <w:t>传统燃煤火电发电（碳中和受限）</w:t>
      </w:r>
    </w:p>
    <w:p>
      <w:pPr>
        <w:pStyle w:val="ListBullet"/>
      </w:pPr>
      <w:r>
        <w:t>煤炭开采（非合规矿井）</w:t>
      </w:r>
    </w:p>
    <w:p>
      <w:pPr>
        <w:pStyle w:val="ListBullet"/>
      </w:pPr>
      <w:r>
        <w:t>民间高利贷相关行业</w:t>
      </w:r>
    </w:p>
    <w:p>
      <w:pPr>
        <w:pStyle w:val="ListBullet"/>
      </w:pPr>
      <w:r>
        <w:t>非持牌网络小贷平台</w:t>
      </w:r>
    </w:p>
    <w:p>
      <w:pPr>
        <w:pStyle w:val="ListBullet"/>
      </w:pPr>
      <w:r>
        <w:t>P2P 残余主体</w:t>
      </w:r>
    </w:p>
    <w:p>
      <w:pPr>
        <w:pStyle w:val="Heading2"/>
      </w:pPr>
      <w:r>
        <w:t>二、客群避开清单</w:t>
      </w:r>
    </w:p>
    <w:p>
      <w:pPr>
        <w:pStyle w:val="ListBullet"/>
      </w:pPr>
      <w:r>
        <w:t>年营业收入 &lt; 1000 万元的纯小微（不具备对公授信资质）</w:t>
      </w:r>
    </w:p>
    <w:p>
      <w:pPr>
        <w:pStyle w:val="ListBullet"/>
      </w:pPr>
      <w:r>
        <w:t>成立 &lt; 18 个月的创业企业（如无股权融资或科创属性）</w:t>
      </w:r>
    </w:p>
    <w:p>
      <w:pPr>
        <w:pStyle w:val="ListBullet"/>
      </w:pPr>
      <w:r>
        <w:t>法人涉及失信被执行记录</w:t>
      </w:r>
    </w:p>
    <w:p>
      <w:pPr>
        <w:pStyle w:val="ListBullet"/>
      </w:pPr>
      <w:r>
        <w:t>最近 24 个月内被监管机构行政处罚金额 &gt; 50 万元的企业</w:t>
      </w:r>
    </w:p>
    <w:p>
      <w:pPr>
        <w:pStyle w:val="ListBullet"/>
      </w:pPr>
      <w:r>
        <w:t>5 户以下产销集中度 &gt; 80%（单客户过度集中）的企业</w:t>
      </w:r>
    </w:p>
    <w:p>
      <w:pPr>
        <w:pStyle w:val="Heading2"/>
      </w:pPr>
      <w:r>
        <w:t>三、政策敏感提示</w:t>
      </w:r>
    </w:p>
    <w:p>
      <w:r>
        <w:t>对于上述清单以外但处于监管政策过渡期的行业（如教育培训转型期、医美相关服务、短视频 MCN 等），各分行应与风险部前置沟通、一事一议。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