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2026 年对公授信行业组合建议（内部参考）</w:t>
      </w:r>
    </w:p>
    <w:p>
      <w:r>
        <w:rPr>
          <w:i/>
        </w:rPr>
        <w:t>文号：组合管理 [2026] 第 01 号 · 发文日期：2026-01-10 · 密级：内部</w:t>
      </w:r>
    </w:p>
    <w:p>
      <w:pPr>
        <w:pStyle w:val="Heading2"/>
      </w:pPr>
      <w:r>
        <w:t>一、年度授信组合结构目标</w:t>
      </w:r>
    </w:p>
    <w:p>
      <w:pPr>
        <w:pStyle w:val="ListBullet"/>
      </w:pPr>
      <w:r>
        <w:t>制造业合计：占比 40%（较 2025 年 +3pct）</w:t>
      </w:r>
    </w:p>
    <w:p>
      <w:pPr>
        <w:pStyle w:val="ListBullet"/>
      </w:pPr>
      <w:r>
        <w:t>消费服务业：占比 20%</w:t>
      </w:r>
    </w:p>
    <w:p>
      <w:pPr>
        <w:pStyle w:val="ListBullet"/>
      </w:pPr>
      <w:r>
        <w:t>科技信息：占比 18%</w:t>
      </w:r>
    </w:p>
    <w:p>
      <w:pPr>
        <w:pStyle w:val="ListBullet"/>
      </w:pPr>
      <w:r>
        <w:t>涉农涉小：占比 12%</w:t>
      </w:r>
    </w:p>
    <w:p>
      <w:pPr>
        <w:pStyle w:val="ListBullet"/>
      </w:pPr>
      <w:r>
        <w:t>基础设施（非高风险子领域）：占比 8%</w:t>
      </w:r>
    </w:p>
    <w:p>
      <w:pPr>
        <w:pStyle w:val="ListBullet"/>
      </w:pPr>
      <w:r>
        <w:t>其他：2%</w:t>
      </w:r>
    </w:p>
    <w:p>
      <w:pPr>
        <w:pStyle w:val="Heading2"/>
      </w:pPr>
      <w:r>
        <w:t>二、行业配比边界</w:t>
      </w:r>
    </w:p>
    <w:p>
      <w:r>
        <w:t>任一细分行业单季度新增授信占比不得超过本行对公新增授信的 12%；超过需总行组合管理委员会审批。</w:t>
      </w:r>
    </w:p>
    <w:p>
      <w:pPr>
        <w:pStyle w:val="Heading2"/>
      </w:pPr>
      <w:r>
        <w:t>三、跨行业组合提示</w:t>
      </w:r>
    </w:p>
    <w:p>
      <w:r>
        <w:t>对上下游集中度超过 35% 的客户，应考虑行业传导风险，在尽调阶段强化下游客户稳定性评估（如地产下游建材客户需特别关注地产违约传导）。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