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2026 年第一季度重点拓展客群指引</w:t>
      </w:r>
    </w:p>
    <w:p>
      <w:r>
        <w:rPr>
          <w:i/>
        </w:rPr>
        <w:t>文号：公司部 [2026] 第 03 号 · 发文日期：2025-12-18 · 密级：内部</w:t>
      </w:r>
    </w:p>
    <w:p>
      <w:pPr>
        <w:pStyle w:val="Heading2"/>
      </w:pPr>
      <w:r>
        <w:t>一、背景与目标</w:t>
      </w:r>
    </w:p>
    <w:p>
      <w:r>
        <w:t>结合 2026 年全行小微及对公授信组合战略，本季度将重点聚焦**精密制造、专精特新、科技型创新企业**客群，服务实体经济转型升级，配合“科创金融”主题年考核要求。</w:t>
      </w:r>
    </w:p>
    <w:p>
      <w:r>
        <w:t>考核目标：本季度新增对公授信客户 280 户中，上述客群占比不低于 45%；新增授信总额不低于 18 亿元。</w:t>
      </w:r>
    </w:p>
    <w:p>
      <w:pPr>
        <w:pStyle w:val="Heading2"/>
      </w:pPr>
      <w:r>
        <w:t>二、重点拓展画像</w:t>
      </w:r>
    </w:p>
    <w:p>
      <w:pPr>
        <w:pStyle w:val="Heading3"/>
      </w:pPr>
      <w:r>
        <w:t>2.1 精密制造类</w:t>
      </w:r>
    </w:p>
    <w:p>
      <w:pPr>
        <w:pStyle w:val="ListBullet"/>
      </w:pPr>
      <w:r>
        <w:t>年营收区间：5000 万 — 3 亿元</w:t>
      </w:r>
    </w:p>
    <w:p>
      <w:pPr>
        <w:pStyle w:val="ListBullet"/>
      </w:pPr>
      <w:r>
        <w:t>员工数：30 人以上</w:t>
      </w:r>
    </w:p>
    <w:p>
      <w:pPr>
        <w:pStyle w:val="ListBullet"/>
      </w:pPr>
      <w:r>
        <w:t>拥有发明专利 5 项及以上</w:t>
      </w:r>
    </w:p>
    <w:p>
      <w:pPr>
        <w:pStyle w:val="ListBullet"/>
      </w:pPr>
      <w:r>
        <w:t>国家/省级高新技术企业资质</w:t>
      </w:r>
    </w:p>
    <w:p>
      <w:pPr>
        <w:pStyle w:val="ListBullet"/>
      </w:pPr>
      <w:r>
        <w:t>近 3 年毛利率稳定在 18% 以上</w:t>
      </w:r>
    </w:p>
    <w:p>
      <w:pPr>
        <w:pStyle w:val="ListBullet"/>
      </w:pPr>
      <w:r>
        <w:t>主要客户为上市公司或央国企合格供应商</w:t>
      </w:r>
    </w:p>
    <w:p>
      <w:pPr>
        <w:pStyle w:val="Heading3"/>
      </w:pPr>
      <w:r>
        <w:t>2.2 专精特新类</w:t>
      </w:r>
    </w:p>
    <w:p>
      <w:pPr>
        <w:pStyle w:val="ListBullet"/>
      </w:pPr>
      <w:r>
        <w:t>获得国家/省级专精特新小巨人或备案企业</w:t>
      </w:r>
    </w:p>
    <w:p>
      <w:pPr>
        <w:pStyle w:val="ListBullet"/>
      </w:pPr>
      <w:r>
        <w:t>年营收区间：3000 万 — 5 亿元</w:t>
      </w:r>
    </w:p>
    <w:p>
      <w:pPr>
        <w:pStyle w:val="ListBullet"/>
      </w:pPr>
      <w:r>
        <w:t>研发投入占营收比例 ≥ 3%</w:t>
      </w:r>
    </w:p>
    <w:p>
      <w:pPr>
        <w:pStyle w:val="ListBullet"/>
      </w:pPr>
      <w:r>
        <w:t>本行优先匹配专项授信 + 科创券业务</w:t>
      </w:r>
    </w:p>
    <w:p>
      <w:pPr>
        <w:pStyle w:val="Heading3"/>
      </w:pPr>
      <w:r>
        <w:t>2.3 科技型创新企业</w:t>
      </w:r>
    </w:p>
    <w:p>
      <w:pPr>
        <w:pStyle w:val="ListBullet"/>
      </w:pPr>
      <w:r>
        <w:t>最近 1 年内完成 A 轮及以上股权融资</w:t>
      </w:r>
    </w:p>
    <w:p>
      <w:pPr>
        <w:pStyle w:val="ListBullet"/>
      </w:pPr>
      <w:r>
        <w:t>ARR（年度经常性收入）≥ 3000 万元</w:t>
      </w:r>
    </w:p>
    <w:p>
      <w:pPr>
        <w:pStyle w:val="ListBullet"/>
      </w:pPr>
      <w:r>
        <w:t>NRR（年度净留存率）≥ 100%</w:t>
      </w:r>
    </w:p>
    <w:p>
      <w:pPr>
        <w:pStyle w:val="ListBullet"/>
      </w:pPr>
      <w:r>
        <w:t>优先行业：企业级 SaaS / AI+产业应用 / 工业软件</w:t>
      </w:r>
    </w:p>
    <w:p>
      <w:pPr>
        <w:pStyle w:val="ListBullet"/>
      </w:pPr>
      <w:r>
        <w:t>产品可作为担保资产（通过知识产权质押）</w:t>
      </w:r>
    </w:p>
    <w:p>
      <w:pPr>
        <w:pStyle w:val="Heading2"/>
      </w:pPr>
      <w:r>
        <w:t>三、配套产品</w:t>
      </w:r>
    </w:p>
    <w:p>
      <w:pPr>
        <w:pStyle w:val="ListNumber"/>
      </w:pPr>
      <w:r>
        <w:t>针对精密制造：优先匹配「流动资金贷款」+「应收账款池融资」组合</w:t>
      </w:r>
    </w:p>
    <w:p>
      <w:pPr>
        <w:pStyle w:val="ListNumber"/>
      </w:pPr>
      <w:r>
        <w:t>针对专精特新：优先匹配「专精特新贷」+「研发费用池融资」组合</w:t>
      </w:r>
    </w:p>
    <w:p>
      <w:pPr>
        <w:pStyle w:val="ListNumber"/>
      </w:pPr>
      <w:r>
        <w:t>针对科技型：优先匹配「科技贷」+「知识产权质押」+「投贷联动」组合</w:t>
      </w:r>
    </w:p>
    <w:p>
      <w:pPr>
        <w:pStyle w:val="Heading2"/>
      </w:pPr>
      <w:r>
        <w:t>四、落地要求</w:t>
      </w:r>
    </w:p>
    <w:p>
      <w:r>
        <w:t>1、各分行公司部月度报送重点客户拓展进展；</w:t>
        <w:br/>
        <w:t>2、总行客群管理部每月评估进展并通报；</w:t>
        <w:br/>
        <w:t>3、季度末前 5 位分行获“重点拓展优胜”奖励。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