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8"/>
        </w:rPr>
        <w:t>2026 年第二季度区域拓展重点指引</w:t>
      </w:r>
    </w:p>
    <w:p>
      <w:r>
        <w:rPr>
          <w:i/>
        </w:rPr>
        <w:t>文号：公司部 [2026] 第 14 号 · 发文日期：2026-03-20 · 密级：内部</w:t>
      </w:r>
    </w:p>
    <w:p>
      <w:pPr>
        <w:pStyle w:val="Heading2"/>
      </w:pPr>
      <w:r>
        <w:t>一、季度区域聚焦</w:t>
      </w:r>
    </w:p>
    <w:p>
      <w:r>
        <w:t>2026 年 Q2 区域聚焦两大核心经济带：**长三角制造业走廊 + 珠三角智造带**。配合国家长三角一体化战略与大湾区制造业升级战略，强化本行区域客户组合密度。</w:t>
      </w:r>
    </w:p>
    <w:p>
      <w:pPr>
        <w:pStyle w:val="Heading2"/>
      </w:pPr>
      <w:r>
        <w:t>二、长三角重点</w:t>
      </w:r>
    </w:p>
    <w:p>
      <w:pPr>
        <w:pStyle w:val="ListBullet"/>
      </w:pPr>
      <w:r>
        <w:t>江苏苏州（精密制造、集成电路配套）</w:t>
      </w:r>
    </w:p>
    <w:p>
      <w:pPr>
        <w:pStyle w:val="ListBullet"/>
      </w:pPr>
      <w:r>
        <w:t>浙江宁波（汽车零部件、家电配套）</w:t>
      </w:r>
    </w:p>
    <w:p>
      <w:pPr>
        <w:pStyle w:val="ListBullet"/>
      </w:pPr>
      <w:r>
        <w:t>浙江杭州（科技 SaaS、电商服务）</w:t>
      </w:r>
    </w:p>
    <w:p>
      <w:pPr>
        <w:pStyle w:val="ListBullet"/>
      </w:pPr>
      <w:r>
        <w:t>江苏无锡（半导体封测、光伏配套）</w:t>
      </w:r>
    </w:p>
    <w:p>
      <w:pPr>
        <w:pStyle w:val="ListBullet"/>
      </w:pPr>
      <w:r>
        <w:t>上海周边（高端装备、生物医药）</w:t>
      </w:r>
    </w:p>
    <w:p>
      <w:pPr>
        <w:pStyle w:val="Heading2"/>
      </w:pPr>
      <w:r>
        <w:t>三、珠三角重点</w:t>
      </w:r>
    </w:p>
    <w:p>
      <w:pPr>
        <w:pStyle w:val="ListBullet"/>
      </w:pPr>
      <w:r>
        <w:t>广东深圳（电子信息、AI 硬件）</w:t>
      </w:r>
    </w:p>
    <w:p>
      <w:pPr>
        <w:pStyle w:val="ListBullet"/>
      </w:pPr>
      <w:r>
        <w:t>广东东莞（声学模组、智能终端）</w:t>
      </w:r>
    </w:p>
    <w:p>
      <w:pPr>
        <w:pStyle w:val="ListBullet"/>
      </w:pPr>
      <w:r>
        <w:t>广东佛山（家具、家电、五金）</w:t>
      </w:r>
    </w:p>
    <w:p>
      <w:pPr>
        <w:pStyle w:val="ListBullet"/>
      </w:pPr>
      <w:r>
        <w:t>广东中山（小家电、灯饰）</w:t>
      </w:r>
    </w:p>
    <w:p>
      <w:pPr>
        <w:pStyle w:val="Heading2"/>
      </w:pPr>
      <w:r>
        <w:t>四、非重点区域指引</w:t>
      </w:r>
    </w:p>
    <w:p>
      <w:r>
        <w:t>本季度在长三角 + 珠三角外的客户拓展原则上需与目标画像严格匹配后再进入授信流程；对跨区域客户集团企业，优先由区域主办行牵头。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