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不良资产处置操作流程（摘选）</w:t>
      </w:r>
    </w:p>
    <w:p>
      <w:pPr>
        <w:jc w:val="center"/>
      </w:pPr>
      <w:r>
        <w:rPr>
          <w:i/>
          <w:sz w:val="18"/>
        </w:rPr>
        <w:t>文号：资产保全 [2023] 第 06 号　版本：v2023.06　生效：2023-07-01　失效：长期有效（待修订）　密级：内部</w:t>
      </w:r>
    </w:p>
    <w:p>
      <w:r>
        <w:rPr>
          <w:b/>
          <w:sz w:val="26"/>
        </w:rPr>
        <w:t>第一章 处置原则</w:t>
      </w:r>
    </w:p>
    <w:p>
      <w:pPr>
        <w:pStyle w:val="ListNumber"/>
      </w:pPr>
      <w:r>
        <w:t>1、回收优先：任何处置方案需以回收本金+合理利息为第一目标；</w:t>
      </w:r>
    </w:p>
    <w:p>
      <w:pPr>
        <w:pStyle w:val="ListNumber"/>
      </w:pPr>
      <w:r>
        <w:t>2、程序合规：诉讼、和解、转让等处置方式必须履行内部审批程序；</w:t>
      </w:r>
    </w:p>
    <w:p>
      <w:pPr>
        <w:pStyle w:val="ListNumber"/>
      </w:pPr>
      <w:r>
        <w:t>3、信息披露：重大处置事项须向风险管理委员会报告。</w:t>
      </w:r>
    </w:p>
    <w:p>
      <w:r>
        <w:rPr>
          <w:b/>
          <w:sz w:val="26"/>
        </w:rPr>
        <w:t>第二章 处置路径</w:t>
      </w:r>
    </w:p>
    <w:p>
      <w:r>
        <w:rPr>
          <w:b/>
          <w:sz w:val="23"/>
        </w:rPr>
        <w:t>（一）非诉途径</w:t>
      </w:r>
    </w:p>
    <w:p>
      <w:pPr>
        <w:pStyle w:val="ListNumber"/>
      </w:pPr>
      <w:r>
        <w:t>1、与借款人/担保人协商展期或重组；</w:t>
      </w:r>
    </w:p>
    <w:p>
      <w:pPr>
        <w:pStyle w:val="ListNumber"/>
      </w:pPr>
      <w:r>
        <w:t>2、通过第三方担保公司代偿；</w:t>
      </w:r>
    </w:p>
    <w:p>
      <w:pPr>
        <w:pStyle w:val="ListNumber"/>
      </w:pPr>
      <w:r>
        <w:t>3、资产置换（押品变现）。</w:t>
      </w:r>
    </w:p>
    <w:p>
      <w:r>
        <w:rPr>
          <w:b/>
          <w:sz w:val="23"/>
        </w:rPr>
        <w:t>（二）诉讼途径</w:t>
      </w:r>
    </w:p>
    <w:p>
      <w:pPr>
        <w:pStyle w:val="ListNumber"/>
      </w:pPr>
      <w:r>
        <w:t>1、一般诉讼（主要争议在借款人还款能力）；</w:t>
      </w:r>
    </w:p>
    <w:p>
      <w:pPr>
        <w:pStyle w:val="ListNumber"/>
      </w:pPr>
      <w:r>
        <w:t>2、财产保全（涉及担保人转移资产风险）；</w:t>
      </w:r>
    </w:p>
    <w:p>
      <w:pPr>
        <w:pStyle w:val="ListNumber"/>
      </w:pPr>
      <w:r>
        <w:t>3、破产清算（借款人已资不抵债）。</w:t>
      </w:r>
    </w:p>
    <w:p>
      <w:r>
        <w:rPr>
          <w:b/>
          <w:sz w:val="23"/>
        </w:rPr>
        <w:t>（三）批量转让</w:t>
      </w:r>
    </w:p>
    <w:p>
      <w:pPr>
        <w:pStyle w:val="ListNumber"/>
      </w:pPr>
      <w:r>
        <w:t>1、转让对象：AMC 或具备资质的金融资产投资公司；</w:t>
      </w:r>
    </w:p>
    <w:p>
      <w:pPr>
        <w:pStyle w:val="ListNumber"/>
      </w:pPr>
      <w:r>
        <w:t>2、批量转让需经总行董事会审议。</w:t>
      </w:r>
    </w:p>
    <w:p/>
    <w:p>
      <w:pPr>
        <w:jc w:val="right"/>
      </w:pPr>
      <w:r>
        <w:t>主办部门：资产保全部</w:t>
      </w:r>
    </w:p>
    <w:p>
      <w:pPr>
        <w:jc w:val="right"/>
      </w:pPr>
      <w:r>
        <w:t>本版修订日期：2023-06-28</w:t>
      </w:r>
    </w:p>
    <w:p>
      <w:pPr>
        <w:jc w:val="center"/>
      </w:pPr>
      <w:r>
        <w:rPr>
          <w:i/>
          <w:sz w:val="16"/>
        </w:rPr>
        <w:t>页脚：本文档为银行内部制度 · 未经授权不得外传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