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贷后检查操作流程（2024 版）</w:t>
      </w:r>
    </w:p>
    <w:p>
      <w:pPr>
        <w:jc w:val="center"/>
      </w:pPr>
      <w:r>
        <w:rPr>
          <w:i/>
          <w:sz w:val="18"/>
        </w:rPr>
        <w:t>文号：贷后管理 [2024] 第 11 号　版本：v2024.11　生效：2024-12-01　失效：2026-11-30　密级：内部</w:t>
      </w:r>
    </w:p>
    <w:p>
      <w:r>
        <w:rPr>
          <w:b/>
          <w:sz w:val="26"/>
        </w:rPr>
        <w:t>第一章 总体要求</w:t>
      </w:r>
    </w:p>
    <w:p>
      <w:r>
        <w:t>第一条　贷后检查是信贷业务全流程的重要环节，覆盖正常类客户的定期检查与关注类及以下客户的加强检查。</w:t>
      </w:r>
    </w:p>
    <w:p>
      <w:r>
        <w:t>第二条　贷后检查频率：正常类客户每季度一次；关注类客户每月一次；次级及以下客户每两周一次。</w:t>
      </w:r>
    </w:p>
    <w:p>
      <w:r>
        <w:rPr>
          <w:b/>
          <w:sz w:val="26"/>
        </w:rPr>
        <w:t>第二章 检查内容</w:t>
      </w:r>
    </w:p>
    <w:p>
      <w:pPr>
        <w:pStyle w:val="ListNumber"/>
      </w:pPr>
      <w:r>
        <w:t>1、借款人经营稳定性（订单 · 人员 · 场所 · 主要客户/供应商）；</w:t>
      </w:r>
    </w:p>
    <w:p>
      <w:pPr>
        <w:pStyle w:val="ListNumber"/>
      </w:pPr>
      <w:r>
        <w:t>2、财务报表指标（营收 · 毛利率 · 资产负债率 · 经营性现金流）；</w:t>
      </w:r>
    </w:p>
    <w:p>
      <w:pPr>
        <w:pStyle w:val="ListNumber"/>
      </w:pPr>
      <w:r>
        <w:t>3、银行账户流水（主结算账户近期月均流入/流出及集中度）；</w:t>
      </w:r>
    </w:p>
    <w:p>
      <w:pPr>
        <w:pStyle w:val="ListNumber"/>
      </w:pPr>
      <w:r>
        <w:t>4、担保物状态（抵押物保值情况 · 保证人还款能力）；</w:t>
      </w:r>
    </w:p>
    <w:p>
      <w:pPr>
        <w:pStyle w:val="ListNumber"/>
      </w:pPr>
      <w:r>
        <w:t>5、贷款资金流向（受托支付账户 · 自主支付路径）；</w:t>
      </w:r>
    </w:p>
    <w:p>
      <w:pPr>
        <w:pStyle w:val="ListNumber"/>
      </w:pPr>
      <w:r>
        <w:t>6、重大事项（实控人变更 · 重大诉讼 · 对外担保新增 · 监管处罚）。</w:t>
      </w:r>
    </w:p>
    <w:p>
      <w:r>
        <w:rPr>
          <w:b/>
          <w:sz w:val="26"/>
        </w:rPr>
        <w:t>第三章 结果处置</w:t>
      </w:r>
    </w:p>
    <w:p>
      <w:pPr>
        <w:pStyle w:val="ListNumber"/>
      </w:pPr>
      <w:r>
        <w:t>1、未见异常：按既定频率继续检查；</w:t>
      </w:r>
    </w:p>
    <w:p>
      <w:pPr>
        <w:pStyle w:val="ListNumber"/>
      </w:pPr>
      <w:r>
        <w:t>2、发现预警信号：填写《贷后预警报告》并启动风险分类升级评估；</w:t>
      </w:r>
    </w:p>
    <w:p>
      <w:pPr>
        <w:pStyle w:val="ListNumber"/>
      </w:pPr>
      <w:r>
        <w:t>3、触发重大风险事件：2 小时内向分行风险总监及总行信贷管理部报告。</w:t>
      </w:r>
    </w:p>
    <w:p/>
    <w:p>
      <w:pPr>
        <w:jc w:val="right"/>
      </w:pPr>
      <w:r>
        <w:t>主办部门：信贷管理部</w:t>
      </w:r>
    </w:p>
    <w:p>
      <w:pPr>
        <w:jc w:val="right"/>
      </w:pPr>
      <w:r>
        <w:t>本版修订日期：2024-11-20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