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重点行业限制客群目录</w:t>
      </w:r>
    </w:p>
    <w:p>
      <w:pPr>
        <w:jc w:val="center"/>
      </w:pPr>
      <w:r>
        <w:rPr>
          <w:i/>
          <w:sz w:val="18"/>
        </w:rPr>
        <w:t>文号：行业限制 [2026] 第 01 号　版本：v2026.01　生效：2026-01-01　失效：2026-12-31　密级：内部</w:t>
      </w:r>
    </w:p>
    <w:p>
      <w:r>
        <w:rPr>
          <w:b/>
          <w:sz w:val="26"/>
        </w:rPr>
        <w:t>第一章 原则</w:t>
      </w:r>
    </w:p>
    <w:p>
      <w:r>
        <w:t>第一条　本目录根据本行年度授信组合策略与监管导向，划定限制发展的行业客群。</w:t>
      </w:r>
    </w:p>
    <w:p>
      <w:r>
        <w:t>第二条　本目录不排除实质健康企业的个案审批空间，个案需经总行行业委员会会审。</w:t>
      </w:r>
    </w:p>
    <w:p>
      <w:r>
        <w:rPr>
          <w:b/>
          <w:sz w:val="26"/>
        </w:rPr>
        <w:t>第二章 限制类型划分</w:t>
      </w:r>
    </w:p>
    <w:p>
      <w:r>
        <w:rPr>
          <w:b/>
          <w:sz w:val="23"/>
        </w:rPr>
        <w:t>（一）禁入行业（不予受理）</w:t>
      </w:r>
    </w:p>
    <w:p>
      <w:pPr>
        <w:pStyle w:val="ListNumber"/>
      </w:pPr>
      <w:r>
        <w:t>1、涉及国家产业政策明令淘汰类工艺与产能</w:t>
      </w:r>
    </w:p>
    <w:p>
      <w:pPr>
        <w:pStyle w:val="ListNumber"/>
      </w:pPr>
      <w:r>
        <w:t>2、民间高利贷、非持牌网络小贷、P2P 残余</w:t>
      </w:r>
    </w:p>
    <w:p>
      <w:pPr>
        <w:pStyle w:val="ListNumber"/>
      </w:pPr>
      <w:r>
        <w:t>3、涉嫌非法集资或非法证券活动的企业</w:t>
      </w:r>
    </w:p>
    <w:p>
      <w:r>
        <w:rPr>
          <w:b/>
          <w:sz w:val="23"/>
        </w:rPr>
        <w:t>（二）压缩类（维持规模不再新增）</w:t>
      </w:r>
    </w:p>
    <w:p>
      <w:pPr>
        <w:pStyle w:val="ListNumber"/>
      </w:pPr>
      <w:r>
        <w:t>1、商业地产自持运营主体</w:t>
      </w:r>
    </w:p>
    <w:p>
      <w:pPr>
        <w:pStyle w:val="ListNumber"/>
      </w:pPr>
      <w:r>
        <w:t>2、强周期基建（政府投资依赖度 &gt; 70%）</w:t>
      </w:r>
    </w:p>
    <w:p>
      <w:pPr>
        <w:pStyle w:val="ListNumber"/>
      </w:pPr>
      <w:r>
        <w:t>3、传统燃煤火电</w:t>
      </w:r>
    </w:p>
    <w:p>
      <w:r>
        <w:rPr>
          <w:b/>
          <w:sz w:val="23"/>
        </w:rPr>
        <w:t>（三）审慎类（一事一议）</w:t>
      </w:r>
    </w:p>
    <w:p>
      <w:pPr>
        <w:pStyle w:val="ListNumber"/>
      </w:pPr>
      <w:r>
        <w:t>1、短视频/MCN 单一平台流量依赖度 &gt; 70%</w:t>
      </w:r>
    </w:p>
    <w:p>
      <w:pPr>
        <w:pStyle w:val="ListNumber"/>
      </w:pPr>
      <w:r>
        <w:t>2、线下教育培训转型期主体</w:t>
      </w:r>
    </w:p>
    <w:p>
      <w:pPr>
        <w:pStyle w:val="ListNumber"/>
      </w:pPr>
      <w:r>
        <w:t>3、医美相关服务（需持证上岗 + 所在区卫健备案）</w:t>
      </w:r>
    </w:p>
    <w:p/>
    <w:p>
      <w:pPr>
        <w:jc w:val="right"/>
      </w:pPr>
      <w:r>
        <w:t>主办部门：行业研究中心</w:t>
      </w:r>
    </w:p>
    <w:p>
      <w:pPr>
        <w:jc w:val="right"/>
      </w:pPr>
      <w:r>
        <w:t>本版修订日期：2025-12-28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