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反洗钱可疑交易识别与报告手册</w:t>
      </w:r>
    </w:p>
    <w:p>
      <w:pPr>
        <w:jc w:val="center"/>
      </w:pPr>
      <w:r>
        <w:rPr>
          <w:i/>
          <w:sz w:val="18"/>
        </w:rPr>
        <w:t>文号：反洗钱 [2024] 第 09 号　版本：v2024.09　生效：2024-10-01　失效：2026-09-30　密级：内部</w:t>
      </w:r>
    </w:p>
    <w:p>
      <w:r>
        <w:rPr>
          <w:b/>
          <w:sz w:val="26"/>
        </w:rPr>
        <w:t>第一章 可疑交易识别维度</w:t>
      </w:r>
    </w:p>
    <w:p>
      <w:pPr>
        <w:pStyle w:val="ListNumber"/>
      </w:pPr>
      <w:r>
        <w:t>1、资金来源异常：与客户经营范围明显不匹配；</w:t>
      </w:r>
    </w:p>
    <w:p>
      <w:pPr>
        <w:pStyle w:val="ListNumber"/>
      </w:pPr>
      <w:r>
        <w:t>2、资金流向异常：频繁转入非关联方个人账户；</w:t>
      </w:r>
    </w:p>
    <w:p>
      <w:pPr>
        <w:pStyle w:val="ListNumber"/>
      </w:pPr>
      <w:r>
        <w:t>3、金额特征异常：接近大额报告阈值的多笔交易；</w:t>
      </w:r>
    </w:p>
    <w:p>
      <w:pPr>
        <w:pStyle w:val="ListNumber"/>
      </w:pPr>
      <w:r>
        <w:t>4、时间特征异常：集中在非营业时段的大额交易；</w:t>
      </w:r>
    </w:p>
    <w:p>
      <w:pPr>
        <w:pStyle w:val="ListNumber"/>
      </w:pPr>
      <w:r>
        <w:t>5、对手方异常：频繁与高风险国家/地区发生资金往来。</w:t>
      </w:r>
    </w:p>
    <w:p>
      <w:r>
        <w:rPr>
          <w:b/>
          <w:sz w:val="26"/>
        </w:rPr>
        <w:t>第二章 典型可疑交易模式</w:t>
      </w:r>
    </w:p>
    <w:p>
      <w:r>
        <w:rPr>
          <w:b/>
          <w:sz w:val="23"/>
        </w:rPr>
        <w:t>（一）行业关联可疑</w:t>
      </w:r>
    </w:p>
    <w:p>
      <w:pPr>
        <w:pStyle w:val="ListNumber"/>
      </w:pPr>
      <w:r>
        <w:t>1、贸易型企业频繁与个人账户发生货款收付；</w:t>
      </w:r>
    </w:p>
    <w:p>
      <w:pPr>
        <w:pStyle w:val="ListNumber"/>
      </w:pPr>
      <w:r>
        <w:t>2、咨询服务公司出现大额货物采购转账；</w:t>
      </w:r>
    </w:p>
    <w:p>
      <w:pPr>
        <w:pStyle w:val="ListNumber"/>
      </w:pPr>
      <w:r>
        <w:t>3、单一客户账户同一日存在多笔刚好低于大额报告阈值的交易。</w:t>
      </w:r>
    </w:p>
    <w:p>
      <w:r>
        <w:rPr>
          <w:b/>
          <w:sz w:val="23"/>
        </w:rPr>
        <w:t>（二）跨境异常</w:t>
      </w:r>
    </w:p>
    <w:p>
      <w:pPr>
        <w:pStyle w:val="ListNumber"/>
      </w:pPr>
      <w:r>
        <w:t>1、贸易对象国与客户主营市场显著不符；</w:t>
      </w:r>
    </w:p>
    <w:p>
      <w:pPr>
        <w:pStyle w:val="ListNumber"/>
      </w:pPr>
      <w:r>
        <w:t>2、境外收款方多次更换但货物商品无变化；</w:t>
      </w:r>
    </w:p>
    <w:p>
      <w:pPr>
        <w:pStyle w:val="ListNumber"/>
      </w:pPr>
      <w:r>
        <w:t>3、以“货物退回”为名的大额回流。</w:t>
      </w:r>
    </w:p>
    <w:p>
      <w:r>
        <w:rPr>
          <w:b/>
          <w:sz w:val="26"/>
        </w:rPr>
        <w:t>第三章 报告流程</w:t>
      </w:r>
    </w:p>
    <w:p>
      <w:pPr>
        <w:pStyle w:val="ListNumber"/>
      </w:pPr>
      <w:r>
        <w:t>1、客户经理/柜员识别可疑迹象，10 日内提交《可疑交易识别登记表》；</w:t>
      </w:r>
    </w:p>
    <w:p>
      <w:pPr>
        <w:pStyle w:val="ListNumber"/>
      </w:pPr>
      <w:r>
        <w:t>2、分行反洗钱岗独立评估并决定是否上报；</w:t>
      </w:r>
    </w:p>
    <w:p>
      <w:pPr>
        <w:pStyle w:val="ListNumber"/>
      </w:pPr>
      <w:r>
        <w:t>3、报告统一经总行反洗钱中心审核后上报中国反洗钱监测分析中心。</w:t>
      </w:r>
    </w:p>
    <w:p/>
    <w:p>
      <w:pPr>
        <w:jc w:val="right"/>
      </w:pPr>
      <w:r>
        <w:t>主办部门：合规部 - 反洗钱中心</w:t>
      </w:r>
    </w:p>
    <w:p>
      <w:pPr>
        <w:jc w:val="right"/>
      </w:pPr>
      <w:r>
        <w:t>本版修订日期：2024-09-18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