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受益所有人识别操作规范</w:t>
      </w:r>
    </w:p>
    <w:p>
      <w:pPr>
        <w:jc w:val="center"/>
      </w:pPr>
      <w:r>
        <w:rPr>
          <w:i/>
          <w:sz w:val="18"/>
        </w:rPr>
        <w:t>文号：反洗钱 [2025] 第 06 号　版本：v2025.06　生效：2025-07-01　失效：2027-06-30　密级：内部</w:t>
      </w:r>
    </w:p>
    <w:p>
      <w:r>
        <w:rPr>
          <w:b/>
          <w:sz w:val="26"/>
        </w:rPr>
        <w:t>第一章 识别原则</w:t>
      </w:r>
    </w:p>
    <w:p>
      <w:r>
        <w:t>第一条　受益所有人识别是客户尽职调查的重要组成部分，必须识别至最终自然人。</w:t>
      </w:r>
    </w:p>
    <w:p>
      <w:r>
        <w:t>第二条　识别标准：直接或间接持股比例 ≥ 25% 的自然人；或通过其他方式对企业享有实际控制权的自然人。</w:t>
      </w:r>
    </w:p>
    <w:p>
      <w:r>
        <w:rPr>
          <w:b/>
          <w:sz w:val="26"/>
        </w:rPr>
        <w:t>第二章 识别方法</w:t>
      </w:r>
    </w:p>
    <w:p>
      <w:pPr>
        <w:pStyle w:val="ListNumber"/>
      </w:pPr>
      <w:r>
        <w:t>1、通过股东名册及历次变更查询股权结构；</w:t>
      </w:r>
    </w:p>
    <w:p>
      <w:pPr>
        <w:pStyle w:val="ListNumber"/>
      </w:pPr>
      <w:r>
        <w:t>2、穿透多层持股结构至最终自然人；</w:t>
      </w:r>
    </w:p>
    <w:p>
      <w:pPr>
        <w:pStyle w:val="ListNumber"/>
      </w:pPr>
      <w:r>
        <w:t>3、核查一致行动协议或控制安排；</w:t>
      </w:r>
    </w:p>
    <w:p>
      <w:pPr>
        <w:pStyle w:val="ListNumber"/>
      </w:pPr>
      <w:r>
        <w:t>4、关注 VIE 架构或协议控制企业。</w:t>
      </w:r>
    </w:p>
    <w:p>
      <w:r>
        <w:rPr>
          <w:b/>
          <w:sz w:val="26"/>
        </w:rPr>
        <w:t>第三章 特殊情形处理</w:t>
      </w:r>
    </w:p>
    <w:p>
      <w:r>
        <w:rPr>
          <w:b/>
          <w:sz w:val="23"/>
        </w:rPr>
        <w:t>（一）无法识别 25% 以上股东时</w:t>
      </w:r>
    </w:p>
    <w:p>
      <w:pPr>
        <w:pStyle w:val="ListNumber"/>
      </w:pPr>
      <w:r>
        <w:t>1、识别实际对企业行使控制权的自然人；</w:t>
      </w:r>
    </w:p>
    <w:p>
      <w:pPr>
        <w:pStyle w:val="ListNumber"/>
      </w:pPr>
      <w:r>
        <w:t>2、如仍无法识别，则识别高级管理人员（法定代表人等）。</w:t>
      </w:r>
    </w:p>
    <w:p>
      <w:r>
        <w:rPr>
          <w:b/>
          <w:sz w:val="23"/>
        </w:rPr>
        <w:t>（二）涉外情形</w:t>
      </w:r>
    </w:p>
    <w:p>
      <w:pPr>
        <w:pStyle w:val="ListNumber"/>
      </w:pPr>
      <w:r>
        <w:t>1、境外股东需核查其注册地制度环境；</w:t>
      </w:r>
    </w:p>
    <w:p>
      <w:pPr>
        <w:pStyle w:val="ListNumber"/>
      </w:pPr>
      <w:r>
        <w:t>2、涉及避税地的需额外核查。</w:t>
      </w:r>
    </w:p>
    <w:p/>
    <w:p>
      <w:pPr>
        <w:jc w:val="right"/>
      </w:pPr>
      <w:r>
        <w:t>主办部门：合规部 - 反洗钱中心</w:t>
      </w:r>
    </w:p>
    <w:p>
      <w:pPr>
        <w:jc w:val="right"/>
      </w:pPr>
      <w:r>
        <w:t>本版修订日期：2025-06-25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