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2026 年度授信风险偏好政策</w:t>
      </w:r>
    </w:p>
    <w:p>
      <w:pPr>
        <w:jc w:val="center"/>
      </w:pPr>
      <w:r>
        <w:rPr>
          <w:i/>
          <w:sz w:val="18"/>
        </w:rPr>
        <w:t>文号：风险偏好 [2026] 第 01 号　版本：v2026.01　生效：2026-01-01　失效：2026-12-31　密级：内部</w:t>
      </w:r>
    </w:p>
    <w:p>
      <w:r>
        <w:rPr>
          <w:b/>
          <w:sz w:val="26"/>
        </w:rPr>
        <w:t>第一章 总则</w:t>
      </w:r>
    </w:p>
    <w:p>
      <w:r>
        <w:t>第一条　为落实董事会风险偏好声明，推动业务高质量发展，制定本年度风险偏好政策。</w:t>
      </w:r>
    </w:p>
    <w:p>
      <w:r>
        <w:t>第二条　风险偏好是本行在给定风险容忍度下愿意接受的风险类型与水平。</w:t>
      </w:r>
    </w:p>
    <w:p>
      <w:r>
        <w:rPr>
          <w:b/>
          <w:sz w:val="26"/>
        </w:rPr>
        <w:t>第二章 整体目标</w:t>
      </w:r>
    </w:p>
    <w:p>
      <w:pPr>
        <w:pStyle w:val="ListNumber"/>
      </w:pPr>
      <w:r>
        <w:t>1、全行不良贷款率 ≤ 1.5%；</w:t>
      </w:r>
    </w:p>
    <w:p>
      <w:pPr>
        <w:pStyle w:val="ListNumber"/>
      </w:pPr>
      <w:r>
        <w:t>2、关注类贷款占比 ≤ 3.5%；</w:t>
      </w:r>
    </w:p>
    <w:p>
      <w:pPr>
        <w:pStyle w:val="ListNumber"/>
      </w:pPr>
      <w:r>
        <w:t>3、逾期 90 天以上贷款/不良贷款 ≤ 100%；</w:t>
      </w:r>
    </w:p>
    <w:p>
      <w:pPr>
        <w:pStyle w:val="ListNumber"/>
      </w:pPr>
      <w:r>
        <w:t>4、拨备覆盖率 ≥ 160%。</w:t>
      </w:r>
    </w:p>
    <w:p>
      <w:r>
        <w:rPr>
          <w:b/>
          <w:sz w:val="26"/>
        </w:rPr>
        <w:t>第三章 组合偏好</w:t>
      </w:r>
    </w:p>
    <w:p>
      <w:r>
        <w:rPr>
          <w:b/>
          <w:sz w:val="23"/>
        </w:rPr>
        <w:t>（一）行业偏好</w:t>
      </w:r>
    </w:p>
    <w:p>
      <w:pPr>
        <w:pStyle w:val="ListNumber"/>
      </w:pPr>
      <w:r>
        <w:t>1、制造业（含精密制造/高端装备）：鼓励</w:t>
      </w:r>
    </w:p>
    <w:p>
      <w:pPr>
        <w:pStyle w:val="ListNumber"/>
      </w:pPr>
      <w:r>
        <w:t>2、科技与软件：鼓励</w:t>
      </w:r>
    </w:p>
    <w:p>
      <w:pPr>
        <w:pStyle w:val="ListNumber"/>
      </w:pPr>
      <w:r>
        <w:t>3、涉农涉小：支持</w:t>
      </w:r>
    </w:p>
    <w:p>
      <w:pPr>
        <w:pStyle w:val="ListNumber"/>
      </w:pPr>
      <w:r>
        <w:t>4、绿色产业：支持</w:t>
      </w:r>
    </w:p>
    <w:p>
      <w:pPr>
        <w:pStyle w:val="ListNumber"/>
      </w:pPr>
      <w:r>
        <w:t>5、零售与消费：中性</w:t>
      </w:r>
    </w:p>
    <w:p>
      <w:pPr>
        <w:pStyle w:val="ListNumber"/>
      </w:pPr>
      <w:r>
        <w:t>6、基础设施（非高风险）：中性</w:t>
      </w:r>
    </w:p>
    <w:p>
      <w:pPr>
        <w:pStyle w:val="ListNumber"/>
      </w:pPr>
      <w:r>
        <w:t>7、商业地产：压缩</w:t>
      </w:r>
    </w:p>
    <w:p>
      <w:pPr>
        <w:pStyle w:val="ListNumber"/>
      </w:pPr>
      <w:r>
        <w:t>8、强周期基建：压缩</w:t>
      </w:r>
    </w:p>
    <w:p>
      <w:pPr>
        <w:pStyle w:val="ListNumber"/>
      </w:pPr>
      <w:r>
        <w:t>9、传统煤电：退出</w:t>
      </w:r>
    </w:p>
    <w:p>
      <w:r>
        <w:rPr>
          <w:b/>
          <w:sz w:val="23"/>
        </w:rPr>
        <w:t>（二）客群偏好</w:t>
      </w:r>
    </w:p>
    <w:p>
      <w:pPr>
        <w:pStyle w:val="ListNumber"/>
      </w:pPr>
      <w:r>
        <w:t>1、大中型央国企：稳步增加</w:t>
      </w:r>
    </w:p>
    <w:p>
      <w:pPr>
        <w:pStyle w:val="ListNumber"/>
      </w:pPr>
      <w:r>
        <w:t>2、专精特新企业：大幅增加</w:t>
      </w:r>
    </w:p>
    <w:p>
      <w:pPr>
        <w:pStyle w:val="ListNumber"/>
      </w:pPr>
      <w:r>
        <w:t>3、科技型创新企业：大幅增加</w:t>
      </w:r>
    </w:p>
    <w:p>
      <w:pPr>
        <w:pStyle w:val="ListNumber"/>
      </w:pPr>
      <w:r>
        <w:t>4、小微企业：支持但风控前置</w:t>
      </w:r>
    </w:p>
    <w:p>
      <w:pPr>
        <w:pStyle w:val="ListNumber"/>
      </w:pPr>
      <w:r>
        <w:t>5、高净值个人企业主：中性</w:t>
      </w:r>
    </w:p>
    <w:p>
      <w:r>
        <w:rPr>
          <w:b/>
          <w:sz w:val="23"/>
        </w:rPr>
        <w:t>（三）区域偏好</w:t>
      </w:r>
    </w:p>
    <w:p>
      <w:pPr>
        <w:pStyle w:val="ListNumber"/>
      </w:pPr>
      <w:r>
        <w:t>1、长三角/珠三角/京津冀：重点投放</w:t>
      </w:r>
    </w:p>
    <w:p>
      <w:pPr>
        <w:pStyle w:val="ListNumber"/>
      </w:pPr>
      <w:r>
        <w:t>2、成渝双城经济圈：积极拓展</w:t>
      </w:r>
    </w:p>
    <w:p>
      <w:pPr>
        <w:pStyle w:val="ListNumber"/>
      </w:pPr>
      <w:r>
        <w:t>3、其他地区：量入为出</w:t>
      </w:r>
    </w:p>
    <w:p>
      <w:r>
        <w:rPr>
          <w:b/>
          <w:sz w:val="26"/>
        </w:rPr>
        <w:t>第四章 单户集中度</w:t>
      </w:r>
    </w:p>
    <w:p>
      <w:pPr>
        <w:pStyle w:val="ListNumber"/>
      </w:pPr>
      <w:r>
        <w:t>1、单一法人最大授信余额不超过资本净额的 10%；</w:t>
      </w:r>
    </w:p>
    <w:p>
      <w:pPr>
        <w:pStyle w:val="ListNumber"/>
      </w:pPr>
      <w:r>
        <w:t>2、单一集团客户最大授信余额不超过资本净额的 15%；</w:t>
      </w:r>
    </w:p>
    <w:p>
      <w:pPr>
        <w:pStyle w:val="ListNumber"/>
      </w:pPr>
      <w:r>
        <w:t>3、同业授信不超过总资产的 5%。</w:t>
      </w:r>
    </w:p>
    <w:p>
      <w:r>
        <w:rPr>
          <w:b/>
          <w:sz w:val="26"/>
        </w:rPr>
        <w:t>第五章 期限结构</w:t>
      </w:r>
    </w:p>
    <w:p>
      <w:pPr>
        <w:pStyle w:val="ListNumber"/>
      </w:pPr>
      <w:r>
        <w:t>1、一年以内授信占比 55%-65%；</w:t>
      </w:r>
    </w:p>
    <w:p>
      <w:pPr>
        <w:pStyle w:val="ListNumber"/>
      </w:pPr>
      <w:r>
        <w:t>2、一至三年授信占比 25%-35%；</w:t>
      </w:r>
    </w:p>
    <w:p>
      <w:pPr>
        <w:pStyle w:val="ListNumber"/>
      </w:pPr>
      <w:r>
        <w:t>3、三年以上授信占比 5%-15%。</w:t>
      </w:r>
    </w:p>
    <w:p/>
    <w:p>
      <w:pPr>
        <w:jc w:val="right"/>
      </w:pPr>
      <w:r>
        <w:t>主办部门：风险管理部 · 董事会风险委员会审议通过</w:t>
      </w:r>
    </w:p>
    <w:p>
      <w:pPr>
        <w:jc w:val="right"/>
      </w:pPr>
      <w:r>
        <w:t>本版修订日期：2025-12-25</w:t>
      </w:r>
    </w:p>
    <w:p>
      <w:pPr>
        <w:jc w:val="center"/>
      </w:pPr>
      <w:r>
        <w:rPr>
          <w:i/>
          <w:sz w:val="16"/>
        </w:rPr>
        <w:t>页脚：本文档为银行内部制度 · 未经授权不得外传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