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集团内部互保情况说明</w:t>
      </w:r>
    </w:p>
    <w:p>
      <w:r>
        <w:t>出具方：星胤实业集团（某省）有限公司</w:t>
      </w:r>
    </w:p>
    <w:p>
      <w:r>
        <w:t>日期：2026 年 3 月 16 日</w:t>
      </w:r>
    </w:p>
    <w:p>
      <w:pPr>
        <w:pStyle w:val="Heading2"/>
      </w:pPr>
      <w:r>
        <w:rPr>
          <w:color w:val="303030"/>
        </w:rPr>
        <w:t>一、目前集团内主要互保关系</w:t>
      </w:r>
    </w:p>
    <w:p>
      <w:r>
        <w:t>1、星胤实业（母公司）为 星胤商管运营（某省） 提供连带责任保证 约 4500 万元</w:t>
      </w:r>
    </w:p>
    <w:p>
      <w:r>
        <w:t>2、星胤商管运营（某省） 为 星悦产业投资有限公司 提供连带责任保证 约 3200 万元</w:t>
      </w:r>
    </w:p>
    <w:p>
      <w:r>
        <w:t>3、星悦产业投资有限公司 反向为母公司 星胤实业 提供股权质押 相关授信 约 3800 万元</w:t>
      </w:r>
    </w:p>
    <w:p>
      <w:r>
        <w:t>4、慎之工贸（某省）有限公司 与母公司间存在相互往来款 暂未转为担保</w:t>
      </w:r>
    </w:p>
    <w:p>
      <w:pPr>
        <w:pStyle w:val="Heading2"/>
      </w:pPr>
      <w:r>
        <w:rPr>
          <w:color w:val="303030"/>
        </w:rPr>
        <w:t>二、说明</w:t>
      </w:r>
    </w:p>
    <w:p>
      <w:r>
        <w:t>以上互保金额均在各主体净资产 50% 以内，且不涉及对外集团外担保。集团层面已制定互保上限管理办法，由集团财务总监统筹监控。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