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互联网贷款合规专项巡检·整改报告</w:t>
      </w:r>
    </w:p>
    <w:p/>
    <w:p>
      <w:pPr>
        <w:jc w:val="center"/>
      </w:pPr>
      <w:r>
        <w:t>生成时间：2026 年 04 月 14 日 13:53</w:t>
      </w:r>
    </w:p>
    <w:p/>
    <w:p>
      <w:pPr>
        <w:jc w:val="center"/>
      </w:pPr>
      <w:r>
        <w:t>知识库：2 份监管政策 / 50 条条款 · 1 份内部制度 / 18 条条款 · 3 份业务数据 / 145 行</w:t>
      </w:r>
    </w:p>
    <w:p>
      <w:r>
        <w:br w:type="page"/>
      </w:r>
    </w:p>
    <w:p>
      <w:pPr>
        <w:pStyle w:val="Heading1"/>
      </w:pPr>
      <w:r>
        <w:t>一、总体摘要</w:t>
      </w:r>
    </w:p>
    <w:p>
      <w:r>
        <w:t>本次合规专项巡检扫描规则 68 条，业务事件 145 条，比对单元 9860，累计用时 0.0 秒。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🟡 一般</w:t>
            </w:r>
          </w:p>
        </w:tc>
        <w:tc>
          <w:tcPr>
            <w:tcW w:type="dxa" w:w="2160"/>
          </w:tcPr>
          <w:p>
            <w:r>
              <w:t>🟢 观察</w:t>
            </w:r>
          </w:p>
        </w:tc>
        <w:tc>
          <w:tcPr>
            <w:tcW w:type="dxa" w:w="2160"/>
          </w:tcPr>
          <w:p>
            <w:r>
              <w:t>扫描用时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0.0 秒</w:t>
            </w:r>
          </w:p>
        </w:tc>
      </w:tr>
    </w:tbl>
    <w:p>
      <w:pPr>
        <w:pStyle w:val="Heading1"/>
      </w:pPr>
      <w:r>
        <w:t>二、🔴 严重违规明细</w:t>
      </w:r>
    </w:p>
    <w:p>
      <w:pPr>
        <w:pStyle w:val="Heading2"/>
      </w:pPr>
      <w:r>
        <w:t>VIO-001  个人消费贷款期限≤1年</w:t>
      </w:r>
    </w:p>
    <w:p>
      <w:r>
        <w:t>触发规则：POLICY1-ART6（policy_online_loan.md · 第六条）</w:t>
      </w:r>
    </w:p>
    <w:p>
      <w:r>
        <w:t>条款原文：互联网贷款遵循小额、短期原则，个人消费贷款期限不得超过一年。</w:t>
      </w:r>
    </w:p>
    <w:p>
      <w:r>
        <w:t>涉及业务单号（2条）：LN20251108；LN20251211</w:t>
      </w:r>
    </w:p>
    <w:p>
      <w:r>
        <w:t>命中原因：LN20251108 贷款用途=个人消费，期限18月 &gt; 上限12月</w:t>
      </w:r>
    </w:p>
    <w:p>
      <w:r>
        <w:t>证据：</w:t>
      </w:r>
    </w:p>
    <w:p>
      <w:pPr>
        <w:pStyle w:val="ListBullet"/>
      </w:pPr>
      <w:r>
        <w:t>· LN20251108：期限=18月，超出阈值12月</w:t>
      </w:r>
    </w:p>
    <w:p>
      <w:pPr>
        <w:pStyle w:val="ListBullet"/>
      </w:pPr>
      <w:r>
        <w:t>· LN20251211：期限=24月，超出阈值12月</w:t>
      </w:r>
    </w:p>
    <w:p>
      <w:r>
        <w:t>责任部门：零售信贷部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LN20251108, LN20251211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VIO-002  单户消费授信≤20万</w:t>
      </w:r>
    </w:p>
    <w:p>
      <w:r>
        <w:t>触发规则：POLICY1-ART8（policy_online_loan.md · 第八条）</w:t>
      </w:r>
    </w:p>
    <w:p>
      <w:r>
        <w:t>条款原文：单户用于消费的个人信用贷款授信额度不超过 20 万元。</w:t>
      </w:r>
    </w:p>
    <w:p>
      <w:r>
        <w:t>涉及业务单号（1条）：LN20251021</w:t>
      </w:r>
    </w:p>
    <w:p>
      <w:r>
        <w:t>命中原因：LN20251021 用途=个人消费，金额350000 &gt; 上限200000</w:t>
      </w:r>
    </w:p>
    <w:p>
      <w:r>
        <w:t>证据：</w:t>
      </w:r>
    </w:p>
    <w:p>
      <w:pPr>
        <w:pStyle w:val="ListBullet"/>
      </w:pPr>
      <w:r>
        <w:t>· LN20251021：金额=350000元，超出阈值200000元</w:t>
      </w:r>
    </w:p>
    <w:p>
      <w:r>
        <w:t>责任部门：零售信贷部 / 风险管理部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LN20251021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VIO-003  未独立验证模型禁止上线</w:t>
      </w:r>
    </w:p>
    <w:p>
      <w:r>
        <w:t>触发规则：POLICY1-ART18（policy_online_loan.md · 第十八条）</w:t>
      </w:r>
    </w:p>
    <w:p>
      <w:r>
        <w:t>条款原文：风险模型上线前必须完成独立验证，未通过独立验证的模型不得用于实际业务决策。</w:t>
      </w:r>
    </w:p>
    <w:p>
      <w:r>
        <w:t>涉及业务单号（1条）：ML20251015</w:t>
      </w:r>
    </w:p>
    <w:p>
      <w:r>
        <w:t>命中原因：ML20251015 模型未完成独立验证</w:t>
      </w:r>
    </w:p>
    <w:p>
      <w:r>
        <w:t>证据：</w:t>
      </w:r>
    </w:p>
    <w:p>
      <w:pPr>
        <w:pStyle w:val="ListBullet"/>
      </w:pPr>
      <w:r>
        <w:t>· ML20251015：独立验证状态='未验证'</w:t>
      </w:r>
    </w:p>
    <w:p>
      <w:r>
        <w:t>责任部门：风险管理部 / 科技部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ML20251015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VIO-004  本行出资比例≥30%</w:t>
      </w:r>
    </w:p>
    <w:p>
      <w:r>
        <w:t>触发规则：POLICY2-ART3（policy_supplement.md · 第三条）</w:t>
      </w:r>
    </w:p>
    <w:p>
      <w:r>
        <w:t>条款原文：共同出资贷款中商业银行出资比例不得低于 30%。</w:t>
      </w:r>
    </w:p>
    <w:p>
      <w:r>
        <w:t>涉及业务单号（2条）：COOP202510007；COOP202511003</w:t>
      </w:r>
    </w:p>
    <w:p>
      <w:r>
        <w:t>命中原因：COOP202510007 合作方=XX小贷，本行出资15.0% &lt; 下限30.0%</w:t>
      </w:r>
    </w:p>
    <w:p>
      <w:r>
        <w:t>证据：</w:t>
      </w:r>
    </w:p>
    <w:p>
      <w:pPr>
        <w:pStyle w:val="ListBullet"/>
      </w:pPr>
      <w:r>
        <w:t>· COOP202510007：本行出资比例=15.0%，低于阈值30.0%</w:t>
      </w:r>
    </w:p>
    <w:p>
      <w:pPr>
        <w:pStyle w:val="ListBullet"/>
      </w:pPr>
      <w:r>
        <w:t>· COOP202511003：本行出资比例=22.0%，低于阈值30.0%</w:t>
      </w:r>
    </w:p>
    <w:p>
      <w:r>
        <w:t>责任部门：零售信贷部 / 法律合规部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COOP202510007, COOP202511003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2"/>
      </w:pPr>
      <w:r>
        <w:t>VIO-005  模型上线 5 日内报送</w:t>
      </w:r>
    </w:p>
    <w:p>
      <w:r>
        <w:t>触发规则：INTERNAL-ART12（internal_policy.md · 第十二条）</w:t>
      </w:r>
    </w:p>
    <w:p>
      <w:r>
        <w:t>条款原文：风控模型上线、重大调整或下线，经营部门应当在 5 个工作日内书面报送。</w:t>
      </w:r>
    </w:p>
    <w:p>
      <w:r>
        <w:t>涉及业务单号（1条）：ML20251122</w:t>
      </w:r>
    </w:p>
    <w:p>
      <w:r>
        <w:t>命中原因：ML20251122 模型上线后13个工作日才报送（应≤5）</w:t>
      </w:r>
    </w:p>
    <w:p>
      <w:r>
        <w:t>证据：</w:t>
      </w:r>
    </w:p>
    <w:p>
      <w:pPr>
        <w:pStyle w:val="ListBullet"/>
      </w:pPr>
      <w:r>
        <w:t>· ML20251122：上线到报送13个工作日，超 5 日</w:t>
      </w:r>
    </w:p>
    <w:p>
      <w:r>
        <w:t>责任部门：风险管理部 / 合规部</w:t>
      </w:r>
    </w:p>
    <w:p>
      <w:r>
        <w:t>整改期限：15 个工作日内完成</w:t>
      </w:r>
    </w:p>
    <w:p>
      <w:r>
        <w:t>整改建议：</w:t>
      </w:r>
    </w:p>
    <w:p>
      <w:pPr>
        <w:pStyle w:val="ListBullet"/>
      </w:pPr>
      <w:r>
        <w:t>[立即] 暂停涉及业务 ML20251122 的后续操作。</w:t>
      </w:r>
    </w:p>
    <w:p>
      <w:pPr>
        <w:pStyle w:val="ListBullet"/>
      </w:pPr>
      <w:r>
        <w:t>[立即] 组织业务、合规、风险三方联合复核原始记录。</w:t>
      </w:r>
    </w:p>
    <w:p>
      <w:pPr>
        <w:pStyle w:val="ListBullet"/>
      </w:pPr>
      <w:r>
        <w:t>[7 天内] 对同类业务开展专项自查，形成整改报告。</w:t>
      </w:r>
    </w:p>
    <w:p>
      <w:pPr>
        <w:pStyle w:val="Heading1"/>
      </w:pPr>
      <w:r>
        <w:t>三、🟡 一般缺陷明细</w:t>
      </w:r>
    </w:p>
    <w:p>
      <w:pPr>
        <w:pStyle w:val="Heading2"/>
      </w:pPr>
      <w:r>
        <w:t>VIO-006  模型回测频率≥季度</w:t>
      </w:r>
    </w:p>
    <w:p>
      <w:r>
        <w:t>触发规则：POLICY1-ART19（policy_online_loan.md · 第十九条）</w:t>
      </w:r>
    </w:p>
    <w:p>
      <w:r>
        <w:t>条款原文：定期对风险模型进行回测与监测，监测频率不得低于每季度一次。</w:t>
      </w:r>
    </w:p>
    <w:p>
      <w:r>
        <w:t>涉及业务单号（1条）：ML20251009</w:t>
      </w:r>
    </w:p>
    <w:p>
      <w:r>
        <w:t>命中原因：监测频率=年度，低于监管要求的季度。</w:t>
      </w:r>
    </w:p>
    <w:p>
      <w:r>
        <w:t>证据：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将反欺诈评分卡 v3 和准入评分 v4 监测频率调整为季度，补录 Q3 监测报告。</w:t>
      </w:r>
    </w:p>
    <w:p>
      <w:pPr>
        <w:pStyle w:val="Heading2"/>
      </w:pPr>
      <w:r>
        <w:t>VIO-007  合作须签书面协议</w:t>
      </w:r>
    </w:p>
    <w:p>
      <w:r>
        <w:t>触发规则：POLICY2-ART2（policy_supplement.md · 第二条）</w:t>
      </w:r>
    </w:p>
    <w:p>
      <w:r>
        <w:t>条款原文：共同出资发放贷款前签订书面合作协议。</w:t>
      </w:r>
    </w:p>
    <w:p>
      <w:r>
        <w:t>涉及业务单号（1条）：COOP202512015</w:t>
      </w:r>
    </w:p>
    <w:p>
      <w:r>
        <w:t>命中原因：合作单 COOP202512015 合同状态=文档缺失。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责任部门：零售信贷部 / 法律合规部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[10 天内] 补齐 COOP202512015 合作协议，归档后重新建账。</w:t>
      </w:r>
    </w:p>
    <w:p>
      <w:pPr>
        <w:pStyle w:val="Heading2"/>
      </w:pPr>
      <w:r>
        <w:t>VIO-008  贷款信息披露要素</w:t>
      </w:r>
    </w:p>
    <w:p>
      <w:r>
        <w:t>触发规则：POLICY1-ART26（policy_online_loan.md · 第二十六条）</w:t>
      </w:r>
    </w:p>
    <w:p>
      <w:r>
        <w:t>条款原文：披露主体、实际年利率、年化综合资金成本、还本付息安排、逾期清收、投诉渠道、违约责任等。</w:t>
      </w:r>
    </w:p>
    <w:p>
      <w:r>
        <w:t>涉及业务单号（3条）：LN20251108；LN20251211；LN20251021</w:t>
      </w:r>
    </w:p>
    <w:p>
      <w:r>
        <w:t>命中原因：放款电子合同未完整披露综合资金成本与投诉渠道。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责任部门：合规部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完善电子合同披露模板，按监管 7 要素逐项覆盖。</w:t>
      </w:r>
    </w:p>
    <w:p>
      <w:pPr>
        <w:pStyle w:val="Heading2"/>
      </w:pPr>
      <w:r>
        <w:t>VIO-009  贷后评估频率≥季度</w:t>
      </w:r>
    </w:p>
    <w:p>
      <w:r>
        <w:t>触发规则：POLICY1-ART33（policy_online_loan.md · 第三十三条）</w:t>
      </w:r>
    </w:p>
    <w:p>
      <w:r>
        <w:t>条款原文：贷后风险评估频率不得低于每季度一次，高风险客户加密贷后管理。</w:t>
      </w:r>
    </w:p>
    <w:p>
      <w:r>
        <w:t>涉及业务单号（2条）：LN20251108；LN20251211</w:t>
      </w:r>
    </w:p>
    <w:p>
      <w:r>
        <w:t>命中原因：期限超限的借款人未加密贷后评估。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责任部门：零售信贷部 / 运营部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对超期客户补充月度贷后评估，纳入风险名单。</w:t>
      </w:r>
    </w:p>
    <w:p>
      <w:pPr>
        <w:pStyle w:val="Heading2"/>
      </w:pPr>
      <w:r>
        <w:t>VIO-010  合作机构尽调</w:t>
      </w:r>
    </w:p>
    <w:p>
      <w:r>
        <w:t>触发规则：POLICY2-ART7（policy_supplement.md · 第七条）</w:t>
      </w:r>
    </w:p>
    <w:p>
      <w:r>
        <w:t>条款原文：选择合作机构应当审慎评估其资质、财务、信用、合规。</w:t>
      </w:r>
    </w:p>
    <w:p>
      <w:r>
        <w:t>涉及业务单号（2条）：COOP202510007；COOP202511003</w:t>
      </w:r>
    </w:p>
    <w:p>
      <w:r>
        <w:t>命中原因：XX小贷与YY消金准入时未取得近 3 年合规处罚记录。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责任部门：零售信贷部 / 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重新开展尽调并留存文档，形成机构合规画像。</w:t>
      </w:r>
    </w:p>
    <w:p>
      <w:pPr>
        <w:pStyle w:val="Heading2"/>
      </w:pPr>
      <w:r>
        <w:t>VIO-011  合作清单季度报送</w:t>
      </w:r>
    </w:p>
    <w:p>
      <w:r>
        <w:t>触发规则：POLICY2-ART8（policy_supplement.md · 第八条）</w:t>
      </w:r>
    </w:p>
    <w:p>
      <w:r>
        <w:t>条款原文：合作清单至少每季度更新并报送监管。</w:t>
      </w:r>
    </w:p>
    <w:p>
      <w:r>
        <w:t>涉及业务单号（1条）：COOP202512015</w:t>
      </w:r>
    </w:p>
    <w:p>
      <w:r>
        <w:t>命中原因：Q4 合作清单未报送监管。</w:t>
      </w:r>
    </w:p>
    <w:p>
      <w:r>
        <w:t>证据：</w:t>
      </w:r>
    </w:p>
    <w:p>
      <w:pPr>
        <w:pStyle w:val="ListBullet"/>
      </w:pPr>
      <w:r>
        <w:t>· COOP202512015：cooperation 2025-12-20 [('event_id', 'COOP202512015'), ('event_date', '2025-12-20'), ('cooperator', 'ZZ金融')]</w:t>
      </w:r>
    </w:p>
    <w:p>
      <w:r>
        <w:t>责任部门：合规部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补报 Q4 合作清单；建立次月 5 日自动报送机制。</w:t>
      </w:r>
    </w:p>
    <w:p>
      <w:pPr>
        <w:pStyle w:val="Heading2"/>
      </w:pPr>
      <w:r>
        <w:t>VIO-012  资金流向 10 日核查</w:t>
      </w:r>
    </w:p>
    <w:p>
      <w:r>
        <w:t>触发规则：INTERNAL-ART10（internal_policy.md · 第十条）</w:t>
      </w:r>
    </w:p>
    <w:p>
      <w:r>
        <w:t>条款原文：放款后 10 个工作日内完成首次贷后资金流向核查。</w:t>
      </w:r>
    </w:p>
    <w:p>
      <w:r>
        <w:t>涉及业务单号（3条）：LN20251108；LN20251211；LN20251021</w:t>
      </w:r>
    </w:p>
    <w:p>
      <w:r>
        <w:t>命中原因：放款 10 个工作日内未完成首次资金流向核查。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[30 天内] 对超期客户补做资金流向核查，完善 T+10 提醒。</w:t>
      </w:r>
    </w:p>
    <w:p>
      <w:pPr>
        <w:pStyle w:val="Heading2"/>
      </w:pPr>
      <w:r>
        <w:t>VIO-013  模型文档完整性</w:t>
      </w:r>
    </w:p>
    <w:p>
      <w:r>
        <w:t>触发规则：INTERNAL-ART6（internal_policy.md · 第六条）</w:t>
      </w:r>
    </w:p>
    <w:p>
      <w:r>
        <w:t>条款原文：模型上线须提交设计文档、测试报告、验证报告。</w:t>
      </w:r>
    </w:p>
    <w:p>
      <w:r>
        <w:t>涉及业务单号（1条）：ML20251015</w:t>
      </w:r>
    </w:p>
    <w:p>
      <w:r>
        <w:t>命中原因：ML20251015 模型上线缺少完整的测试与验证报告。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责任部门：风险管理部 / 科技部</w:t>
      </w:r>
    </w:p>
    <w:p>
      <w:r>
        <w:t>整改期限：30 个工作日内完成</w:t>
      </w:r>
    </w:p>
    <w:p>
      <w:r>
        <w:t>整改建议：</w:t>
      </w:r>
    </w:p>
    <w:p>
      <w:pPr>
        <w:pStyle w:val="ListBullet"/>
      </w:pPr>
      <w:r>
        <w:t>[立即] 补齐模型设计与测试文档，归档入模型库。</w:t>
      </w:r>
    </w:p>
    <w:p>
      <w:pPr>
        <w:pStyle w:val="Heading1"/>
      </w:pPr>
      <w:r>
        <w:t>四、🟢 观察项明细</w:t>
      </w:r>
    </w:p>
    <w:p>
      <w:pPr>
        <w:pStyle w:val="Heading2"/>
      </w:pPr>
      <w:r>
        <w:t>VIO-014  禁止投资性用途</w:t>
      </w:r>
    </w:p>
    <w:p>
      <w:r>
        <w:t>触发规则：INTERNAL-ART4（internal_policy.md · 第四条）</w:t>
      </w:r>
    </w:p>
    <w:p>
      <w:r>
        <w:t>条款原文：借款用途不得用于股票、期货、基金等金融投资活动。</w:t>
      </w:r>
    </w:p>
    <w:p>
      <w:r>
        <w:t>涉及业务单号（1条）：LN20251203</w:t>
      </w:r>
    </w:p>
    <w:p>
      <w:r>
        <w:t>命中原因：LN20251203 贷款用途含'股票投资'字样。</w:t>
      </w:r>
    </w:p>
    <w:p>
      <w:r>
        <w:t>证据：</w:t>
      </w:r>
    </w:p>
    <w:p>
      <w:pPr>
        <w:pStyle w:val="ListBullet"/>
      </w:pPr>
      <w:r>
        <w:t>· LN20251203：loan 2025-12-03 [('event_id', 'LN20251203'), ('event_date', '2025-12-03'), ('amount', 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优化用途审核模板，加入投资类关键词黑名单。</w:t>
      </w:r>
    </w:p>
    <w:p>
      <w:pPr>
        <w:pStyle w:val="Heading2"/>
      </w:pPr>
      <w:r>
        <w:t>VIO-015  单一合作机构出资比例≤25%</w:t>
      </w:r>
    </w:p>
    <w:p>
      <w:r>
        <w:t>触发规则：POLICY2-ART6（policy_supplement.md · 第六条）</w:t>
      </w:r>
    </w:p>
    <w:p>
      <w:r>
        <w:t>条款原文：单一合作机构出资比例不得超过本行互联网贷款余额的 25%。</w:t>
      </w:r>
    </w:p>
    <w:p>
      <w:r>
        <w:t>涉及业务单号（1条）：COOP202510007</w:t>
      </w:r>
    </w:p>
    <w:p>
      <w:r>
        <w:t>命中原因：XX小贷合作敞口占本行互联网贷款余额 24%。接近 25% 上限。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动态下调 XX小贷配额，分散合作集中度。</w:t>
      </w:r>
    </w:p>
    <w:p>
      <w:pPr>
        <w:pStyle w:val="Heading2"/>
      </w:pPr>
      <w:r>
        <w:t>VIO-016  单一合作机构敞口≤一级资本25%</w:t>
      </w:r>
    </w:p>
    <w:p>
      <w:r>
        <w:t>触发规则：POLICY2-ART4（policy_supplement.md · 第四条）</w:t>
      </w:r>
    </w:p>
    <w:p>
      <w:r>
        <w:t>条款原文：与单一合作机构发放的本行贷款余额不得超过一级资本的 25%。</w:t>
      </w:r>
    </w:p>
    <w:p>
      <w:r>
        <w:t>涉及业务单号（2条）：COOP202510007；COOP202511003</w:t>
      </w:r>
    </w:p>
    <w:p>
      <w:r>
        <w:t>命中原因：头部合作机构敞口占一级资本 22%。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pPr>
        <w:pStyle w:val="ListBullet"/>
      </w:pPr>
      <w:r>
        <w:t>· COOP202511003：cooperation 2025-11-05 [('event_id', 'COOP202511003'), ('event_date', '2025-11-05'), ('cooperator', 'YY消金')]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制定敞口预警阈值，半年度复核。</w:t>
      </w:r>
    </w:p>
    <w:p>
      <w:pPr>
        <w:pStyle w:val="Heading2"/>
      </w:pPr>
      <w:r>
        <w:t>VIO-017  贷后持续监测机制</w:t>
      </w:r>
    </w:p>
    <w:p>
      <w:r>
        <w:t>触发规则：POLICY1-ART32（policy_online_loan.md · 第三十二条）</w:t>
      </w:r>
    </w:p>
    <w:p>
      <w:r>
        <w:t>条款原文：建立互联网贷款持续监测机制。</w:t>
      </w:r>
    </w:p>
    <w:p>
      <w:r>
        <w:t>涉及业务单号（1条）：LN20251108</w:t>
      </w:r>
    </w:p>
    <w:p>
      <w:r>
        <w:t>命中原因：贷后征信变化触发未接入自动监测看板。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责任部门：运营部 / 科技部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接入征信变动数据流，形成看板。</w:t>
      </w:r>
    </w:p>
    <w:p>
      <w:pPr>
        <w:pStyle w:val="Heading2"/>
      </w:pPr>
      <w:r>
        <w:t>VIO-018  合同全流程可追溯</w:t>
      </w:r>
    </w:p>
    <w:p>
      <w:r>
        <w:t>触发规则：POLICY1-ART27（policy_online_loan.md · 第二十七条）</w:t>
      </w:r>
    </w:p>
    <w:p>
      <w:r>
        <w:t>条款原文：确保合同签订全流程完整可追溯，保留电子合同及相关证据。</w:t>
      </w:r>
    </w:p>
    <w:p>
      <w:r>
        <w:t>涉及业务单号（2条）：LN20251021；LN20251211</w:t>
      </w:r>
    </w:p>
    <w:p>
      <w:r>
        <w:t>命中原因：合同 hash 存证未覆盖全流程签署步骤。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责任部门：科技部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引入全流程 hash 存证与时间戳。</w:t>
      </w:r>
    </w:p>
    <w:p>
      <w:pPr>
        <w:pStyle w:val="Heading2"/>
      </w:pPr>
      <w:r>
        <w:t>VIO-019  贷前身份核验 &amp; 反欺诈</w:t>
      </w:r>
    </w:p>
    <w:p>
      <w:r>
        <w:t>触发规则：INTERNAL-ART3（internal_policy.md · 第三条）</w:t>
      </w:r>
    </w:p>
    <w:p>
      <w:r>
        <w:t>条款原文：贷款受理前完成身份核验、反欺诈筛查、信用评估。</w:t>
      </w:r>
    </w:p>
    <w:p>
      <w:r>
        <w:t>涉及业务单号（2条）：LN20251108；LN20251211</w:t>
      </w:r>
    </w:p>
    <w:p>
      <w:r>
        <w:t>命中原因：反欺诈抽检仅覆盖 80% 样本。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pPr>
        <w:pStyle w:val="ListBullet"/>
      </w:pPr>
      <w:r>
        <w:t>· LN20251211：loan 2025-12-11 [('event_id', 'LN20251211'), ('event_date', '2025-12-11'), ('amount', 120000.0)]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将抽检比例提高至 95%+。</w:t>
      </w:r>
    </w:p>
    <w:p>
      <w:pPr>
        <w:pStyle w:val="Heading2"/>
      </w:pPr>
      <w:r>
        <w:t>VIO-020  月度数据报送</w:t>
      </w:r>
    </w:p>
    <w:p>
      <w:r>
        <w:t>触发规则：INTERNAL-ART13（internal_policy.md · 第十三条）</w:t>
      </w:r>
    </w:p>
    <w:p>
      <w:r>
        <w:t>条款原文：月度业务数据应当在次月 10 日前报送总行合规部。</w:t>
      </w:r>
    </w:p>
    <w:p>
      <w:r>
        <w:t>涉及业务单号（1条）：LN20251108</w:t>
      </w:r>
    </w:p>
    <w:p>
      <w:r>
        <w:t>命中原因：月度数据报送平均在次月 8 日，距上限 10 日较近。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提前到次月 5 日完成报送，建立自动提醒。</w:t>
      </w:r>
    </w:p>
    <w:p>
      <w:pPr>
        <w:pStyle w:val="Heading2"/>
      </w:pPr>
      <w:r>
        <w:t>VIO-021  风控核心环节不外包</w:t>
      </w:r>
    </w:p>
    <w:p>
      <w:r>
        <w:t>触发规则：POLICY2-ART1（policy_supplement.md · 第一条）</w:t>
      </w:r>
    </w:p>
    <w:p>
      <w:r>
        <w:t>条款原文：建立合作机构分层分类管理制度，确保风控核心环节不外包。</w:t>
      </w:r>
    </w:p>
    <w:p>
      <w:r>
        <w:t>涉及业务单号（1条）：COOP202510007</w:t>
      </w:r>
    </w:p>
    <w:p>
      <w:r>
        <w:t>命中原因：与 XX小贷存在部分风控环节接口，需明确边界。</w:t>
      </w:r>
    </w:p>
    <w:p>
      <w:r>
        <w:t>证据：</w:t>
      </w:r>
    </w:p>
    <w:p>
      <w:pPr>
        <w:pStyle w:val="ListBullet"/>
      </w:pPr>
      <w:r>
        <w:t>· COOP202510007：cooperation 2025-10-15 [('event_id', 'COOP202510007'), ('event_date', '2025-10-15'), ('cooperator', 'XX小贷')]</w:t>
      </w:r>
    </w:p>
    <w:p>
      <w:r>
        <w:t>责任部门：风险管理部 / 法律合规部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梳理外包边界清单，形成界面协议。</w:t>
      </w:r>
    </w:p>
    <w:p>
      <w:pPr>
        <w:pStyle w:val="Heading2"/>
      </w:pPr>
      <w:r>
        <w:t>VIO-022  单户敞口分散原则</w:t>
      </w:r>
    </w:p>
    <w:p>
      <w:r>
        <w:t>触发规则：POLICY1-ART9（policy_online_loan.md · 第九条）</w:t>
      </w:r>
    </w:p>
    <w:p>
      <w:r>
        <w:t>条款原文：按照适度分散原则合理设置单户额度上限。</w:t>
      </w:r>
    </w:p>
    <w:p>
      <w:r>
        <w:t>涉及业务单号（1条）：LN20251021</w:t>
      </w:r>
    </w:p>
    <w:p>
      <w:r>
        <w:t>命中原因：LN20251021 虽在整改中，单户敞口仍偏高。</w:t>
      </w:r>
    </w:p>
    <w:p>
      <w:r>
        <w:t>证据：</w:t>
      </w:r>
    </w:p>
    <w:p>
      <w:pPr>
        <w:pStyle w:val="ListBullet"/>
      </w:pPr>
      <w:r>
        <w:t>· LN20251021：loan 2025-10-21 [('event_id', 'LN20251021'), ('event_date', '2025-10-21'), ('amount', 350000.0)]</w:t>
      </w:r>
    </w:p>
    <w:p>
      <w:r>
        <w:t>责任部门：零售信贷部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优化额度模型单户上限分层。</w:t>
      </w:r>
    </w:p>
    <w:p>
      <w:pPr>
        <w:pStyle w:val="Heading2"/>
      </w:pPr>
      <w:r>
        <w:t>VIO-023  模型全流程管理</w:t>
      </w:r>
    </w:p>
    <w:p>
      <w:r>
        <w:t>触发规则：POLICY1-ART16（policy_online_loan.md · 第十六条）</w:t>
      </w:r>
    </w:p>
    <w:p>
      <w:r>
        <w:t>条款原文：建立风险模型开发/测试/评审/监测/退出全流程管理制度。</w:t>
      </w:r>
    </w:p>
    <w:p>
      <w:r>
        <w:t>涉及业务单号（2条）：ML20251015；ML20251009</w:t>
      </w:r>
    </w:p>
    <w:p>
      <w:r>
        <w:t>命中原因：退出场景未覆盖所有模型类型。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pPr>
        <w:pStyle w:val="ListBullet"/>
      </w:pPr>
      <w:r>
        <w:t>· ML20251009：model 2025-10-09 [('event_id', 'ML20251009'), ('event_date', '2025-10-09'), ('model_name', '准入评分 v4')]</w:t>
      </w:r>
    </w:p>
    <w:p>
      <w:r>
        <w:t>责任部门：风险管理部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编制模型退出手册并培训。</w:t>
      </w:r>
    </w:p>
    <w:p>
      <w:pPr>
        <w:pStyle w:val="Heading2"/>
      </w:pPr>
      <w:r>
        <w:t>VIO-024  禁止暴力催收</w:t>
      </w:r>
    </w:p>
    <w:p>
      <w:r>
        <w:t>触发规则：POLICY1-ART7（policy_online_loan.md · 第七条）</w:t>
      </w:r>
    </w:p>
    <w:p>
      <w:r>
        <w:t>条款原文：违约后不得使用暴力、威胁、恐吓、骚扰等不正当手段催收。</w:t>
      </w:r>
    </w:p>
    <w:p>
      <w:r>
        <w:t>涉及业务单号（1条）：LN20251108</w:t>
      </w:r>
    </w:p>
    <w:p>
      <w:r>
        <w:t>命中原因：外呼脚本未覆盖新增合规用语。</w:t>
      </w:r>
    </w:p>
    <w:p>
      <w:r>
        <w:t>证据：</w:t>
      </w:r>
    </w:p>
    <w:p>
      <w:pPr>
        <w:pStyle w:val="ListBullet"/>
      </w:pPr>
      <w:r>
        <w:t>· LN20251108：loan 2025-11-08 [('event_id', 'LN20251108'), ('event_date', '2025-11-08'), ('amount', 80000.0)]</w:t>
      </w:r>
    </w:p>
    <w:p>
      <w:r>
        <w:t>责任部门：资产管理部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全量外呼脚本合规复审。</w:t>
      </w:r>
    </w:p>
    <w:p>
      <w:pPr>
        <w:pStyle w:val="Heading2"/>
      </w:pPr>
      <w:r>
        <w:t>VIO-025  数据使用规范</w:t>
      </w:r>
    </w:p>
    <w:p>
      <w:r>
        <w:t>触发规则：POLICY1-ART15（policy_online_loan.md · 第十五条）</w:t>
      </w:r>
    </w:p>
    <w:p>
      <w:r>
        <w:t>条款原文：建立互联网贷款风险数据使用规范。</w:t>
      </w:r>
    </w:p>
    <w:p>
      <w:r>
        <w:t>涉及业务单号（1条）：ML20251015</w:t>
      </w:r>
    </w:p>
    <w:p>
      <w:r>
        <w:t>命中原因：风险数据接入日志未完整记录用途。</w:t>
      </w:r>
    </w:p>
    <w:p>
      <w:r>
        <w:t>证据：</w:t>
      </w:r>
    </w:p>
    <w:p>
      <w:pPr>
        <w:pStyle w:val="ListBullet"/>
      </w:pPr>
      <w:r>
        <w:t>· ML20251015：model 2025-10-15 [('event_id', 'ML20251015'), ('event_date', '2025-10-15'), ('model_name', '反欺诈评分卡 v3')]</w:t>
      </w:r>
    </w:p>
    <w:p>
      <w:r>
        <w:t>责任部门：科技部 / 合规部</w:t>
      </w:r>
    </w:p>
    <w:p>
      <w:r>
        <w:t>整改期限：下一季度内完成优化</w:t>
      </w:r>
    </w:p>
    <w:p>
      <w:r>
        <w:t>整改建议：</w:t>
      </w:r>
    </w:p>
    <w:p>
      <w:pPr>
        <w:pStyle w:val="ListBullet"/>
      </w:pPr>
      <w:r>
        <w:t>[下一季度] 建立数据使用台账月度复核。</w:t>
      </w:r>
    </w:p>
    <w:p>
      <w:pPr>
        <w:pStyle w:val="Heading1"/>
      </w:pPr>
      <w:r>
        <w:t>五、整改计划汇总表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议题</w:t>
            </w:r>
          </w:p>
        </w:tc>
        <w:tc>
          <w:tcPr>
            <w:tcW w:type="dxa" w:w="1728"/>
          </w:tcPr>
          <w:p>
            <w:r>
              <w:t>责任部门</w:t>
            </w:r>
          </w:p>
        </w:tc>
        <w:tc>
          <w:tcPr>
            <w:tcW w:type="dxa" w:w="1728"/>
          </w:tcPr>
          <w:p>
            <w:r>
              <w:t>期限</w:t>
            </w:r>
          </w:p>
        </w:tc>
      </w:tr>
      <w:tr>
        <w:tc>
          <w:tcPr>
            <w:tcW w:type="dxa" w:w="1728"/>
          </w:tcPr>
          <w:p>
            <w:r>
              <w:t>VIO-001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个人消费贷款期限≤1年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VIO-002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单户消费授信≤20万</w:t>
            </w:r>
          </w:p>
        </w:tc>
        <w:tc>
          <w:tcPr>
            <w:tcW w:type="dxa" w:w="1728"/>
          </w:tcPr>
          <w:p>
            <w:r>
              <w:t>零售信贷部 / 风险管理部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VIO-003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未独立验证模型禁止上线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VIO-004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本行出资比例≥30%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VIO-005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模型上线 5 日内报送</w:t>
            </w:r>
          </w:p>
        </w:tc>
        <w:tc>
          <w:tcPr>
            <w:tcW w:type="dxa" w:w="1728"/>
          </w:tcPr>
          <w:p>
            <w:r>
              <w:t>风险管理部 / 合规部</w:t>
            </w:r>
          </w:p>
        </w:tc>
        <w:tc>
          <w:tcPr>
            <w:tcW w:type="dxa" w:w="1728"/>
          </w:tcPr>
          <w:p>
            <w:r>
              <w:t>15 个工作日内完成</w:t>
            </w:r>
          </w:p>
        </w:tc>
      </w:tr>
      <w:tr>
        <w:tc>
          <w:tcPr>
            <w:tcW w:type="dxa" w:w="1728"/>
          </w:tcPr>
          <w:p>
            <w:r>
              <w:t>VIO-006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模型回测频率≥季度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VIO-007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合作须签书面协议</w:t>
            </w:r>
          </w:p>
        </w:tc>
        <w:tc>
          <w:tcPr>
            <w:tcW w:type="dxa" w:w="1728"/>
          </w:tcPr>
          <w:p>
            <w:r>
              <w:t>零售信贷部 / 法律合规部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VIO-008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贷款信息披露要素</w:t>
            </w:r>
          </w:p>
        </w:tc>
        <w:tc>
          <w:tcPr>
            <w:tcW w:type="dxa" w:w="1728"/>
          </w:tcPr>
          <w:p>
            <w:r>
              <w:t>合规部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VIO-009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贷后评估频率≥季度</w:t>
            </w:r>
          </w:p>
        </w:tc>
        <w:tc>
          <w:tcPr>
            <w:tcW w:type="dxa" w:w="1728"/>
          </w:tcPr>
          <w:p>
            <w:r>
              <w:t>零售信贷部 / 运营部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VIO-010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合作机构尽调</w:t>
            </w:r>
          </w:p>
        </w:tc>
        <w:tc>
          <w:tcPr>
            <w:tcW w:type="dxa" w:w="1728"/>
          </w:tcPr>
          <w:p>
            <w:r>
              <w:t>零售信贷部 / 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VIO-011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合作清单季度报送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VIO-012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资金流向 10 日核查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VIO-013</w:t>
            </w:r>
          </w:p>
        </w:tc>
        <w:tc>
          <w:tcPr>
            <w:tcW w:type="dxa" w:w="1728"/>
          </w:tcPr>
          <w:p>
            <w:r>
              <w:t>🟡 一般</w:t>
            </w:r>
          </w:p>
        </w:tc>
        <w:tc>
          <w:tcPr>
            <w:tcW w:type="dxa" w:w="1728"/>
          </w:tcPr>
          <w:p>
            <w:r>
              <w:t>模型文档完整性</w:t>
            </w:r>
          </w:p>
        </w:tc>
        <w:tc>
          <w:tcPr>
            <w:tcW w:type="dxa" w:w="1728"/>
          </w:tcPr>
          <w:p>
            <w:r>
              <w:t>风险管理部 / 科技部</w:t>
            </w:r>
          </w:p>
        </w:tc>
        <w:tc>
          <w:tcPr>
            <w:tcW w:type="dxa" w:w="1728"/>
          </w:tcPr>
          <w:p>
            <w:r>
              <w:t>30 个工作日内完成</w:t>
            </w:r>
          </w:p>
        </w:tc>
      </w:tr>
      <w:tr>
        <w:tc>
          <w:tcPr>
            <w:tcW w:type="dxa" w:w="1728"/>
          </w:tcPr>
          <w:p>
            <w:r>
              <w:t>VIO-014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禁止投资性用途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单一合作机构出资比例≤25%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VIO-016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单一合作机构敞口≤一级资本25%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VIO-017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贷后持续监测机制</w:t>
            </w:r>
          </w:p>
        </w:tc>
        <w:tc>
          <w:tcPr>
            <w:tcW w:type="dxa" w:w="1728"/>
          </w:tcPr>
          <w:p>
            <w:r>
              <w:t>运营部 / 科技部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VIO-018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合同全流程可追溯</w:t>
            </w:r>
          </w:p>
        </w:tc>
        <w:tc>
          <w:tcPr>
            <w:tcW w:type="dxa" w:w="1728"/>
          </w:tcPr>
          <w:p>
            <w:r>
              <w:t>科技部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VIO-019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贷前身份核验 &amp; 反欺诈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VIO-020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月度数据报送</w:t>
            </w:r>
          </w:p>
        </w:tc>
        <w:tc>
          <w:tcPr>
            <w:tcW w:type="dxa" w:w="1728"/>
          </w:tcPr>
          <w:p>
            <w:r>
              <w:t>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VIO-021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风控核心环节不外包</w:t>
            </w:r>
          </w:p>
        </w:tc>
        <w:tc>
          <w:tcPr>
            <w:tcW w:type="dxa" w:w="1728"/>
          </w:tcPr>
          <w:p>
            <w:r>
              <w:t>风险管理部 / 法律合规部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VIO-022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单户敞口分散原则</w:t>
            </w:r>
          </w:p>
        </w:tc>
        <w:tc>
          <w:tcPr>
            <w:tcW w:type="dxa" w:w="1728"/>
          </w:tcPr>
          <w:p>
            <w:r>
              <w:t>零售信贷部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VIO-023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模型全流程管理</w:t>
            </w:r>
          </w:p>
        </w:tc>
        <w:tc>
          <w:tcPr>
            <w:tcW w:type="dxa" w:w="1728"/>
          </w:tcPr>
          <w:p>
            <w:r>
              <w:t>风险管理部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VIO-024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禁止暴力催收</w:t>
            </w:r>
          </w:p>
        </w:tc>
        <w:tc>
          <w:tcPr>
            <w:tcW w:type="dxa" w:w="1728"/>
          </w:tcPr>
          <w:p>
            <w:r>
              <w:t>资产管理部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  <w:tr>
        <w:tc>
          <w:tcPr>
            <w:tcW w:type="dxa" w:w="1728"/>
          </w:tcPr>
          <w:p>
            <w:r>
              <w:t>VIO-025</w:t>
            </w:r>
          </w:p>
        </w:tc>
        <w:tc>
          <w:tcPr>
            <w:tcW w:type="dxa" w:w="1728"/>
          </w:tcPr>
          <w:p>
            <w:r>
              <w:t>🟢 观察</w:t>
            </w:r>
          </w:p>
        </w:tc>
        <w:tc>
          <w:tcPr>
            <w:tcW w:type="dxa" w:w="1728"/>
          </w:tcPr>
          <w:p>
            <w:r>
              <w:t>数据使用规范</w:t>
            </w:r>
          </w:p>
        </w:tc>
        <w:tc>
          <w:tcPr>
            <w:tcW w:type="dxa" w:w="1728"/>
          </w:tcPr>
          <w:p>
            <w:r>
              <w:t>科技部 / 合规部</w:t>
            </w:r>
          </w:p>
        </w:tc>
        <w:tc>
          <w:tcPr>
            <w:tcW w:type="dxa" w:w="1728"/>
          </w:tcPr>
          <w:p>
            <w:r>
              <w:t>下一季度内完成优化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