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福建省分行普惠法人授信申报及审查审批意见表（[待补充]新版）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PD评级：6级【上一期授信评级：7级】</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已取得资质情况：材料未提供排污许可证、排污登记回执信息。根据企业所属行业及主营业务为信息技术服务业，不涉及生产制造环节，通常无需取得排污许可，此项不涉及。材料未提供食品生产许可证、建筑工程施工总承包等其他资质信息。企业主营业务为智慧水利与智慧教育解决方案，属于软件与信息技术服务，其经营所需的特定行业准入资质（如增值电信业务许可证等）材料未提供，需后续补充以评估其业务合规性。上年度末社保人数：材料未提供。注册资本：根据营业执照，注册资本为4100万元。</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实收资本：材料未提供实收资本信息，无法判断股东出资到位情况，需后续补充。法定代表人：根据营业执照，法定代表人为黄祖海。</w:t>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上年度末社保人数     人；注册资本： 4100万元、实收资本：        万元；法定代表人： 黄祖海 。</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commentRangeEnd w:id="3"/>
            <w:r>
              <w:rPr>
                <w:rStyle w:val="CommentReference"/>
              </w:rPr>
              <w:commentReference w:id="3"/>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最新股权结构表：材料未提供福建中锐网络股份有限公司的股权结构表，无法判断股东构成、持股比例及是否存在股权质押等情况，对评估实际控制人控制力及股权稳定性有影响。</w:t>
              <w:br/>
              <w:t>过往两年企业股权变动情况及变动原因：材料未提供相关信息，无法判断近期股权是否稳定，需后续补充。</w:t>
              <w:br/>
              <w:t>企业成立于2012年1月18日，经营地址（坐落地点、场地面积、自有或租用、是否已对外抵押）：位于福州市马尾区罗星东路2号海峡经贸广场1#楼A615室（自贸试验区内）。材料未提供该经营场所的场地面积、产权性质（自有或租用）及抵押情况信息，需后续补充租赁合同或产权证明以核实经营稳定性。</w:t>
              <w:br/>
              <w:t>实际主营业务（请勿直接罗列营业执照经营范围表述）：公司实际主营业务聚焦于两大板块：一是智慧水利，提供包括大坝安全智能监测、智慧流域“四预”系统等解决方案，已应用于福建省内300余座水库；二是智慧教育，提供数字人才培养解决方案，与超1000所高校及科研院所合作，服务超1600家政企客户。2025年收入结构为水利占比46%、教育占比54%。</w:t>
              <w:br/>
              <w:t>股权穿透后实际控制人持股比例：实际控制人为黄祖海。材料未提供股权结构表，因此无法计算其直接及间接持股的具体比例。</w:t>
            </w:r>
            <w:r>
              <w:rPr>
                <w:rFonts w:hint="eastAsia" w:ascii="宋体" w:hAnsi="宋体" w:cs="宋体"/>
                <w:snapToGrid w:val="0"/>
                <w:kern w:val="0"/>
                <w:szCs w:val="21"/>
                <w:highlight w:val="none"/>
                <w:u w:val="single"/>
                <w:lang w:val="en-US" w:eastAsia="zh-CN"/>
              </w:rPr>
            </w:r>
          </w:p>
          <w:p w14:paraId="360105F5">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4"/>
            <w:r>
              <w:rPr>
                <w:rStyle w:val="CommentReference"/>
              </w:rPr>
              <w:commentReference w:id="4"/>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本次授信申报前的实控人面访信息，包括具体面访时间及双方会面人员。根据现有材料，仅能获取实控人黄祖海先生的履历背景信息。黄祖海先生为湖南大学电子商务专业本科学历，自2000年起长期在信息技术行业任职，先后在福建实达网络科技有限公司、福建星网锐捷网络有限公司担任技术工程师、技术经理、技术部总经理等职务，具备超过二十年的行业技术与管理经验。自2012年创立中锐网络前身并担任法定代表人、执行董事兼总经理，2016年公司股改后至今一直担任公司董事长兼总裁，表明其为企业创始人及长期核心管理者，对公司的战略方向、技术路径及日常经营有深度掌控。</w:t>
              <w:br/>
              <w:br/>
              <w:t>由于缺乏本次授信前的直接面访记录，审批人无法通过现场交流评估实控人当前对企业经营状况、行业趋势、财务状况、融资用途及还款来源的具体阐述、逻辑清晰度及诚信直观印象。同时，也无法核实其个人及家庭资产、对外担保、品行及信用意识的直接陈述。此信息缺失对全面评估第一还款来源的可靠性及实控人个人偿债意愿与能力构成障碍，是本次授信审查的一项关键信息缺口。建议在审批决策前，安排对实控人黄祖海先生进行专项面谈，以补充上述评估要素。</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信息。根据现有材料，无法核实企业的实际生产经营场所、人员到岗、存货状况及内部管理情况。该信息的缺失导致无法通过现场尽调交叉验证企业主营业务描述的可靠性、资产真实性及日常运营稳定性，增加了授信审批中对第一还款来源（经营现金流）评估的不确定性。建议在后续流程中补充实地走访记录。</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213</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材料未提供借款人与我行历史授信合作的具体信息，包括首次合作时间、历史授信额度、用信情况、还款记录及是否存在逾期或欠息等。根据补充材料，借款人当前在他行存在多笔融资，合计授信金额4640万元，已用金额4440万元，主要担保方式为实际控制人黄祖海及其关联方个人保证，以及子公司中锐汉鼎保证。其中，交通银行屏东支行有一笔1000万元流贷，业务到期日为2026年4月24日，担保方式为黄祖海个人保证。</w:t>
              <w:br/>
              <w:br/>
              <w:t>由于缺乏与我行合作的历史数据，审批人无法评估借款人在我行的信用记录、合作稳定性及对我行综合收益的贡献。这增加了本次授信审批的不确定性，需重点通过他行合作记录、整体负债水平及还款能力进行交叉验证。建议在审批前，补充查询借款人在我行的账户历史流水及过往业务往来记录，以弥补信息缺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截至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截至年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年月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月日，经531系统查询，借款人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日，经531系统查询，借款人年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月日提贷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日提贷万元，到期日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万元，到期日年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日，贷款采取自主支付方式发放，通过调取借款人账户流水，1.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自主支付方式发放，通过调取借款人账户流水，1.万元向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万元向有限公司支付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有限公司支付货款（已提供发票）；2.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货款（已提供发票）；2.万元转至工行同户名账户，穿透查看用于向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个人支付采购竹刨花原料款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7.授信及风险信号提示及反馈（531系统模块）：材料未提供531系统预警信号的具体信息。根据现有材料，无法核实是否存在法定代表人信用卡逾期或其他风险预警信号。该信息缺失影响对借款人及实际控制人信用状况、还款意愿的初步判断，需在后续流程中通过征信查询等方式补充核实。</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5"/>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5"/>
            <w:r>
              <w:rPr>
                <w:rStyle w:val="CommentReference"/>
              </w:rPr>
              <w:commentReference w:id="5"/>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法定代表人：黄祖海，中国国籍，材料未提供婚姻状况，身份证号350124197704201694，1977年4月出生，湖南大学电子商务专业本科学历。根据公司章程，董事长为公司法定代表人。</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实际控制人：黄祖海，与法定代表人为同一人。配偶为康恩慧，身份证号352101197802182324。</w:t>
              <w:br/>
              <w:t>行业工作经历：黄祖海先生自2000年5月进入信息技术行业，拥有超过25年的从业经验。其职业履历清晰，技术与管理背景深厚：2000年5月至2001年12月，任福建实达网络科技有限公司技术工程师；2002年1月至2003年1月，任福建实达网络科技有限公司技术经理；2003年1月至2011年12月，任福建星网锐捷网络有限公司技术部总经理，积累了近九年的网络设备公司核心技术管理经验；2012年1月创立福建中锐网络科技有限公司，任法定代表人、执行董事兼总经理；2016年3月公司改制为股份有限公司后至今，一直担任福建中锐网络股份有限公司董事长兼总裁，全面负责公司战略与经营。</w:t>
              <w:br/>
              <w:t>分析：实控人黄祖海为公司的创始人及长期核心管理者，行业履历完整，从技术岗位起步并逐步晋升至管理岗位，最终成功创业，体现了其对行业有深刻理解与丰富的实践经验。其长期稳定的任职经历有利于公司战略的连续性和经营的稳定性，是公司核心竞争力的重要组成部分。材料未提供其个人征信、对外投资、涉诉及家庭负债情况，无法评估其个人信用状况及或有负债风险，对全面判断实控人偿债意愿与能力存在影响。</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借款企业福建中锐网络股份有限公司（以下简称“中锐网络”）共有5家关联企业，均为其控股子公司。其中，福建中锐汉鼎信息技术有限公司、福建中锐教育科技有限公司、北京中锐青云科技有限公司、厦门中锐软件科技有限公司为中锐网络100%控股；中锐海沃水利技术(福建)有限公司为中锐网络84%控股。</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中锐网络关联企业均为其业务板块的延伸，主营业务覆盖智慧水利、智慧教育、产教融合及软硬件销售，与母公司主业高度协同。从经营规模看，各关联企业分化显著。福建中锐汉鼎信息技术有限公司（主营智慧水利）上年主营业务收入1223万元，为关联企业中最高，但净利润为-682万元，处于亏损状态。北京中锐青云科技有限公司（主营产教融合）上年主营业务收入204万元，净利润16万元，为唯一盈利的关联企业。其余三家关联企业（福建中锐教育科技、厦门中锐软件科技、中锐海沃水利技术）上年主营业务收入均较低，分别为21万元、7万元和0万元，且除中锐海沃微利（净利润0万元）外，均处于亏损状态。材料未提供关联企业与借款企业之间的关联交易及资金往来具体情况，无法判断是否存在资金占用、利益输送或对母公司现金流产生重大影响的风险。总体来看，关联企业整体经营规模有限，盈利能力普遍偏弱，对母公司的经营贡献和潜在风险需结合后续财务数据及交易情况进一步评估。</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材料未提供福建中锐网络股份有限公司的集团合并财务报表及相关财务数据。</w:t>
              <w:br/>
              <w:br/>
              <w:t>根据补充材料，福建中锐网络股份有限公司拥有五家全资或控股子公司，包括福建中锐汉鼎信息技术有限公司、福建中锐教育科技有限公司、北京中锐青云科技有限公司、厦门中锐软件科技有限公司及中锐海沃水利技术(福建)有限公司。这些子公司与母公司主营业务协同，涉及智慧水利、智慧教育、产教融合及软硬件销售等领域。材料中提供了部分子公司2023年度的个别财务数据，例如福建中锐汉鼎信息技术有限公司主营业务收入1223万元、净利润-682万元；北京中锐青云科技有限公司主营业务收入204万元、净利润16万元等。</w:t>
              <w:br/>
              <w:br/>
              <w:t>由于缺乏集团合并口径的资产负债表、利润表及现金流量表，无法对集团整体的资产规模、负债结构、盈利能力、现金流状况及偿债能力进行量化分析与评估。集团合并财务数据的缺失，导致审批人无法准确判断借款主体在集团内的核心地位、集团整体的财务健康状况以及集团内部关联交易对合并报表的真实影响，从而难以全面评估本次授信的集团层面风险。</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企业主营业务为智慧水利与智慧教育两大板块，构成其核心收入来源。根据客户材料，2025年收入结构为水利业务占比46%，教育业务占比54%，业务结构相对均衡。</w:t>
              <w:br/>
              <w:br/>
              <w:t>在智慧水利领域，企业提供包括大坝安全智能监测平台、智慧水利流域四预系统、水库运行管理矩阵平台等在内的解决方案，主要应用于水灾害、水工程、水资源、水生态水环境、水监督、水政务六大重点方向。其市场应用已具规模，材料显示相关方案已成功应用于福建省内超过300座大中小型水库，并曾获得“2022年度福建省科技进步奖二等奖、水利科学技术奖一等奖”。主要客户为政府水利部门及工程公司，例如涵江水利局、三明水利水电工程有限公司顺昌分公司等。</w:t>
              <w:br/>
              <w:br/>
              <w:t>在智慧教育领域，企业聚焦网络、人工智能、智慧行业，提供数字人才培养解决方案，旨在对接产业与院校人才需求。材料显示，企业已与全国超过1000所高校及科研院所建立产学研合作，并服务超过1600家政企客户。</w:t>
              <w:br/>
              <w:br/>
              <w:t>关于产品（业务）的具体技术参数、迭代周期、市场占有率及主要竞争对手情况，材料未提供详细信息。这影响了对企业产品技术壁垒、市场地位及长期竞争力的精确评估。</w:t>
              <w:br/>
              <w:br/>
              <w:t>企业经营模式上，销售收款采用预收款、账期或全款方式，旨在减少垫资；采购付款则享有供应商给予的较优越信用账期。材料未提供具体的销售与采购账期天数，这影响了对企业营运资金周转效率和现金流压力的判断。</w:t>
              <w:br/>
              <w:br/>
              <w:t>综合来看，企业业务符合国家在水利现代化与职业教育领域的政策导向，已形成一定的项目案例和客户基础。但需关注其具体产品的技术竞争力、市场拓展的可持续性以及上下游账期匹配带来的资金管理要求。</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2.产品优势、企业核心竞争力：企业产品准入门槛较高，技术……，/企业为传统行业企业，依托与上下游建立的多年稳定的合作关系经营。</w:t>
              <w:br/>
              <w:br/>
              <w:t>企业主营业务为智慧水利与智慧教育解决方案的研发、销售与集成服务，属于信息技术服务业。其核心竞争力主要体现在技术研发能力、行业资质、市场应用规模及产学研合作网络四个方面。</w:t>
              <w:br/>
              <w:br/>
              <w:t>在技术研发与产品方面，企业在智慧水利领域具备较强的自主研发能力。材料显示，企业已打造包括大坝安全智能监测平台、智慧水利流域四预系统、水库运行管理矩阵平台等一系列智慧水利平台解决方案。其技术成果获得行业认可，荣获“2022年度福建省科技进步奖二等奖、水利科学技术奖一等奖”。这表明其产品具备一定的技术门槛和专业性。在智慧教育领域，企业聚焦网络、人工智能、智慧行业，推出了数字人才培养解决方案。</w:t>
              <w:br/>
              <w:br/>
              <w:t>在市场应用与行业资质方面，企业的智慧水利解决方案已形成规模化应用。材料证实，其方案已成功应用于福建省超过300座大中小型水库，这为其积累了显著的案例经验和区域市场先发优势。材料未提供企业是否拥有如系统集成、涉密信息系统集成等具体的行业经营资质或许可证书信息，也未提供其高新技术企业资质信息。高新技术企业资质是评估科技型企业技术实力和享受税收优惠的重要依据，该信息的缺失影响对其研发投入强度和政策红利获取能力的准确判断。</w:t>
              <w:br/>
              <w:br/>
              <w:t>在上下游合作关系方面，企业业务开展依赖于稳定的供应链与客户渠道。上游采购方面，前五大供应商采购额合计占比为31.03%，集中度适中。主要供应商如锐捷网络股份有限公司（采购占比19.77%）等均给予企业分期付款的信用账期，这有利于其营运资金周转。下游销售方面，前五大客户销售额合计占比为31.51%，客户集中度风险较低。客户类型包括水利局（如涵江水利局）、工程公司及科技公司，其中智慧水利类客户回款相对有保障。企业销售收款采用预收款、账期或全款方式，旨在减少垫资。材料未提供其与主要上下游合作的具体年限信息，无法量化评估其合作关系的稳定性深度。</w:t>
              <w:br/>
              <w:br/>
              <w:t>综合来看，企业核心竞争力在于智慧水利领域经奖项背书的自主研发技术、在福建省内已落地的规模化应用案例，以及在教育领域广泛的产学研合作网络（与超1000所高校及1600多家政企客户建立联系）。其经营模式并非传统行业简单贸易，而是基于项目制的解决方案提供。主要风险点在于材料未提供关键资质证明（如高企认证）及详细的研发投入数据，对其持续创新能力和技术壁垒的评估形成制约；同时，其业务受政府及国企客户预算与支付进度影响较大，需关注项目回款情况。</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关于生产工艺流程的信息。作为一家以提供智慧水利解决方案和数字人才培养方案为主营业务的信息技术服务企业，其“产品”主要为软件平台开发、系统集成及技术服务，不涉及传统意义上的实体产品生产。因此，本节分析将聚焦于其业务构成、销售及收入情况。</w:t>
              <w:br/>
              <w:br/>
              <w:t>根据客户提供的材料，公司主营业务收入主要来源于智慧水利与智慧教育两大板块。2023年，公司合并口径营业总收入为12130万元。从收入结构看，智慧水利业务收入占比为46%，智慧教育业务收入占比为54%，教育业务略占主导。</w:t>
              <w:br/>
              <w:br/>
              <w:t>从销售模式看，公司销售收款采用预收款、按账期收款或全款的方式，旨在减少垫付资金。主要下游客户包括政府部门（如涵江水利局）、企事业单位及教育机构。例如，2023年对涵江水利局的销售额为1116万元，占上年销售额的10.02%；对福建省翔远电子科技有限公司的销售额为1122万元，占比9.92%。结算方式主要为分期付款。</w:t>
              <w:br/>
              <w:br/>
              <w:t>从现金流量看，公司2023年度“销售商品、提供劳务收到的现金”为9364万元，2024年度为4890万元，现金回款规模有所下降。2025年12月单月增值税申报表显示“按适用税率计税销售额”本年累计数为416万元（注：该数据仅为单月报表的累计数，可能非全年完整数据，需进一步核实）。</w:t>
              <w:br/>
              <w:br/>
              <w:t>材料未提供公司各业务板块具体的产品产量、销量及产能利用率数据。由于公司业务性质为项目制或服务制，而非标准化产品批量生产，因此“产能”通常指技术团队的服务交付能力，材料中未提供相关人力资源配置及项目饱和度信息。该信息缺失使得审批人难以精确评估其业务增长的可持续性及营运效率。</w:t>
              <w:br/>
              <w:br/>
              <w:t>材料提供了子公司层面的部分财务数据。其中，主营智慧水利的福建中锐汉鼎信息技术有限公司2023年主营业务收入为1223万元，净利润为-682万元；主营智慧教育的福建中锐教育科技有限公司2023年主营业务收入为21万元，净利润为-1275万元。这表明公司部分业务板块仍处于市场投入或培育期，整体盈利性有待加强。</w:t>
              <w:br/>
              <w:br/>
              <w:t>综合分析，公司已形成智慧水利与智慧教育双轮驱动的业务格局，收入结构相对均衡。但材料缺乏关于其具体解决方案或服务的“生产”（即研发交付）流程、各业务线详细销量及年度间产销对比数据，影响了对其运营稳定性和成长性的深入判断。后续需关注其现金回款趋势、子公司业绩改善情况以及核心业务项目的获取与实施进展。</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 上游供应商主要包括锐捷网络股份有限公司、北京星链南天科技有限公司、广州浩瀚星图信息技术有限公司、新天科技股份有限公司、精导信息技术有限公司司，前五采购集中度约为31.0%。下游客户主要包括涵江水利局、福建省翔远电子科技有限公司、三明水利水电工程有限公司顺昌分公司、福州市福清公路事业发展中心、济南展雄电子有限公司，前五销售集中度约为31.5%。</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commentRangeStart w:id="6"/>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                                                   单位：万元</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6"/>
            <w:r>
              <w:rPr>
                <w:rStyle w:val="CommentReference"/>
              </w:rPr>
              <w:commentReference w:id="6"/>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根据客户提供的上游明细，企业上年主要上游供应商及采购情况如下：</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commentRangeStart w:id="7"/>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 锐捷网络股份有限公司，采购商品为货物，上年采购额943万元，占上年采购总额的19.77%，结算方式为分期。</w:t>
              <w:br/>
              <w:t>2. 北京星链南天科技有限公司，采购商品为货物，上年采购额186万元，占比3.90%，结算方式为分期。</w:t>
              <w:br/>
              <w:t>3. 广州浩瀚星图信息技术有限公司，采购商品为货物，上年采购额172万元，占比3.61%，结算方式为分期。</w:t>
              <w:br/>
              <w:t>4. 新天科技股份有限公司，采购商品为货物，上年采购额90万元，占比1.88%，结算方式为分期。</w:t>
              <w:br/>
              <w:t>5. 精导信息技术有限公司司，采购商品为货物，上年采购额89万元，占比1.87%，结算方式为分期。</w:t>
              <w:br/>
              <w:t>材料未提供前五大供应商的具体账期及合作年限信息。前五大供应商采购额合计占比为31.03%，集中度适中。主要供应商锐捷网络股份有限公司为知名网络设备厂商，合作关系稳定，但材料未提供其给予企业的具体信用账期条件，无法准确评估对上游的议价能力及资金占用情况。</w:t>
              <w:br/>
              <w:t>②主要下游（前五大）：                                                   单位：万元</w:t>
              <w:br/>
              <w:t>根据客户提供的下游明细，企业上年主要下游客户及销售情况如下：</w:t>
              <w:br/>
              <w:t>1. 涵江水利局，销售产品为智慧水利，上年销售额1116万元，占上年销售总额的10.02%，结算方式为分期。</w:t>
              <w:br/>
              <w:t>2. 福建省翔远电子科技有限公司，销售产品为软硬件销售，上年销售额1122万元，占比9.92%，结算方式为分期。</w:t>
              <w:br/>
              <w:t>3. 三明水利水电工程有限公司顺昌分公司，销售产品为智慧水利，上年销售额572万元，占比5.07%，结算方式为分期。</w:t>
              <w:br/>
              <w:t>4. 福州市福清公路事业发展中心，销售产品为软硬件销售，上年销售额396万元，占比3.51%，结算方式为分期。</w:t>
              <w:br/>
              <w:t>5. 济南展雄电子有限公司，销售产品为智慧教育，上年销售额356万元，占比2.99%，结算方式为分期。</w:t>
              <w:br/>
              <w:t>材料未提供前五大客户的具体账期及合作年限信息。前五大客户销售额合计占比为31.51%，客户集中度较低，结构分散。下游客户包括政府部门（水利局、公路事业发展中心）、国有企业下属工程公司及民营企业，其中政府及国企背景客户占比较高，客户资质相对较好，回款确定性较强，但通常审批付款流程较长。</w:t>
              <w:br/>
              <w:t>③经营账期：</w:t>
              <w:br/>
              <w:t>根据补充材料原文，企业描述其销售收款采用“预收款和账期或全款的收款方式”，采购付款是“预付款和账期款方式”，并称“主要采购商给予了我司较为优越的信用账期”。然而，材料未提供上下游具体的账期天数、预付比例等量化数据。结合企业2023年审计报告，其应收账款期末余额为6，354万元，存货余额为2，545万元，预付款项余额为151万元，其他应收款余额为3，621万元（包含较多非经营性往来）。材料未提供营业收入及营业成本数据，无法计算营运资金周转效率的具体指标。综合来看，企业下游客户以政府、国企为主，虽资质较好但回款周期可能偏长；上游结算虽有账期，但具体条件不明。企业营运资金被应收账款和存货占用明显，初步判断其营运资金周转效率可能偏慢，对流动资金形成一定压力。</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commentRangeEnd w:id="7"/>
            <w:r>
              <w:rPr>
                <w:rStyle w:val="CommentReference"/>
              </w:rPr>
              <w:commentReference w:id="7"/>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材料未提供最新在手订单列表信息。</w:t>
              <w:br/>
              <w:br/>
              <w:t>影响分析：在手订单是评估企业短期经营稳定性和未来现金流可预期性的关键依据。对于中锐网络这类从事智慧水利、智慧教育项目型业务的信息技术服务企业，订单的规模、结构、客户质量及执行周期直接关系到其未来1-2年的营业收入实现和经营活动现金流入。材料中未提供此信息，导致审批人无法判断：（1）公司当前业务储备是否充足，能否支撑其未来持续经营和还款；（2）订单对应的下游客户是否稳定，回款风险是否可控；（3）订单的毛利率水平是否足以覆盖成本及费用。该信息的缺失，增加了对第一还款来源（经营现金流）预测的不确定性，是授信决策的重要信息缺口。</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①财务真实性验证(税务数据验证)：材料未提供借款人近三年及最近一期的纳税申报表及完税证明，无法通过税务数据交叉验证其主营业务收入的真实性及纳税合规性，对评估其财务数据的可信度及实际盈利能力造成影响。</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4"/>
              <w:gridCol w:w="624"/>
              <w:gridCol w:w="624"/>
              <w:gridCol w:w="624"/>
              <w:gridCol w:w="624"/>
              <w:gridCol w:w="624"/>
              <w:gridCol w:w="624"/>
              <w:gridCol w:w="62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62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62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62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2026</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62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62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62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62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62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62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62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62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62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62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62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62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62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62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62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62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62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62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62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62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62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62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62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62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62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62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62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62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62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62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62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62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62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62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62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62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62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62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62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62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62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62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62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②财务真实性验证(银行流水验证)：材料未提供借款人主要结算账户2025年至今的银行流水，无法通过银行流水验证其销售收入回款、经营支出、融资资金流向的真实性及与财务报表的匹配度，对判断其实际经营现金流状况及资金归集能力造成影响。</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commentRangeStart w:id="8"/>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8"/>
            <w:r>
              <w:rPr>
                <w:rStyle w:val="CommentReference"/>
              </w:rPr>
              <w:commentReference w:id="8"/>
            </w:r>
          </w:p>
          <w:p w14:paraId="0A5EB4C5">
            <w:commentRangeStart w:id="9"/>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commentRangeEnd w:id="9"/>
            <w:r>
              <w:rPr>
                <w:rStyle w:val="CommentReference"/>
              </w:rPr>
              <w:commentReference w:id="9"/>
            </w:r>
          </w:p>
          <w:p w14:paraId="669763E4">
            <w:commentRangeStart w:id="10"/>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10"/>
            <w:r>
              <w:rPr>
                <w:rStyle w:val="CommentReference"/>
              </w:rPr>
              <w:commentReference w:id="10"/>
            </w:r>
          </w:p>
          <w:p w14:paraId="0DB2C097">
            <w:commentRangeStart w:id="11"/>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11"/>
            <w:r>
              <w:rPr>
                <w:rStyle w:val="CommentReference"/>
              </w:rPr>
              <w:commentReference w:id="11"/>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（5）应付账款 1847万元，主要构成及趋势变动情况： 应付账款从2022年末的1490万元增长至2023年末的1847万元，主要构成及趋势变动情况：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commentRangeStart w:id="12"/>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（6）其他应付款 185万元，主要构成及趋势变动情况： 其他应付款从2022年末的63万元增长至2023年末的185万元，主要构成及趋势变动情况：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12"/>
            <w:r>
              <w:rPr>
                <w:rStyle w:val="CommentReference"/>
              </w:rPr>
              <w:commentReference w:id="12"/>
            </w:r>
          </w:p>
          <w:p w14:paraId="544264FA">
            <w:commentRangeStart w:id="13"/>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commentRangeEnd w:id="13"/>
            <w:r>
              <w:rPr>
                <w:rStyle w:val="CommentReference"/>
              </w:rPr>
              <w:commentReference w:id="13"/>
            </w:r>
          </w:p>
          <w:p w14:paraId="487F6E47">
            <w:commentRangeStart w:id="14"/>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commentRangeEnd w:id="14"/>
            <w:r>
              <w:rPr>
                <w:rStyle w:val="CommentReference"/>
              </w:rPr>
              <w:commentReference w:id="14"/>
            </w:r>
          </w:p>
          <w:p w14:paraId="247144CC">
            <w:commentRangeStart w:id="15"/>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5"/>
            <w:r>
              <w:rPr>
                <w:rStyle w:val="CommentReference"/>
              </w:rPr>
              <w:commentReference w:id="15"/>
            </w:r>
          </w:p>
          <w:p w14:paraId="7B09B5AD">
            <w:commentRangeStart w:id="16"/>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en-US" w:eastAsia="zh-CN"/>
              </w:rPr>
              <w:t xml:space="preserve">                      </w:t>
            </w:r>
            <w:commentRangeEnd w:id="16"/>
            <w:r>
              <w:rPr>
                <w:rStyle w:val="CommentReference"/>
              </w:rPr>
              <w:commentReference w:id="16"/>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③近三年及最近一期财务数据：</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最近三年现金流量表分析：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材料未提供借款人2022年、2024年及2025年完整的财务报表或审计报告，亦未提供2023年及2025年12月财务报表的完整版本，仅能获取部分科目数据。根据现有材料，审计报告由德赢（福建）会计师事务所（普通合伙）出具，2023年审计报告文号为德赢审字（2024）第1117号，2024年亦由同一事务所审计。两份审计报告均提及对管理层使用持续经营假设恰当性的评价，但未提供具体的审计意见结论（如无保留意见等）。材料未提供审计事务所变动情况。基于可获取的零散数据，部分科目情况如下：</w:t>
              <w:br/>
              <w:t>（1）应收账款：根据2025年12月财务报表，应收账款为9253万元。根据2023年审计报告，2023年末应收账款为6354万元，2022年末为4410万元。数据显示应收账款呈快速增长趋势，2023年末较2022年末增长44.05%，2025年末较2023年末增长45.64%。材料未提供应收账款的具体构成、账龄及主要欠款方信息，无法分析其回收风险及与业务规模的匹配度。</w:t>
              <w:br/>
              <w:t>（2）其他应收款：根据2023年审计报告，2023年末其他应收款为3621万元，2022年末为1432万元，同比增长152.79%，变动幅度巨大。材料未提供其他应收款的具体构成及变动原因，存在较大风险敞口。</w:t>
              <w:br/>
              <w:t>（3）存货：根据2023年审计报告，2023年末存货为2545万元，2022年末为5301万元，同比下降51.99%，变动幅度较大。材料未提供存货的具体构成（如原材料、在产品、库存商品）及变动原因。（4）长期投资：材料未提供长期投资相关数据。</w:t>
              <w:br/>
              <w:t>（5）应付账款：根据2025年12月财务报表，应付账款为2333万元。根据2023年审计报告，2023年末应付账款为1026万元，2022年末数据未提供。2025年末数据较2023年末增长127.50%，变动显著。材料未提供应付账款的具体构成及主要债权人信息。（6）其他应付款：材料未提供其他应付款相关数据。</w:t>
              <w:br/>
              <w:t>（7）主营业务收入变动原因：材料未提供近三年及最近一期利润表，无法分析主营业务收入变动情况及原因。</w:t>
              <w:br/>
              <w:t>（8）盈利能力变动原因：材料未提供近三年及最近一期利润表，无法分析盈利能力变动情况及原因。</w:t>
              <w:br/>
              <w:t>（9）固定资产投资变动情况：材料未提供固定资产、在建工程等科目数据及未来资本支出计划。</w:t>
              <w:br/>
              <w:t>（10）其他变动较大的财务指标：材料未提供预付账款、预收账款等科目的完整数据。</w:t>
              <w:br/>
              <w:t>最近三年现金流量表分析：材料未提供近三年完整的现金流量表，无法对经营、投资、筹资活动现金流进行分析，无法评估企业自身创造现金的能力、投资扩张策略及融资依赖程度。</w:t>
              <w:br/>
              <w:t>总体财务情况小结：由于关键财务数据（如完整的资产负债表、利润表、现金流量表）大面积缺失，仅能从碎片信息中观察到应收账款快速增长、其他应收款激增、存货大幅下降、应付账款显著增加等异常变动，但无法获知其变动原因及对整体财务状况的影响。审计报告提及对持续经营能力的关注，但结论不明。当前无法对借款人的资产质量、盈利能力、现金流状况及偿债能力做出有效判断，财务风险难以评估。</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截至报告日，根据客户提供的融资明细表，福建中锐网络股份有限公司在各金融机构的授信总额为4640万元，已使用额度为4440万元，额度使用率高达95.69%。具体融资情况如下：</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17"/>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17"/>
            <w:r>
              <w:rPr>
                <w:rStyle w:val="CommentReference"/>
              </w:rPr>
              <w:commentReference w:id="17"/>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1. 交通银行屏东支行：流贷授信1000万元，已用额度，业务到期日为2026年4月24日，由实际控制人黄祖海提供担保。</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 海峡银行金山支行：流贷加担保授信500万元，已用额度，业务到期日为2026年10月15日，由黄祖海、陈其俤、福州市融资担保有限公司及福建恒运投资合伙企业（有限合伙）共同担保。</w:t>
              <w:br/>
              <w:t>3. 厦门国际银行台江支行：流贷授信640万元，已用额度，业务到期日为2026年11月21日，由黄祖海、陈其俤提供担保。</w:t>
              <w:br/>
              <w:t>4. 兴业银行环球支行：两笔流贷授信合计2000万元，已用额度合计1000万元，业务到期日分别为2026年11月25日及2026年12月22日。</w:t>
              <w:br/>
              <w:t>5. 工商银行：流贷授信500万元，已用额度，业务到期日为2026年12月2日，由黄祖海提供担保。</w:t>
              <w:br/>
              <w:t>6. 中国银行福建省分行：流贷授信600万元，已用额度，业务到期日为2027年1月4日，由黄祖海、陈其俤提供担保。</w:t>
              <w:br/>
              <w:t>7. 广发银行鼓楼支行：流贷授信400万元，已用200万元，业务到期日为2027年1月23日。</w:t>
              <w:br/>
              <w:t>以上融资品种均为流动资金贷款，材料未提供中长期借款信息，因此无法分析其还款计划及资金安排。从补充材料中的银行流水记录（如2025年7月18日、2025年9月21日）可见，公司存在正常的贷款归还与资金调拨记录，初步判断其当前还款行为正常。</w:t>
              <w:br/>
              <w:t>材料未提供公司对外担保情况的具体信息。鉴于公司融资多由实际控制人及第三方提供担保，需关注其是否存在对等或隐性互保风险，此信息缺失影响对客户或有负债及整体偿债风险的评估。</w:t>
              <w:br/>
              <w:t>材料未提供公司及其实际控制人黄祖海在人民银行征信系统或其他官方渠道的不良信用记录。审批需以最终查询的征信报告为准。</w:t>
            </w:r>
          </w:p>
          <w:p w14:paraId="76CE32AE">
            <w:commentRangeStart w:id="18"/>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8"/>
            <w:r>
              <w:rPr>
                <w:rStyle w:val="CommentReference"/>
              </w:rPr>
              <w:commentReference w:id="18"/>
            </w:r>
          </w:p>
          <w:p w14:paraId="4355488A">
            <w:commentRangeStart w:id="19"/>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19"/>
            <w:r>
              <w:rPr>
                <w:rStyle w:val="CommentReference"/>
              </w:rPr>
              <w:commentReference w:id="19"/>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截至2025年7月23日，查询实际控制人黄祖海个人信用报告，其征信情况如下：</w:t>
              <w:br/>
              <w:t>个人负债方面，名下有一笔未结清贷款，余额1000万元，为中国银行发放的个人经营贷款，经营主体为福建中锐网络股份有限公司。名下有一张未销户信用卡，余额为0元。全部未结清贷款估算下月应还款额为0元，贷记卡最近6个月平均使用额度为27元，准贷记卡最近6个月平均透支余额为0元。对外担保方面，承担担保责任账户有1笔，余额1000万元，系为福建中锐网络股份有限公司提供担保；无承担共同还款责任的账户。</w:t>
              <w:br/>
              <w:t>信用记录方面，根据预警规则后台计算，客户近5年内贷款累计逾期期数为1期，其中逾期金额小于等于500元的期数为0；近5年内贷款连续逾期期数为1期，其中连续逾期小于等于500元的期数为0。经客户反馈，该逾期原因为遗忘导致，且该笔逾期贷款现已结清。</w:t>
              <w:br/>
              <w:t>分析：实控人黄祖海个人征信整体良好。其个人主要负债及对外担保均关联其实际控制的福建中锐网络股份有限公司，体现了个人资产与公司经营的深度绑定。信用卡使用额度极低，显示其个人消费信贷需求谨慎。虽然历史上有一次非恶意小额逾期记录，但已结清且情况已说明，对本次授信审批不构成实质性负面影响。材料未提供其配偶康恩慧的个人征信信息，无法评估家庭整体负债及信用状况，此为信息缺口，需在后续流程中关注。</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康恩慧，中国国籍，材料未提供籍贯信息，材料未提供出生年份。个人征信信息：材料未提供实控人配偶康恩慧的个人征信报告，无法对其信用状况、负债水平及对外担保情况进行评估。该信息缺失影响对实控人家庭整体偿债意愿与能力的判断，以及对其家庭资产与负债完整性的核查。</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科技型企业评分：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1.科技类型与评分</w:t>
              <w:br/>
              <w:t>材料未提供企业是否被认定为科技型中小企业、高新技术企业、创新型中小企业、“专精特新”中小企业、专精特新“小巨人”企业、制造业单项冠军企业或国家技术创新示范企业等任一官方科技型企业类型的信息。亦未提供任何科技型企业评分。该信息缺失影响对企业科技创新资质与政策支持力度的客观评价。</w:t>
              <w:br/>
              <w:br/>
              <w:t>2.研发投入情况：</w:t>
              <w:br/>
              <w:t>①核心研发人员是否享有股权激励：是。</w:t>
              <w:br/>
              <w:t>②近三年研发投入占比及研发人员占比：根据材料，企业近三年研发投入及人员情况如下：2023年研发费用895万元，占营收比例为7.4%，研发人员40人，占总人员比例为44%；2024年研发费用1262万元，占营收比例为14.5%，研发人员38人，占比49%；2025年研发费用1049万元，占营收比例为10.5%，研发人员39人，占比53%。近三年研发投入占比平均为10.8%，研发人员占比平均为48.7%，显示企业持续保持较高的研发投入强度和研发团队规模。</w:t>
              <w:br/>
              <w:br/>
              <w:t>3.专利情况：材料显示企业拥有发明专利24项、实用专利6项，并说明权属清晰，不存在瑕疵及涉诉情况。具体情况已单独提供清单。</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截至目前，企业在我行的综合效益情况如下：材料未提供企业在我行的日均存款、对公有效户、全年结算量、代发签约员工人数及上年发薪量等具体数据。材料亦未明确企业是否在我行开立基本结算账户。</w:t>
              <w:br/>
              <w:br/>
              <w:t>由于缺乏上述关键数据，审批人无法量化评估客户对我行的实际业务贡献度、结算活跃度及资金沉淀能力。这直接影响对客户忠诚度、合作深度以及其作为“有效户”价值的判断。在后续审批环节中，需客户经理补充提供相关账户流水及业务数据，以完成效益评估。</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企业在我行预计可实现的对公有效户、代发签约及发薪量、日均存款、结算量等具体数据。根据现有材料，企业主营业务为智慧水利与智慧教育，收入结构为水利46%、教育54%，销售收款采用预收款、账期或全款方式，采购付款享有供应商给予的较优越信用账期。企业拥有福建省内300余座水库的智慧水利项目应用经验，并与超过1000所高校及1600多家政企客户建立了合作关系，显示其业务具备一定的稳定性和持续性，可能产生持续的结算流水。</w:t>
              <w:br/>
              <w:br/>
              <w:t>综合效益的量化预测数据缺失，使得审批人无法准确评估该笔授信业务可能带来的存款沉淀、结算中间业务收入及客户综合贡献度。这增加了评估授信业务综合收益与风险匹配度的难度。建议在后续贷前调查中，由客户经理与企业沟通，获取其在我行的具体业务合作意向及可量化的效益预估，作为授信决策的辅助依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commentRangeStart w:id="20"/>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根据客户材料，对借款原因分析如下：</w:t>
              <w:br/>
              <w:br/>
              <w:t>1.  经营性现金流状况分析：材料未提供完整的现金流量表信息，无法直接判断经营性现金流状况。但根据资产负债表数据，2024年末货币资金为506万元，较2023年末的1522万元大幅减少约115万元。同时，2024年末应收账款为9253万元，较2023年末的6354万元增长约2899万元，增幅显著。应收账款快速增长且占用了大量营运资金，是导致货币资金下降的重要原因，对企业的短期支付能力构成压力。</w:t>
              <w:br/>
              <w:br/>
              <w:t>2.  营运资金需求分析：</w:t>
              <w:br/>
              <w:t xml:space="preserve">       采购付款模式：材料显示，公司采购付款采用“预付款和账期款方式”，主要供应商给予较优越的信用账期。上游供应商结算方式显示为“分期”，但材料未提供具体的预付比例、账期长度及年度采购总额，无法量化预付资金需求。</w:t>
              <w:br/>
              <w:t xml:space="preserve">       销售收款模式：公司销售收款采用“预收款和账期或全款”方式，旨在减少垫资。但下游客户结算方式均为“分期”，且前五大客户销售额合计占比较高（约31.51%），显示公司对主要客户存在信用销售。2024年末应收账款大幅增加，印证了下游货款回笼较慢的事实，形成了资金占用。</w:t>
              <w:br/>
              <w:t xml:space="preserve">       融资与负债情况：截至材料日期，公司银行融资总额为4640万元，已使用4440万元，融资使用率高达95.69%，显示外部融资渠道已近饱和。2024年末短期借款为4990万元，应付账款为2333万元，存在一定的即期债务偿还压力。结合货币资金仅506万元的情况，自有资金难以覆盖短期债务及经营周转。</w:t>
              <w:br/>
              <w:t xml:space="preserve">       业务增长与资产结构：公司智慧水利、智慧教育业务均服务于国家战略方向，具备发展潜力。但应收账款和存货（2023年末为2545万元）等流动资产占用资金，而货币资金相对匮乏，资产结构与业务扩张所需的营运资金不匹配。</w:t>
              <w:br/>
              <w:br/>
              <w:t>结论：借款人虽在智慧水利与教育领域具备一定技术实力和市场基础，但面临应收账款增长过快、回款周期较长导致的营运资金被大量占用的问题。同时，现有银行融资使用率高，货币资金水平较低，难以满足日常经营支付及可能的业务扩张需求。因此，申请贷款用于补充流动资金具有合理性。</w:t>
              <w:br/>
              <w:br/>
              <w:t>（若申请中期流动资金贷款，请补充分析原因：材料未明确说明本次申请贷款的期限。若申请中期流动资金贷款，需进一步分析其经营周期的长期资金缺口、未来资本性支出计划或业务模式导致的稳定垫资需求。目前材料仅反映了短期营运资金紧张，缺乏支持中期流动资金需求的直接证据。）</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commentRangeEnd w:id="20"/>
            <w:r>
              <w:rPr>
                <w:rStyle w:val="CommentReference"/>
              </w:rPr>
              <w:commentReference w:id="20"/>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（若申请中期流动资金贷款，请补充分析原因：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客户提供的2023年及2024年审计报告，可获取测算营运资金需求所需的部分财务数据。材料未提供企业最近年度的营业收入、营业成本及利润总额数据，亦未提供存货、应收账款、应付账款等科目的周转天数或周转率行业参考值，因此无法依据《流动资金贷款需求量的测算参考》标准公式进行精确测算。具体数据缺失情况如下：</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1.  材料未提供企业2023年及2024年的营业收入、营业成本数据。该信息的缺失导致无法计算销售利润率及营运资金周转次数，是完成测算的主要障碍。</w:t>
              <w:br/>
              <w:t>2.  材料未提供企业所属“其他未列明信息技术服务业”的存货、应收账款、应付账款等行业平均周转天数或合理周转率参考值。缺乏行业参照标准，无法对企业的营运效率进行合理性评估并确定测算参数。</w:t>
              <w:br/>
              <w:t>3.  审计报告提供了2023年末及2024年末的资产负债表部分科目数据，可用于计算平均余额，但关键的收入成本数据缺失使得测算无法进行。</w:t>
              <w:br/>
              <w:t>影响分析：由于核心财务数据（收入、成本）及行业参照标准的缺失，审查人无法定量判断企业的营运资金缺口，亦无法验证其授信申请额度的合理性。这增加了授信决策的不确定性，需客户补充完整财务报表（至少包含利润表主要数据）及说明其业务结算周期，方可进行有效测算。（请附531系统测算表截图，待上述数据补充后录入系统生成）</w:t>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如上述测算过程存在数据调整，请补充说明：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第一还款来源（经营性现金流分析）：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②第二还款来源（抵质押物变现能力分析及其他渠道现金流分析）：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w:t>
              <w:br/>
              <w:t>材料未提供企业最近年度及近期的利润表、现金流量表等财务报表，无法直接测算其经营性现金流及偿债保障比率。根据现有材料分析，企业第一还款来源主要依赖于其主营业务产生的现金流入。</w:t>
              <w:br/>
              <w:t>企业主营业务为智慧水利与智慧教育，收入结构相对均衡，水利占比46%，教育占比54%。智慧水利业务方面，企业具备一定的技术实力和项目经验，其解决方案已应用于福建省300余座水库，并获得省级科技奖项，显示其在区域市场具备一定竞争力。智慧教育业务方面，企业与超过1000所高校及科研院所建立了合作关系，服务1600多家政企客户，表明其拥有广泛的客户基础和市场渠道。</w:t>
              <w:br/>
              <w:t>从上下游结算模式看，企业销售收款采用预收款、账期或全款方式，并尽量减少垫资；采购付款则享有供应商给予的较为优越的信用账期。这种“收预付款、付账期款”的结算模式有利于改善经营性现金流。主要下游客户包括涵江水利局、福建省翔远电子科技有限公司等，前五大客户销售额占比合计约31.51%，客户集中度尚可。主要上游供应商包括锐捷网络等，前五大供应商采购额占比合计约31.03%，采购集中度一般。</w:t>
              <w:br/>
              <w:t>然而，材料未提供企业营业收入、毛利率、净利润、应收账款周转天数、存货周转天数等关键财务数据，无法量化评估其盈利能力和营运效率。补充材料显示，其部分控股子公司（如福建中锐教育科技有限公司、福建中锐汉鼎信息技术有限公司）上年净利润为大幅亏损状态，需关注其对母公司整体盈利的拖累及合并报表的经营表现。审计报告提及对“持续经营能力产生重大疑虑的事项或情况”需进行结论，但材料未提供具体审计意见，此事项需高度关注。</w:t>
              <w:br/>
              <w:t>综上，企业主营业务符合国家政策导向，商业模式对现金流有一定正面支撑，但核心财务数据缺失，且子公司存在大额亏损，导致无法对其经营性现金流生成能力及稳定性做出准确、量化的判断，对第一还款来源的评估构成重大障碍。</w:t>
              <w:br/>
              <w:br/>
              <w:t>②第二还款来源（抵质押物变现能力分析及其他渠道现金流分析）：</w:t>
              <w:br/>
              <w:t>材料未提供本笔授信申请拟采用的担保方式（如保证、抵押、质押等）及相关担保物的详细信息，因此无法分析具体的抵质押物变现能力。</w:t>
              <w:br/>
              <w:t>根据补充材料，企业实际控制人黄祖海及其配偶康恩慧名下拥有一处位于福州市仓山区上渡街道的私有房产（江南水都·杰座），权属证号为榕房权证R字第0838000号，面积为143.45平方米。材料未提供该房产的账面价值、评估价值、当前状态（是否已抵押）及是否拟用于本次授信担保。若该房产作为抵押物，其位于福州市区，地理位置尚可，但具体变现能力需依据正式评估报告及当地二手房市场情况判断。目前材料信息不足，无法评估其担保价值。</w:t>
              <w:br/>
              <w:t>其他渠道现金流方面，企业融资情况显示其在多家银行共有授信4640万元，已使用4440万元，银行融资渠道已得到较充分利用，额度空间有限。材料未提供企业或其股东近期是否有股权融资计划、投资方意向、预计落地时间及金额等信息，因此无法分析股权融资款作为还款来源的可能性。</w:t>
              <w:br/>
              <w:t>综上所述，第二还款来源分析所需的关键担保信息完全缺失，现有材料仅能识别实际控制人拥有一处房产，但无法确认其是否可用、价值几何。其他外部现金流渠道亦不明确。第二还款来源的有效性无法评估，增信措施存在重大不确定性。</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21"/>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1"/>
            <w:r>
              <w:rPr>
                <w:rStyle w:val="CommentReference"/>
              </w:rPr>
              <w:commentReference w:id="21"/>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commentRangeStart w:id="22"/>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1. 抵押担保（如涉及）：</w:t>
              <w:br/>
              <w:t xml:space="preserve">   本次授信申报材料中未提供明确的抵押担保信息。材料未提供拟用于本次授信的抵押物清单、权属证明、评估报告等关键信息，无法判断本次授信是否涉及抵押担保安排。若后续补充材料中涉及抵押，需根据产证信息详细说明抵押物类型（如住宅、办公、厂房等）、坐落位置、建筑面积、所有权人及权属证号。</w:t>
              <w:br/>
              <w:br/>
              <w:t xml:space="preserve">   其他补充说明：</w:t>
              <w:br/>
              <w:t xml:space="preserve">   ① 材料中提及实际控制人黄祖海及其配偶康恩慧名下拥有一处私有房产（坐落于仓山区上渡街道通江路17号江南水都·杰座，权证号：榕房权证R字第0838000号，建筑面积143.45平方米），但未明确该房产是否拟用于本次授信抵押。若拟抵押，需核实其土地性质是否为“出让”，材料未提供相关信息。</w:t>
              <w:br/>
              <w:t xml:space="preserve">   ② 根据补充的租赁协议，福建中锐网络股份有限公司作为承租方，租赁了位于福州大学国家科技园8号楼5层的房屋（面积2523平方米），租赁期至2027年9月30日。该租赁房产的权利人为陈独熹，非本公司或实际控制人资产。若本公司或实际控制人名下其他已出租房产拟用于抵押，需取得承租人出具的《放弃优先购买权声明》。</w:t>
              <w:br/>
              <w:t xml:space="preserve">   ③ 若实际控制人家庭拟以其名下住宅（如上述江南水都·杰座房产）提供抵押，需核实该住宅是否为其家庭唯一住房。材料未提供实际控制人家庭别处可供居住的房屋信息，需补充说明以判断抵押物处置的可行性。</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commentRangeEnd w:id="22"/>
            <w:r>
              <w:rPr>
                <w:rStyle w:val="CommentReference"/>
              </w:rPr>
              <w:commentReference w:id="22"/>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②保证人化型及对公PD X级（注意是否符合保证人准入要求）</w:t>
              <w:br/>
              <w:t>材料未提供保证人信息。根据客户材料，本次授信申请主体为福建中锐网络股份有限公司，材料中未提及存在第三方公司为其提供担保。因此，本节“公司担保”不涉及，无需分析保证人准入要求。</w:t>
              <w:br/>
              <w:br/>
              <w:t>③保证人主要经营情况</w:t>
              <w:br/>
              <w:t>不涉及。</w:t>
              <w:br/>
              <w:br/>
              <w:t>④保证人征信信息（银行授信业务品种、敞口提用余额、对外担保余额，不良记录等）</w:t>
              <w:br/>
              <w:t>不涉及。</w:t>
              <w:br/>
              <w:br/>
              <w:t>⑤主要财务指标（请填写下表）</w:t>
              <w:br/>
              <w:t>不涉及。</w:t>
              <w:br/>
              <w:br/>
              <w:t>⑥其他：风险信息情况、涉诉等</w:t>
              <w:br/>
              <w:t>不涉及。</w:t>
              <w:br/>
              <w:br/>
              <w:t>分析：本笔授信申报材料未提供由其他公司提供保证担保的安排。授信风险缓释将主要依赖于借款人福建中锐网络股份有限公司自身的信用状况及第一还款来源，需在授信方案中予以明确并审慎评估。</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经核查，本次授信申报材料未涉及由我行认可的专业担保公司提供担保。根据客户提供的融资明细，其现有融资中仅海峡银行-金山支行一笔500万元流贷业务由“福州市融资担保有限公司”提供担保，但材料未提供该担保公司的任何资质证明文件、最新经营及财务数据，亦未提供我行内部对该担保公司的准入审批结论（包括合作额度、风险分担比例、放大倍数、单户上限等）。因此，无法判断该担保公司是否符合我行合作准入要求，亦无法基于担保措施对本次授信进行风险缓释分析。本次授信方案应主要基于借款人自身信用状况进行审批决策。</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commentRangeStart w:id="23"/>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w:t>
              <w:br/>
              <w:t>围绕“现金流、杠杆率、可持续、垒小户、配结算、强担保”六要素进行综合评判：</w:t>
              <w:br/>
              <w:t>1.  现金流：材料提供了部分现金流量数据。根据2024年审计报告，公司当年销售商品、提供劳务收到的现金为4890万元，经营活动现金流入小计为8030万元。补充材料中2025年现金流量表显示销售商品、提供劳务收到的现金为10385万元。材料未提供完整的2025年现金流量表及经营活动现金流量净额数据，无法准确评估其经营性现金流的净流入情况及稳定性。材料显示公司销售收款采用预收款和账期方式，采购付款享有供应商给予的信用账期，这有利于其现金流管理。但鉴于其融资规模较大且已用额度高，需关注其现金生成能力对债务的覆盖。</w:t>
              <w:br/>
              <w:t>2.  杠杆率：材料未提供公司资产负债表，无法计算资产负债率、流动比率等关键财务杠杆指标。融资情况显示，公司在多家银行合计授信额度为4640万元，已使用4440万元，银行融资已基本用满，外部融资依赖度高。结合其业务模式涉及项目执行，可能存在一定的营运资金垫付需求，高额度的已用融资提示其财务杠杆可能处于较高水平。材料未提供所有者权益数据，无法对其整体杠杆水平进行量化评估。</w:t>
              <w:br/>
              <w:t>3.  可持续：公司主营业务聚焦智慧水利与智慧教育，均符合国家政策导向，具备一定的市场前景。智慧水利业务已落地福建省内300余座水库，并获得省级科技奖项，显示了一定的技术积累和市场应用深度。智慧教育业务与超1000所高校及科研院所合作，服务1600多家政企客户，建立了广泛的合作网络。收入结构上，水利与教育板块相对均衡（46%与54%），有利于分散单一行业风险。然而，审计报告（2023年及2024年）的审计意见基础部分均提及注册会计师需对“可能导致对中锐（网络公司）的持续经营能力产生重大疑虑的事项或情况是否存在重大不确定性得出结论”，此为标准审计程序表述，但提示需关注其持续经营假设的稳固性。材料未提供近年完整的利润表及收入、利润增长趋势数据，对其盈利的可持续性判断支撑不足。</w:t>
              <w:br/>
              <w:t>4.  垒小户：材料未提供本行对该客户的存量授信情况。从同业融资看，客户已在交通银行、海峡银行、厦门国际银行、兴业银行、工商银行、中国银行、广发银行等七家金融机构获得授信，授信银行数量较多，合计敞口较大（已用4440万元），属于在多机构融资的客户。本次申报需审慎评估新增授信是否会加剧客户在多银行间的融资集中度风险，以及本行介入的时机与风险收益比。</w:t>
              <w:br/>
              <w:t>5.  配结算：材料提供了主要上下游的结算方式均为“分期”，但未提供与本行的历史结算数据，如账户流水、日均存款等。授信方案需明确要求客户将主要结算账户迁移至本行，并通过贷后管理监控其结算流水，以真实掌握其经营现金流，并增强本行贷款的资金闭环管理。</w:t>
              <w:br/>
              <w:t>6.  强担保：客户提供的担保方式材料中仅列示一处房产，为实际控制人黄祖海及其配偶康恩慧共有的私有房产，面积143.45平方米。该房产价值需经评估确认。此外，材料显示其部分银行融资由实际控制人黄祖海、陈其俤及福州市融资担保有限公司等提供担保。本次授信方案需争取落实实际控制人黄祖海及其配偶康恩慧的连带责任保证，并尽可能追加其他有效担保措施，以缓释信用风险。</w:t>
              <w:br/>
              <w:br/>
              <w:t>综合评判与授信方案：</w:t>
              <w:br/>
              <w:t>客户主营业务符合国家产业方向，在细分领域有一定技术和市场基础。但主要风险点在于：财务信息不完整，关键杠杆指标缺失；同业融资已基本用满，负债水平可能较高；审计报告提示需关注持续经营能力评估；对多银行融资依赖明显。基于当前材料，直接准入的风险较高。</w:t>
              <w:br/>
              <w:br/>
              <w:t>建议采取审慎介入的策略：</w:t>
              <w:br/>
              <w:t>1.  授信额度：建议核定敞口额度不超过500万元，用于补充其短期营运资金，并应显著低于其在他行已提用的单笔最大流贷额度。</w:t>
              <w:br/>
              <w:t>2.  担保措施：必须落实实际控制人黄祖海及其配偶康恩慧的无限连带责任保证担保。同时，应追加评估其名下房产（仓山区上渡街道通江路17号江南水都·杰座）的抵押价值，并力争办理顺位抵押（如已有他行抵押，需核实具体情况）。可探索要求其关联方或主要股东提供额外担保。</w:t>
              <w:br/>
              <w:t>3.  用途与支付管理：授信资金仅用于与主营业务相关的采购支付，采用受托支付方式，支付对象限定为其合作稳定的主要供应商（如锐捷网络股份有限公司等），并审核对应贸易背景。</w:t>
              <w:br/>
              <w:t>4.  结算要求：作为提款前提条件，要求客户将主要销售收入回款账户设在本行，并约定存贷比或日均存款留存要求。</w:t>
              <w:br/>
              <w:t>5.  贷后管控措施：</w:t>
              <w:br/>
              <w:t xml:space="preserve">       财务监控：要求客户定期提供经审计的财务报表及主要银行账户流水，重点关注经营活动现金流变化、他行融资偿还与续作情况。</w:t>
              <w:br/>
              <w:t xml:space="preserve">       预警机制：设立预警指标，如在他行出现逾期、涉及重大诉讼、实际控制人变更、审计报告对持续经营能力发表非无保留意见等，一经发现立即启动风险排查。</w:t>
              <w:br/>
              <w:t xml:space="preserve">       检查：定期进行现场检查，核实项目合同、验收单据等，监控其经营状况是否与授信申报时保持一致。</w:t>
              <w:br/>
              <w:t xml:space="preserve">       额度重检：本笔授信期限不宜过长，建议不超过1年。到期前需根据客户全年经营、财务及结算综合贡献情况重检额度。</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commentRangeEnd w:id="23"/>
            <w:r>
              <w:rPr>
                <w:rStyle w:val="CommentReference"/>
              </w:rPr>
              <w:commentReference w:id="23"/>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现金流：根据审计报告，借款人2023年度经营活动产生的现金流量净额为269万元（112072779.26元流入 - 109379398.13元流出），2024年度经营活动产生的现金流量净额为40万元（80298955.33元流入 - 80258733.66元流出）。经营活动现金流持续为正，但2024年净流入额较2023年大幅下降。2024年末现金及现金等价物余额为506万元，较期初下降1015万元。材料未提供未来现金流预测数据，无法判断其未来现金流的平衡能力，对评估其短期偿债能力造成一定影响。</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材料未提供资产负债率、流动比率等关键财务杠杆指标数据，无法直接评估其负债水平和短期偿债能力。根据融资情况汇总，其对外融资总额（已用金额）为4440万元，但缺乏对应的总资产和净资产数据，无法准确计算杠杆水平，对综合偿债能力判断构成重大信息缺失。</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业务聚焦智慧水利与智慧教育，符合国家政策导向。在智慧水利领域拥有自主研发能力及奖项荣誉，解决方案已在福建省内300余座水库应用；在智慧教育领域与超1000所高校及科研院所合作，服务超1600家政企客户。公司下设多家全资或控股子公司，业务布局清晰。材料未提供公司成立时间、人员规模、技术团队构成及产能利用情况，对其经营稳定性和持续发展能力的评估存在信息缺口。</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多头贷款、交叉授信、超融）：根据融资明细，借款人当前在6家银行（交通银行、海峡银行、厦门国际银行、兴业银行、工商银行、中国银行）及1家非银机构（广发银行）共有9笔融资，授信总额4640万元，已用总额4440万元。融资品种均为流动资金贷款或类似产品，担保方式涉及信用、个人及第三方担保。借款人融资银行数量较多，债务结构以短期流贷为主，存在一定的多头融资特征。材料未提供借款人总资产、销售收入及应收账款数据，无法计算融资总额与经营规模的匹配度，难以准确判断是否存在过度融资。</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配结算：材料未提供借款人在我行的开户时长、历史结算流水及存款沉淀等数据，无法评估其与我行的结算合作紧密度及未来配结算的潜力。</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根据资产明细，实际控制人黄祖海及其配偶康恩慧名下拥有私有房产一处（坐落于仓山区上渡街道通江路17号江南水都·杰座），面积143.45平方米，权证号为榕房权证R字第0838000号。该房产可作为增信措施。材料未提供该房产的评估价值信息。借款人现有他行贷款担保方式包括信用、个人及担保公司保证，我行若介入，可争取追加该房产抵押及实控人连带责任保证，以强化第二还款来源。</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分析，借款人主营业务具备发展前景，经营现金流为正，但财务数据披露不全，尤其缺乏资产负债表及利润表关键数据，且存在多头融资情况。授信决策需在补充财务数据、核实融资具体用途及还款来源、并落实有效抵押担保的基础上审慎做出。</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24"/>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24"/>
            <w:r>
              <w:rPr>
                <w:rStyle w:val="CommentReference"/>
              </w:rPr>
              <w:commentReference w:id="24"/>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25"/>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5"/>
            <w:r>
              <w:rPr>
                <w:rStyle w:val="CommentReference"/>
              </w:rPr>
              <w:commentReference w:id="25"/>
            </w:r>
          </w:p>
          <w:p w14:paraId="6AC425A6">
            <w:commentRangeStart w:id="2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26"/>
            <w:r>
              <w:rPr>
                <w:rStyle w:val="CommentReference"/>
              </w:rPr>
              <w:commentReference w:id="26"/>
            </w:r>
          </w:p>
          <w:p w14:paraId="2FC82B07">
            <w:commentRangeStart w:id="27"/>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7"/>
            <w:r>
              <w:rPr>
                <w:rStyle w:val="CommentReference"/>
              </w:rPr>
              <w:commentReference w:id="27"/>
            </w:r>
          </w:p>
          <w:p w14:paraId="269107E9">
            <w:commentRangeStart w:id="28"/>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8"/>
            <w:r>
              <w:rPr>
                <w:rStyle w:val="CommentReference"/>
              </w:rPr>
              <w:commentReference w:id="28"/>
            </w:r>
          </w:p>
          <w:p w14:paraId="3096CC3B">
            <w:commentRangeStart w:id="29"/>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9"/>
            <w:r>
              <w:rPr>
                <w:rStyle w:val="CommentReference"/>
              </w:rPr>
              <w:commentReference w:id="29"/>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30"/>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30"/>
            <w:r>
              <w:rPr>
                <w:rStyle w:val="CommentReference"/>
              </w:rPr>
              <w:commentReference w:id="30"/>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3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31"/>
            <w:r>
              <w:rPr>
                <w:rStyle w:val="CommentReference"/>
              </w:rPr>
              <w:commentReference w:id="31"/>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3T13:56:45Z" w:initials="Agent">
    <w:p>
      <w:r>
        <w:rPr>
          <w:rStyle w:val="CommentReference"/>
        </w:rPr>
        <w:annotationRef/>
      </w:r>
      <w:r>
        <w:t xml:space="preserve">该处“申报单位”仍为空白，请人工确认。</w:t>
      </w:r>
    </w:p>
  </w:comment>
  <w:comment w:id="1" w:author="信贷报告 Agent" w:date="2026-04-13T13:56:45Z" w:initials="Agent">
    <w:p>
      <w:r>
        <w:rPr>
          <w:rStyle w:val="CommentReference"/>
        </w:rPr>
        <w:annotationRef/>
      </w:r>
      <w:r>
        <w:t xml:space="preserve">该处“小类）”仍为空白，请人工确认。</w:t>
      </w:r>
    </w:p>
  </w:comment>
  <w:comment w:id="2" w:author="信贷报告 Agent" w:date="2026-04-13T13:56:45Z" w:initials="Agent">
    <w:p>
      <w:r>
        <w:rPr>
          <w:rStyle w:val="CommentReference"/>
        </w:rPr>
        <w:annotationRef/>
      </w:r>
      <w:r>
        <w:t xml:space="preserve">该处“绿通标识”仍为空白，请人工确认。</w:t>
      </w:r>
    </w:p>
  </w:comment>
  <w:comment w:id="3" w:author="信贷报告 Agent" w:date="2026-04-13T13:56:45Z" w:initials="Agent">
    <w:p>
      <w:r>
        <w:rPr>
          <w:rStyle w:val="CommentReference"/>
        </w:rPr>
        <w:annotationRef/>
      </w:r>
      <w:r>
        <w:t xml:space="preserve">该处“注册资本”仍为空白，请人工确认。</w:t>
      </w:r>
    </w:p>
  </w:comment>
  <w:comment w:id="4" w:author="信贷报告 Agent" w:date="2026-04-13T13:56:45Z" w:initials="Agent">
    <w:p>
      <w:r>
        <w:rPr>
          <w:rStyle w:val="CommentReference"/>
        </w:rPr>
        <w:annotationRef/>
      </w:r>
      <w:r>
        <w:t xml:space="preserve">该处“过往两年企业股权变动情况及变动原因”仍为空白，请人工确认。</w:t>
      </w:r>
    </w:p>
  </w:comment>
  <w:comment w:id="5" w:author="信贷报告 Agent" w:date="2026-04-13T13:56:45Z" w:initials="Agent">
    <w:p>
      <w:r>
        <w:rPr>
          <w:rStyle w:val="CommentReference"/>
        </w:rPr>
        <w:annotationRef/>
      </w:r>
      <w:r>
        <w:t xml:space="preserve">该处“分析原因”仍为空白，请人工确认。</w:t>
      </w:r>
    </w:p>
  </w:comment>
  <w:comment w:id="6" w:author="信贷报告 Agent" w:date="2026-04-13T13:56:45Z" w:initials="Agent">
    <w:p>
      <w:r>
        <w:rPr>
          <w:rStyle w:val="CommentReference"/>
        </w:rPr>
        <w:annotationRef/>
      </w:r>
      <w:r>
        <w:t xml:space="preserve">该处“主要上游（前五大）”仍为空白，请人工确认。</w:t>
      </w:r>
    </w:p>
  </w:comment>
  <w:comment w:id="7" w:author="信贷报告 Agent" w:date="2026-04-13T13:56:45Z" w:initials="Agent">
    <w:p>
      <w:r>
        <w:rPr>
          <w:rStyle w:val="CommentReference"/>
        </w:rPr>
        <w:annotationRef/>
      </w:r>
      <w:r>
        <w:t xml:space="preserve">该处“主要下游（前五大）”仍为空白，请人工确认。</w:t>
      </w:r>
    </w:p>
  </w:comment>
  <w:comment w:id="8" w:author="信贷报告 Agent" w:date="2026-04-13T13:56:45Z" w:initials="Agent">
    <w:p>
      <w:r>
        <w:rPr>
          <w:rStyle w:val="CommentReference"/>
        </w:rPr>
        <w:annotationRef/>
      </w:r>
      <w:r>
        <w:t xml:space="preserve">该处“主要构成及趋势变动情况”仍为空白，请人工确认。</w:t>
      </w:r>
    </w:p>
  </w:comment>
  <w:comment w:id="9" w:author="信贷报告 Agent" w:date="2026-04-13T13:56:45Z" w:initials="Agent">
    <w:p>
      <w:r>
        <w:rPr>
          <w:rStyle w:val="CommentReference"/>
        </w:rPr>
        <w:annotationRef/>
      </w:r>
      <w:r>
        <w:t xml:space="preserve">该处“主要构成及趋势变动情况”仍为空白，请人工确认。</w:t>
      </w:r>
    </w:p>
  </w:comment>
  <w:comment w:id="10" w:author="信贷报告 Agent" w:date="2026-04-13T13:56:45Z" w:initials="Agent">
    <w:p>
      <w:r>
        <w:rPr>
          <w:rStyle w:val="CommentReference"/>
        </w:rPr>
        <w:annotationRef/>
      </w:r>
      <w:r>
        <w:t xml:space="preserve">该处“主要构成及趋势变动情况”仍为空白，请人工确认。</w:t>
      </w:r>
    </w:p>
  </w:comment>
  <w:comment w:id="11" w:author="信贷报告 Agent" w:date="2026-04-13T13:56:45Z" w:initials="Agent">
    <w:p>
      <w:r>
        <w:rPr>
          <w:rStyle w:val="CommentReference"/>
        </w:rPr>
        <w:annotationRef/>
      </w:r>
      <w:r>
        <w:t xml:space="preserve">该处“主要构成及趋势变动情况”仍为空白，请人工确认。</w:t>
      </w:r>
    </w:p>
  </w:comment>
  <w:comment w:id="12" w:author="信贷报告 Agent" w:date="2026-04-13T13:56:45Z" w:initials="Agent">
    <w:p>
      <w:r>
        <w:rPr>
          <w:rStyle w:val="CommentReference"/>
        </w:rPr>
        <w:annotationRef/>
      </w:r>
      <w:r>
        <w:t xml:space="preserve">该处“主要构成及趋势变动情况”仍为空白，请人工确认。</w:t>
      </w:r>
    </w:p>
  </w:comment>
  <w:comment w:id="13" w:author="信贷报告 Agent" w:date="2026-04-13T13:56:45Z" w:initials="Agent">
    <w:p>
      <w:r>
        <w:rPr>
          <w:rStyle w:val="CommentReference"/>
        </w:rPr>
        <w:annotationRef/>
      </w:r>
      <w:r>
        <w:t xml:space="preserve">该处“（7）主营业务收入变动原因”仍为空白，请人工确认。</w:t>
      </w:r>
    </w:p>
  </w:comment>
  <w:comment w:id="14" w:author="信贷报告 Agent" w:date="2026-04-13T13:56:45Z" w:initials="Agent">
    <w:p>
      <w:r>
        <w:rPr>
          <w:rStyle w:val="CommentReference"/>
        </w:rPr>
        <w:annotationRef/>
      </w:r>
      <w:r>
        <w:t xml:space="preserve">该处“（8）盈利能力变动原因”仍为空白，请人工确认。</w:t>
      </w:r>
    </w:p>
  </w:comment>
  <w:comment w:id="15" w:author="信贷报告 Agent" w:date="2026-04-13T13:56:45Z" w:initials="Agent">
    <w:p>
      <w:r>
        <w:rPr>
          <w:rStyle w:val="CommentReference"/>
        </w:rPr>
        <w:annotationRef/>
      </w:r>
      <w:r>
        <w:t xml:space="preserve">该处“分析投入及资金安排）”仍为空白，请人工确认。</w:t>
      </w:r>
    </w:p>
  </w:comment>
  <w:comment w:id="16" w:author="信贷报告 Agent" w:date="2026-04-13T13:56:45Z" w:initials="Agent">
    <w:p>
      <w:r>
        <w:rPr>
          <w:rStyle w:val="CommentReference"/>
        </w:rPr>
        <w:annotationRef/>
      </w:r>
      <w:r>
        <w:t xml:space="preserve">该处“如有请说明）”仍为空白，请人工确认。</w:t>
      </w:r>
    </w:p>
  </w:comment>
  <w:comment w:id="17" w:author="信贷报告 Agent" w:date="2026-04-13T13:56:45Z" w:initials="Agent">
    <w:p>
      <w:r>
        <w:rPr>
          <w:rStyle w:val="CommentReference"/>
        </w:rPr>
        <w:annotationRef/>
      </w:r>
      <w:r>
        <w:t xml:space="preserve">该处“反馈中长期借款还款计划及还款资金安排情况”仍为空白，请人工确认。</w:t>
      </w:r>
    </w:p>
  </w:comment>
  <w:comment w:id="18" w:author="信贷报告 Agent" w:date="2026-04-13T13:56:45Z" w:initials="Agent">
    <w:p>
      <w:r>
        <w:rPr>
          <w:rStyle w:val="CommentReference"/>
        </w:rPr>
        <w:annotationRef/>
      </w:r>
      <w:r>
        <w:t xml:space="preserve">该处“（若有）对外担保情况”仍为空白，请人工确认。</w:t>
      </w:r>
    </w:p>
  </w:comment>
  <w:comment w:id="19" w:author="信贷报告 Agent" w:date="2026-04-13T13:56:45Z" w:initials="Agent">
    <w:p>
      <w:r>
        <w:rPr>
          <w:rStyle w:val="CommentReference"/>
        </w:rPr>
        <w:annotationRef/>
      </w:r>
      <w:r>
        <w:t xml:space="preserve">该处“（若有）不良记录情况”仍为空白，请人工确认。</w:t>
      </w:r>
    </w:p>
  </w:comment>
  <w:comment w:id="20" w:author="信贷报告 Agent" w:date="2026-04-13T13:56:45Z" w:initials="Agent">
    <w:p>
      <w:r>
        <w:rPr>
          <w:rStyle w:val="CommentReference"/>
        </w:rPr>
        <w:annotationRef/>
      </w:r>
      <w:r>
        <w:t xml:space="preserve">该处“对借款原因分析如下”仍为空白，请人工确认。</w:t>
      </w:r>
    </w:p>
  </w:comment>
  <w:comment w:id="21" w:author="信贷报告 Agent" w:date="2026-04-13T13:56:45Z" w:initials="Agent">
    <w:p>
      <w:r>
        <w:rPr>
          <w:rStyle w:val="CommentReference"/>
        </w:rPr>
        <w:annotationRef/>
      </w:r>
      <w:r>
        <w:t xml:space="preserve">该处“变动原因”仍为空白，请人工确认。</w:t>
      </w:r>
    </w:p>
  </w:comment>
  <w:comment w:id="22" w:author="信贷报告 Agent" w:date="2026-04-13T13:56:45Z" w:initials="Agent">
    <w:p>
      <w:r>
        <w:rPr>
          <w:rStyle w:val="CommentReference"/>
        </w:rPr>
        <w:annotationRef/>
      </w:r>
      <w:r>
        <w:t xml:space="preserve">该处“抵押担保（如涉及）”仍为空白，请人工确认。</w:t>
      </w:r>
    </w:p>
  </w:comment>
  <w:comment w:id="23" w:author="信贷报告 Agent" w:date="2026-04-13T13:56:45Z" w:initials="Agent">
    <w:p>
      <w:r>
        <w:rPr>
          <w:rStyle w:val="CommentReference"/>
        </w:rPr>
        <w:annotationRef/>
      </w:r>
      <w:r>
        <w:t xml:space="preserve">该处“（十一）经营单位授信申报结论及方案”仍为空白，请人工确认。</w:t>
      </w:r>
    </w:p>
  </w:comment>
  <w:comment w:id="24" w:author="信贷报告 Agent" w:date="2026-04-13T13:56:45Z" w:initials="Agent">
    <w:p>
      <w:r>
        <w:rPr>
          <w:rStyle w:val="CommentReference"/>
        </w:rPr>
        <w:annotationRef/>
      </w:r>
      <w:r>
        <w:t xml:space="preserve">该处“予借款人授信敞口1000万元，”仍为模板占位符，请人工核实。</w:t>
      </w:r>
    </w:p>
  </w:comment>
  <w:comment w:id="25" w:author="信贷报告 Agent" w:date="2026-04-13T13:56:45Z" w:initials="Agent">
    <w:p>
      <w:r>
        <w:rPr>
          <w:rStyle w:val="CommentReference"/>
        </w:rPr>
        <w:annotationRef/>
      </w:r>
      <w:r>
        <w:t xml:space="preserve">该处“客户经理”仍为空白，请人工确认。</w:t>
      </w:r>
    </w:p>
  </w:comment>
  <w:comment w:id="26" w:author="信贷报告 Agent" w:date="2026-04-13T13:56:45Z" w:initials="Agent">
    <w:p>
      <w:r>
        <w:rPr>
          <w:rStyle w:val="CommentReference"/>
        </w:rPr>
        <w:annotationRef/>
      </w:r>
      <w:r>
        <w:t xml:space="preserve">该处“共同调查人”仍为空白，请人工确认。</w:t>
      </w:r>
    </w:p>
  </w:comment>
  <w:comment w:id="27" w:author="信贷报告 Agent" w:date="2026-04-13T13:56:45Z" w:initials="Agent">
    <w:p>
      <w:r>
        <w:rPr>
          <w:rStyle w:val="CommentReference"/>
        </w:rPr>
        <w:annotationRef/>
      </w:r>
      <w:r>
        <w:t xml:space="preserve">该处“二级支行行长”仍为空白，请人工确认。</w:t>
      </w:r>
    </w:p>
  </w:comment>
  <w:comment w:id="28" w:author="信贷报告 Agent" w:date="2026-04-13T13:56:45Z" w:initials="Agent">
    <w:p>
      <w:r>
        <w:rPr>
          <w:rStyle w:val="CommentReference"/>
        </w:rPr>
        <w:annotationRef/>
      </w:r>
      <w:r>
        <w:t xml:space="preserve">该处“分管行长”仍为空白，请人工确认。</w:t>
      </w:r>
    </w:p>
  </w:comment>
  <w:comment w:id="29" w:author="信贷报告 Agent" w:date="2026-04-13T13:56:45Z" w:initials="Agent">
    <w:p>
      <w:r>
        <w:rPr>
          <w:rStyle w:val="CommentReference"/>
        </w:rPr>
        <w:annotationRef/>
      </w:r>
      <w:r>
        <w:t xml:space="preserve">该处“行长”仍为空白，请人工确认。</w:t>
      </w:r>
    </w:p>
  </w:comment>
  <w:comment w:id="30" w:author="信贷报告 Agent" w:date="2026-04-13T13:56:45Z" w:initials="Agent">
    <w:p>
      <w:r>
        <w:rPr>
          <w:rStyle w:val="CommentReference"/>
        </w:rPr>
        <w:annotationRef/>
      </w:r>
      <w:r>
        <w:t xml:space="preserve">该处“审查员”仍为空白，请人工确认。</w:t>
      </w:r>
    </w:p>
  </w:comment>
  <w:comment w:id="31" w:author="信贷报告 Agent" w:date="2026-04-13T13:56:45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