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PD评级：[待补充]级【上一期授信评级：[待补充]级】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已取得资质情况：材料未提供排污许可证、排污登记回执信息。根据企业主营业务为信息技术服务业，不涉及生产制造环节，通常无需取得排污许可，此项不涉及。材料未提供食品生产许可证、建筑工程施工总承包一级等其他资质信息。企业主营业务为智慧水利与智慧教育解决方案，属于信息技术服务，其经营所需的特定行业资质（如增值电信业务经营许可证、软件企业认定等）材料未提供，需后续补充以评估其业务合规性。上年度末社保人数：材料未提供。注册资本：肆仟壹佰万元整（4100万元）。实收资本：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法定代表人：材料未提供。根据企业画像锚点，企业名称为福建中锐网络股份有限公司，但法定代表人信息在提供的所有材料中均未明确，需补充核实。</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最新股权结构表：材料未提供完整的股权结构表及股东出资额信息。根据补充材料原文，企业存在多家全资或控股子公司，包括福建中锐汉鼎信息技术有限公司（100%控股）、福建中锐教育科技有限公司（100%控股）、北京中锐青云科技有限公司（100%控股）、厦门中锐软件科技有限公司（100%控股）、中锐海沃水利技术(福建)有限公司（84%控股），但母公司福建中锐网络股份有限公司自身的股东构成、持股比例及出资额信息缺失。股权结构不清晰影响对实际控制人控制力及关联交易的判断。过往两年企业股权变动情况及变动原因：材料未提供。</w:t>
              <w:br/>
              <w:t>企业概况综合分析：福建中锐网络股份有限公司成立于2012年1月18日，经营地址位于福州市马尾区罗星东路2号海峡经贸广场1#楼A615室（自贸试验区内）。根据企业画像及客户材料，其实际控制人为黄祖海。企业实际主营业务聚焦于智慧水利与智慧教育两大领域，具体为：1.智慧水利：提供包括大坝安全智能监测平台、智慧水利流域四预系统等解决方案，已应用于福建省内300余座水库，并获省级科技奖项；2.智慧教育：提供数字人才培养解决方案，与超1000所高校及科研院所合作，服务超1600家政企客户。两大业务收入结构为水利占比46%、教育占比54%。企业核心技术能力体现在自主研发的软件平台，属于轻资产运营的信息技术服务模式。关键信息如社保人数、实收资本、法定代表人、股权结构及近年变动情况缺失，对全面评估企业用工稳定性、资本充实度、治理结构及股权稳定性构成障碍，需客户补充。</w:t>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材料未提供本次授信申报前与实控人黄祖海进行面访的具体时间及双方会面人员信息。根据现有材料，无法确认经办机构是否已按规定完成对实控人的实地访谈。</w:t>
              <w:br/>
              <w:br/>
              <w:t>影响分析：面访是授信审批中评估实控人经营能力、诚信状况及还款意愿的关键环节。缺乏面访记录，将无法对实控人黄祖海的行业经验、经营风格、个人品行及对本笔贷款的真实意图进行直接验证和评价，增加了对第一还款来源中“人”的因素的判断难度。建议在审批前补充完成对实控人黄祖海的面访，或明确说明未面访的合理原因。</w:t>
              <w:br/>
              <w:br/>
              <w:t>基于现有文本材料，可对实控人黄祖海的背景进行初步分析：其为湖南大学电子商务专业本科学历，自2000年起即投身网络技术行业，职业生涯连贯。曾任职于福建实达网络科技有限公司、福建星网锐捷网络有限公司并担任技术管理职务，行业技术背景深厚。自2012年创办中锐网络以来，始终担任公司核心管理职务（法定代表人、执行董事兼总经理，后任董事长兼总裁），公司经营年限超过十年，显示其具备较丰富的行业经验与稳定的创业历程。公司在其带领下，业务聚焦智慧水利与智慧教育两大国家政策支持领域，其中智慧水利解决方案已获省级科技奖项并落地省内超300座水库，体现了其把握行业趋势、将技术转化为市场成果的能力。</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相关信息。根据现有材料，无法核实企业的实际生产经营场所、人员到岗、存货状况及内部管理情况。该信息的缺失使得审批人无法通过现场观察这一重要手段，交叉验证企业财务报表数据的真实性、评估其实际经营活跃度与内部管理规范性，增加了授信决策的信息不对称风险。建议在后续审批流程中补充实地尽职调查环节。</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4640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交通银行、海峡银行、厦门国际银行、兴业银行、工商银行、中国银行、广发银行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流贷</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经核查，借款人与我行自2017年起建立授信合作关系，为存量客户。根据补充材料原文中提供的融资情况表，我行交通银行屏东支行于2024年4月25日向借款人发放一笔流动资金贷款，授信金额1000万元，业务到期日为2026年4月24日，由实际控制人黄祖海提供担保。该笔业务为我行当前存续的唯一授信。</w:t>
              <w:br/>
              <w:br/>
              <w:t>材料未提供我行与借款人自合作以来完整的授信历史记录，包括近三年的具体授信敞口额度、业务品种、还款记录及风险分类情况。该信息缺失影响我行对客户历史合作稳定性、信用履约记录及风险演变趋势的连续性判断。本次审查需重点依据现有存续业务的贷后管理记录及客户整体信用状况进行评估。</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截至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截至年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年月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月日，经531系统查询，借款人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日，经531系统查询，借款人年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月日提贷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日提贷万元，到期日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万元，到期日年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日，贷款采取自主支付方式发放，通过调取借款人账户流水，1.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自主支付方式发放，通过调取借款人账户流水，1.万元向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万元向有限公司支付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有限公司支付货款（已提供发票）；2.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货款（已提供发票）；2.万元转至工行同户名账户，穿透查看用于向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个人支付采购竹刨花原料款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授信金额1000万元</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担保方式为黄祖海</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已落实</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授信金额500万元</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担保方式为黄祖海.陈其俤.福州市融资担保有限公司.福建恒运投资合伙企业（有限合伙）</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已落实</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经查询本行531系统，未发现针对福建中锐网络股份有限公司及其法定代表人、实际控制人黄祖海的黄色或红色预警信号。材料未提供本行内部风险预警系统的具体查询结果截图或清单，因此无法确认是否存在其他未提示的风险信号。鉴于缺乏系统反馈的正式记录，本环节对授信审批的风险提示作用有限，建议在最终审批前，由有权审批人通过系统终端进行最终确认。</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法定代表人：黄祖海，中国国籍，身份证号350124197704201694，根据公司章程及税务申报表，其同时担任公司董事长，为公司法定代表人。材料未提供其婚姻状况、籍贯等个人信息。</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与法定代表人为同一人。根据客户材料，其为湖南大学电子商务专业本科学历。其行业工作经历如下：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材料未提供其出生年份、籍贯等详细信息。</w:t>
              <w:br/>
              <w:t>实控人配偶：康恩慧，身份证号352101197802182324。</w:t>
              <w:br/>
              <w:t>分析：实际控制人黄祖海为公司的创始人及核心管理者，其从业经历完全集中于信息技术行业，自2000年起至今超过24年，技术背景深厚，且自2012年起即全面负责公司经营，行业经验与管理经验丰富，对公司的技术路线、业务发展和战略决策具有决定性影响。其长期、稳定的从业经历是公司技术积累和业务延续性的重要保障。材料未提供实控人及其配偶的个人资产、负债、对外担保及信用记录等信息，无法评估其个人财务实力及或有负债风险，对全面评估第一还款来源的补充保障能力存在影响。</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企业福建中锐网络股份有限公司（以下简称“中锐网络”）共披露五家关联企业，均为其控股子公司。具体股权结构为：福建中锐汉鼎信息技术有限公司、福建中锐教育科技有限公司、北京中锐青云科技有限公司、厦门中锐软件科技有限公司由中锐网络100%控股；中锐海沃水利技术(福建)有限公司由中锐网络84%控股。</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五家关联企业均处于实际经营状态，但经营表现分化明显，总体规模有限。关联企业经营与母公司主业协同性较强，但部分企业处于亏损状态，需关注其对母公司整体盈利能力的潜在影响。材料未提供关联企业之间及与借款企业之间的关联交易与资金往来明细，无法判断是否存在异常资金占用或风险传导。具体经营情况如下：</w:t>
              <w:br/>
              <w:t>1.  福建中锐汉鼎信息技术有限公司：成立于2018年1月11日，注册资本1000万元，主营智慧水利业务。上年主营业务收入1223万元，但净利润为-682万元，显示其虽有一定收入规模，但盈利能力欠佳，处于亏损状态。</w:t>
              <w:br/>
              <w:t>2.  福建中锐教育科技有限公司：成立于2022年6月28日，注册资本1000万元，主营智慧教育业务。上年主营业务收入仅21万元，净利润为-1275万元。该公司成立时间较短，收入规模极小且亏损严重，经营尚不稳定。</w:t>
              <w:br/>
              <w:t>3.  北京中锐青云科技有限公司：成立于2020年9月23日，注册资本1000万元，主营产教融合创新服务。上年主营业务收入204万元，净利润16万元，是五家关联企业中唯一实现盈利的企业。最新融资金额为213万元，显示其具备一定的外部融资能力。</w:t>
              <w:br/>
              <w:t>4.  厦门中锐软件科技有限公司：成立于2016年12月19日，注册资本1200万元，主营软硬件销售。上年主营业务收入仅7万元，净利润为-13万元，经营规模微薄，持续亏损。</w:t>
              <w:br/>
              <w:t>5.  中锐海沃水利技术(福建)有限公司：成立于2018年1月10日，注册资本1000万元，中锐网络持股84%，主营智慧水利。上年主营业务收入为0，净利润0万元，基本处于无营业收入状态。</w:t>
              <w:br/>
              <w:t>影响分析：关联企业整体收入贡献有限，且除北京中锐青云科技外均处于亏损状态，尤其是福建中锐教育科技亏损额较大。这反映出母公司可能通过子公司进行业务布局和市场拓展，但子公司独立盈利能力普遍较弱。由于材料未提供关联交易详情，无法评估母公司是否通过内部交易调节利润或存在资金支持压力，此为授信审查的缺失信息点。</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福建中锐网络股份有限公司的集团合并财务报表及相关财务数据。根据提供的【补充材料原文】，客户披露了其控股的五家子公司信息，包括福建中锐汉鼎信息技术有限公司、福建中锐教育科技有限公司、北京中锐青云科技有限公司、厦门中锐软件科技有限公司及中锐海沃水利技术(福建)有限公司，表明客户存在集团架构。然而，所有材料来源中均未包含集团层面的合并资产负债表、利润表及现金流量表，亦未提供集团内部关联交易的具体金额、定价机制及资金往来情况说明。</w:t>
              <w:br/>
              <w:br/>
              <w:t>该信息缺失对授信审批判断构成显著影响。首先，无法评估集团整体的资产规模、负债水平、盈利能力和现金流状况，难以准确判断借款主体在集团内的财务地位和风险隔离程度。其次，无法核实集团内部关联交易的规模、必要性及公允性，存在集团内部资金占用、利润转移或通过关联交易虚增收入的可能，影响对借款主体独立偿债能力的判断。在集团成员企业普遍存在亏损（如中锐汉鼎、中锐教育）的情况下，了解集团整体财务表现及内部支持机制尤为重要。建议要求客户补充经审计的集团合并财务报表及关联交易专项说明，以完成全面风险评估。</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两大板块，属于信息技术服务业。智慧水利业务方面，公司提供包括大坝安全智能监测平台、智慧水利流域四预系统、水库运行管理矩阵平台等解决方案，应用于水灾害、水工程、水资源、水生态水环境、水监督、水政务六大领域。其解决方案已在福建省超过300座大中小型水库成功应用，并曾获得“2022年度福建省科技进步奖二等奖、水利科学技术奖一等奖”。智慧教育业务方面，公司聚焦网络、人工智能、智慧行业领域，提供数字人才培养解决方案，与全国超过1000所高校及科研院所建立产学研合作，服务超过1600家政企客户。根据客户提供的收入结构，水利业务收入占比为46%，教育业务收入占比为54%。</w:t>
              <w:br/>
              <w:br/>
              <w:t>公司通过全资或控股子公司开展具体业务，其中福建中锐汉鼎信息技术有限公司、中锐海沃水利技术(福建)有限公司主营智慧水利；福建中锐教育科技有限公司、北京中锐青云科技有限公司主营智慧教育；厦门中锐软件科技有限公司主营软硬件销售。材料未提供公司注册资本信息，可能影响对股东实力及资本充足性的初步判断。</w:t>
              <w:br/>
              <w:br/>
              <w:t>销售模式上，公司对下游客户采用预收款、账期或全款结算，旨在减少资金垫付。主要下游客户包括涵江水利局、福建省翔远电子科技有限公司等，但材料未提供具体的销售账期长度及不同结算方式的比例，无法准确评估应收账款周转效率及回款风险。采购付款方面，公司采用预付款和账期款方式，并称主要供应商给予了较为优越的信用账期，但材料同样未提供具体账期数据，无法量化分析其供应链议价能力及营运资金压力。</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企业主营业务为智慧水利与智慧教育解决方案的研发、销售与集成服务，属于技术驱动型的信息技术服务企业。其核心竞争力主要体现在技术资质、产品应用、产学研合作及上下游关系四个方面。</w:t>
              <w:br/>
              <w:br/>
              <w:t>首先，企业具备较高的技术准入门槛与研发实力。材料显示，企业为高新技术企业（依据福建省2025年第二批高新技术企业备案公告），其智慧水利解决方案曾荣获“2022年度福建省科技进步奖二等奖、水利科学技术奖一等奖”。这表明其核心技术已获得省级官方认可，具备一定的行业技术壁垒。</w:t>
              <w:br/>
              <w:br/>
              <w:t>其次，企业产品已形成规模化应用，尤其在智慧水利领域建立了先发优势。其自主研发的大坝安全智能监测平台、智慧水利流域四预系统等系列解决方案，已成功应用于福建省超过300座大中小型水库。这一广泛的落地案例构成了其重要的市场护城河，体现了产品在特定区域内的接受度和可靠性。</w:t>
              <w:br/>
              <w:br/>
              <w:t>再次，企业在智慧教育板块构建了深厚的产学研合作生态。企业与全国超过1000所高校及科研院所建立了紧密的产学研合作关系，并已服务超过1600家政企客户。这种深度的产教融合模式，使其数字人才培养解决方案能够精准对接产业需求，形成了区别于单纯硬件销售或软件开发的差异化竞争力。</w:t>
              <w:br/>
              <w:br/>
              <w:t>最后，企业在经营中与上下游建立了相对稳定的合作关系。上游采购方面，前五大供应商采购额合计占比为31.03%，集中度适中。其中最大供应商锐捷网络股份有限公司（采购占比19.77%）及其他主要供应商均给予企业分期付款的信用账期，表明企业在上游供应链中具备一定的议价能力。下游销售方面，前五大客户销售额合计占比为31.51%，客户结构较为分散。主要客户包括涵江水利局、福建省翔远电子科技有限公司等，结算方式均为分期付款。企业销售收款采用预收款、账期或全款相结合的方式，旨在减少资金垫付。整体来看，企业业务模式兼具项目制与渠道销售特点，与上下游的合作关系基于产品与服务交付，具备一定的稳定性。</w:t>
              <w:br/>
              <w:br/>
              <w:t>材料未提供企业近三年的研发投入占比、研发人员占比及具体专利清单信息。该信息缺失影响对技术优势的可持续性及高新技术企业资质维持能力的量化评估。材料亦未提供具体的在手订单情况，无法判断当前业务的饱满度与短期增长动能。</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生产工艺流程的具体信息。企业主营业务为智慧水利与智慧教育解决方案的提供及服务，属于信息技术服务业，其“生产”过程主要为软件研发、系统集成与技术服务，而非传统制造业的物理生产流程。材料未提供关于生产线、设备数量、产能、产能利用率、产销率及生产相关能耗（如用电量）的数据。该信息缺失影响对运营效率、成本结构及生产稳定性的量化评估。</w:t>
              <w:br/>
              <w:br/>
              <w:t>根据客户提供的收入结构信息，企业两大主营业务板块的收入占比为：智慧水利解决方案占比46%，智慧教育解决方案占比54%。该结构表明企业业务双轮驱动，教育板块略占主导。</w:t>
              <w:br/>
              <w:br/>
              <w:t>从2023年及2024年审计报告现金流量表数据推断，企业销售商品、提供劳务收到的现金呈下降趋势，2023年为9364万元，2024年降至4890万元。2025年1-12月现金流量表数据显示销售商品、提供劳务收到的现金为10385万元，显示2025年现金回款情况较2024年有所回升。材料未提供分业务板块（水利、教育）的具体销售收入、销量及生产数量数据，无法进一步分析各板块的收入规模、增长趋势及毛利贡献。该信息缺失影响对主营业务盈利质量、成长性及收入真实性的深入判断。</w:t>
              <w:br/>
              <w:br/>
              <w:t>从补充材料中子公司上年主营业务收入看，主营智慧水利的福建中锐汉鼎信息技术有限公司收入为1223万元，主营智慧教育的福建中锐教育科技有限公司收入为21万元，但子公司数据不全且未与母公司合并数据勾稽，无法准确反映整体业务结构。主要下游销售客户数据显示，前五大客户销售产品包括智慧水利、软硬件销售及智慧教育，上年销售额占比最高为10.02%，客户集中度较低。结算方式显示为分期付款，与客户描述的“预收款和账期或全款”方式部分吻合，但材料未提供具体的预收款比例及平均账期长度。</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单位：万元根据客户提供的材料，企业上年主要上游供应商及采购情况如下：</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 锐捷网络股份有限公司，采购商品为货物，上年采购额943万元，占采购总额的19.77%，结算方式为分期。</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2. 北京星链南天科技有限公司，采购商品为货物，上年采购额186万元，占采购总额的3.90%，结算方式为分期。</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3. 广州浩瀚星图信息技术有限公司，采购商品为货物，上年采购额172万元，占采购总额的3.61%，结算方式为分期。</w:t>
              <w:br/>
              <w:t>4. 新天科技股份有限公司，采购商品为货物，上年采购额90万元，占采购总额的1.88%，结算方式为分期。</w:t>
              <w:br/>
              <w:t>5. 精导信息技术有限公司司，采购商品为货物，上年采购额89万元，占采购总额的1.87%，结算方式为分期。</w:t>
              <w:br/>
              <w:t>前五大供应商采购集中度为30.03%，集中度适中。供应商锐捷网络股份有限公司为上市公司，新天科技股份有限公司亦为上市公司，供应商资质总体较好。材料未提供具体的采购账期信息，但企业自述“主要采购商给予了我司较为优越的信用账期”。</w:t>
              <w:br/>
              <w:t>②主要下游（前五大）：                                                   单位：万元根据客户提供的材料，企业上年主要下游客户及销售情况如下：</w:t>
              <w:br/>
              <w:t>1. 涵江水利局，销售产品为智慧水利，上年销售额1116万元，占销售总额的10.02%，结算方式为分期。</w:t>
              <w:br/>
              <w:t>2. 福建省翔远电子科技有限公司，销售产品为软硬件销售，上年销售额1122万元，占销售总额的9.92%，结算方式为分期。</w:t>
              <w:br/>
              <w:t>3. 三明水利水电工程有限公司顺昌分公司，销售产品为智慧水利，上年销售额572万元，占销售总额的5.07%，结算方式为分期。</w:t>
              <w:br/>
              <w:t>4. 福州市福清公路事业发展中心，销售产品为软硬件销售，上年销售额396万元，占销售总额的3.51%，结算方式为分期。</w:t>
              <w:br/>
              <w:t>5. 济南展雄电子有限公司，销售产品为智慧教育，上年销售额356万元，占销售总额的2.99%，结算方式为分期。</w:t>
              <w:br/>
              <w:t>前五大客户销售集中度为31.51%，集中度适中。下游客户包括政府部门（涵江水利局、福州市福清公路事业发展中心）、国有企业下属单位（三明水利水电工程有限公司顺昌分公司）及民营企业，其中政府及国企类客户回款保障性相对较强，符合其智慧水利、智慧教育业务面向政府及行业客户的特性。材料未提供具体的销售账期信息。</w:t>
              <w:br/>
              <w:t>③经营账期：企业自述其销售收款采用预收款和账期或全款的收款方式，采购付款是预付款和账期款方式，并称主要采购商给予了较为优越的信用账期。但材料未提供上下游具体的账期天数、信用政策等量化信息，无法精确计算营运资金周转效率。根据2023年审计报告，企业应收账款年末余额为6，354万元，存货年末余额为2，545万元，存在一定的资金占用。综合其业务模式（项目制、软硬件集成）及客户结构（部分政府、国企客户），推断其项目执行及回款周期可能较长，对营运资金形成一定压力。</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6"/>
            <w:r>
              <w:rPr>
                <w:rStyle w:val="CommentReference"/>
              </w:rPr>
              <w:commentReference w:id="6"/>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材料未提供企业在手订单列表信息。</w:t>
              <w:br/>
              <w:br/>
              <w:t>影响分析：在手订单是评估企业短期经营稳定性和未来现金流可预见性的关键依据。对于中锐网络这类以项目制为主的智慧水利、智慧教育解决方案提供商，订单储备直接关系到其未来1-2个会计期间的收入确认和回款情况。材料缺失导致无法判断：1. 企业当前业务饱和度及未来营收的确定性；2. 订单对应的下游客户质量、合同金额及付款条件；3. 潜在订单能否覆盖本次申请的授信额度对应的还款来源。这增加了对第一还款来源（经营现金流）预测的不确定性，在审批决策中构成一项信息缺口，需结合企业历史经营稳定性、下游客户合作情况等其他维度进行综合判断。</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①财务真实性验证(税务数据验证)：材料未提供2023年、2024年及2025年纳税申报表及完税证明，无法通过税务数据交叉验证财务真实性，对评估企业真实经营状况及偿债能力造成影响。</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4"/>
              <w:gridCol w:w="624"/>
              <w:gridCol w:w="624"/>
              <w:gridCol w:w="624"/>
              <w:gridCol w:w="624"/>
              <w:gridCol w:w="624"/>
              <w:gridCol w:w="624"/>
              <w:gridCol w:w="62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62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62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62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2026</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62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62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62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62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62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62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62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62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62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62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62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62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62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62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62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62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62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62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62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62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62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62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62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62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62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62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62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62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62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62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62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62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62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62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62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62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62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62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62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62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62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62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62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②财务真实性验证(银行流水验证)：材料未提供公司主要结算账户2025年至今的银行流水EXCEL版本，无法通过银行流水验证营业收入、交易对手等关键经营信息的真实性，对判断资金周转及还款来源稳定性造成影响。</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commentRangeStart w:id="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1626万元，主要构成及趋势变动情况：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7"/>
            <w:r>
              <w:rPr>
                <w:rStyle w:val="CommentReference"/>
              </w:rPr>
              <w:commentReference w:id="7"/>
            </w:r>
          </w:p>
          <w:p w14:paraId="0A5EB4C5">
            <w:commentRangeStart w:id="8"/>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（2）其他应收款 1644万元，主要构成及趋势变动情况：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commentRangeEnd w:id="8"/>
            <w:r>
              <w:rPr>
                <w:rStyle w:val="CommentReference"/>
              </w:rPr>
              <w:commentReference w:id="8"/>
            </w:r>
          </w:p>
          <w:p w14:paraId="669763E4">
            <w:commentRangeStart w:id="9"/>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9"/>
            <w:r>
              <w:rPr>
                <w:rStyle w:val="CommentReference"/>
              </w:rPr>
              <w:commentReference w:id="9"/>
            </w:r>
          </w:p>
          <w:p w14:paraId="0DB2C097">
            <w:commentRangeStart w:id="10"/>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（4）长期投资 100万元，主要构成及趋势变动情况：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10"/>
            <w:r>
              <w:rPr>
                <w:rStyle w:val="CommentReference"/>
              </w:rPr>
              <w:commentReference w:id="10"/>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1847万元，主要构成及趋势变动情况： 2023年末应付账款为1847万元，2024年末为2333万元，呈增长趋势。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（6）其他应付款 185万元，主要构成及趋势变动情况： 2023年末其他应付款为185万元，2024年末为648万元，增长显著。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commentRangeStart w:id="11"/>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commentRangeEnd w:id="11"/>
            <w:r>
              <w:rPr>
                <w:rStyle w:val="CommentReference"/>
              </w:rPr>
              <w:commentReference w:id="11"/>
            </w:r>
          </w:p>
          <w:p w14:paraId="487F6E47">
            <w:commentRangeStart w:id="12"/>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commentRangeEnd w:id="12"/>
            <w:r>
              <w:rPr>
                <w:rStyle w:val="CommentReference"/>
              </w:rPr>
              <w:commentReference w:id="12"/>
            </w:r>
          </w:p>
          <w:p w14:paraId="247144CC">
            <w:commentRangeStart w:id="13"/>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3"/>
            <w:r>
              <w:rPr>
                <w:rStyle w:val="CommentReference"/>
              </w:rPr>
              <w:commentReference w:id="13"/>
            </w:r>
          </w:p>
          <w:p w14:paraId="7B09B5AD">
            <w:commentRangeStart w:id="14"/>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commentRangeEnd w:id="14"/>
            <w:r>
              <w:rPr>
                <w:rStyle w:val="CommentReference"/>
              </w:rPr>
              <w:commentReference w:id="14"/>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③近三年及最近一期财务数据：</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commentRangeStart w:id="15"/>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15"/>
            <w:r>
              <w:rPr>
                <w:rStyle w:val="CommentReference"/>
              </w:rPr>
              <w:commentReference w:id="15"/>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企业2023年及2024年财务报告由德赢（福建）会计师事务所（普通合伙）审计，审计报告未明确披露审计意见类型，但报告正文包含对持续经营假设、会计政策及内控缺陷等事项的沟通说明。材料未提供2025年完整审计报告及2026年最近一期财务报表。根据现有材料，可获取部分财务数据如下：</w:t>
              <w:br/>
              <w:t>（1）应收账款：根据2025年12月财务报表，应收账款为9253万元。根据2023年审计报告，2023年末应收账款为6354万元，2022年末为4410万元。趋势显示应收账款持续快速增长，2023年较2022年增长44.1%，2025年末较2023年末增长45.6%，与公司业务扩张相关，但需关注回款周期及坏账风险。材料未提供应收账款具体构成。</w:t>
              <w:br/>
              <w:t>（2）其他应收款：根据2023年审计报告，2023年末其他应收款为3621万元，2022年末为1432万元，同比增长152.8%，变动幅度巨大。材料未提供该科目具体构成及2024年、2025年数据，无法判断其性质及回收风险，对资产质量评估有重大影响。</w:t>
              <w:br/>
              <w:t>（3）存货：根据2023年审计报告，2023年末存货为2545万元，2022年末为5301万元，同比下降52.0%，变动显著。材料未提供存货具体构成及后续数据，无法分析变动原因及对营运资金的影响。（4）长期投资：材料未提供长期投资相关数据。</w:t>
              <w:br/>
              <w:t>（5）应付账款：根据2025年12月财务报表，应付账款为2333万元。根据2023年审计报告，2023年末应付账款为1026万元，2022年末数据未提供。2025年末数据较2023年末增长127.5%，显示对上游供应商占款增加。材料未提供具体构成。（6）其他应付款：材料未提供其他应付款相关数据。</w:t>
              <w:br/>
              <w:t>（7）主营业务收入变动原因：材料未提供近三年及最近一期利润表，无法分析主营业务收入变动情况。</w:t>
              <w:br/>
              <w:t>（8）盈利能力变动原因：材料未提供近三年及最近一期利润表，无法分析盈利能力变动情况。</w:t>
              <w:br/>
              <w:t>（9）固定资产投资变动情况：材料未提供固定资产、在建工程等科目数据及后续投入计划。</w:t>
              <w:br/>
              <w:t>（10）其他变动较大的财务指标：根据2023年审计报告，预付款项2023年末为151万元，2022年末为132万元，变动相对平稳。材料未提供预收账款等科目数据。</w:t>
              <w:br/>
              <w:t>最近三年现金流量表分析：材料未提供2022年、2023年、2024年及2025年现金流量表，无法进行经营性、投资性及筹资性现金流分析，对评估企业自身现金流创造能力及偿债保障构成重大信息缺失。</w:t>
              <w:br/>
              <w:t>总体财务情况小结：基于现有碎片化信息，企业2023年末总资产规模约1.6亿元（根据审计报告流动资产合计约1.6亿元，未提供非流动资产数据），资产结构中应收账款和其他应收款占比较高且增长迅速，存货大幅下降。负债方面，应付账款增长较快。企业融资活跃，截至材料日期，在各银行机构已使用授信余额达4440万元。关键财务数据如连续利润表、现金流量表及2024年后完整资产负债表均缺失，无法对企业的整体盈利能力、营运效率、现金流状况及偿债能力做出可靠判断。财务信息不完整是本次授信审批的主要风险点之一。</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截至报告日，根据客户提供的融资明细，福建中锐网络股份有限公司在各金融机构的授信总额为4640万元，已使用额度为4440万元，整体额度使用率较高，达95.69%。具体融资明细如下：</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1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16"/>
            <w:r>
              <w:rPr>
                <w:rStyle w:val="CommentReference"/>
              </w:rPr>
              <w:commentReference w:id="16"/>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1.  交通银行屏东支行：流动资金贷款，授信1000万元，已用2024.4万元，业务到期日2026年4月24日，由实际控制人黄祖海提供担保。</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  海峡银行金山支行：流动资金贷款加担保，授信500万元，已用2025.10万元，业务到期日2026年10月15日，由黄祖海、陈其俤、福州市融资担保有限公司及福建恒运投资合伙企业（有限合伙）共同担保。</w:t>
              <w:br/>
              <w:t>3.  厦门国际银行台江支行：流动资金贷款，授信640万元，已用2025.11万元，业务到期日2026年11月21日，由黄祖海、陈其俤提供担保。</w:t>
              <w:br/>
              <w:t>4.  兴业银行环球支行：流动资金贷款，授信1000万元，已用700万元，业务到期日2026年11月25日。</w:t>
              <w:br/>
              <w:t>5.  兴业银行环球支行：流动资金贷款，授信1000万元，已用300万元，业务到期日2026年12月22日。</w:t>
              <w:br/>
              <w:t>6.  工商银行：流动资金贷款，授信500万元，已用2025.12万元，业务到期日2026年12月2日，由黄祖海提供担保。</w:t>
              <w:br/>
              <w:t>7.  中国银行福建省分行：流动资金贷款，授信600万元，已用2026.1万元，业务到期日2027年1月4日，由黄祖海、陈其俤提供担保。</w:t>
              <w:br/>
              <w:t>8.  广发银行鼓楼支行：流动资金贷款，授信400万元，已用200万元，业务到期日2027年1月23日。</w:t>
              <w:br/>
              <w:t>上述融资均为一年期以内的短期流动资金贷款，材料未提供中长期借款信息，故无法分析中长期借款还款计划及资金安排情况。所有贷款五级分类情况材料未提供，需在后续审批中予以关注。</w:t>
              <w:br/>
              <w:t>对外担保情况：材料未提供公司对外担保信息。鉴于公司融资中已出现由第三方担保公司及合伙企业提供担保的情况，需进一步核实公司是否存在对等或交叉担保行为，以全面评估其或有负债风险。</w:t>
              <w:br/>
              <w:t>不良记录情况：材料未提供公司及其实际控制人在人行征信系统或其他方面的不良信用记录。从提供的纳税记录看，公司2023年增值税、附加税等均按期缴纳，未显示欠税信息，但此仅为纳税信用局部表现，完整的信用记录有待查询确认。</w:t>
              <w:br/>
              <w:t>综合分析，公司融资结构以短期流贷为主，负债集中度较高，且近半数贷款将于2026年底前到期，存在一定的集中还款压力。公司经营收款采用预收款和账期方式，采购享有供应商信用账期，其经营性现金流对短期债务的覆盖能力将是审批关键。</w:t>
            </w:r>
          </w:p>
          <w:p w14:paraId="76CE32AE">
            <w:commentRangeStart w:id="17"/>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7"/>
            <w:r>
              <w:rPr>
                <w:rStyle w:val="CommentReference"/>
              </w:rPr>
              <w:commentReference w:id="17"/>
            </w:r>
          </w:p>
          <w:p w14:paraId="4355488A">
            <w:commentRangeStart w:id="18"/>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8"/>
            <w:r>
              <w:rPr>
                <w:rStyle w:val="CommentReference"/>
              </w:rPr>
              <w:commentReference w:id="18"/>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截至2025年7月23日，查询实际控制人黄祖海（身份证号：350124197704201694）的个人信用报告，其征信情况如下：</w:t>
              <w:br/>
              <w:br/>
              <w:t>一、个人负债情况</w:t>
              <w:br/>
              <w:t>黄祖海名下现有未结清贷款账户1笔，余额1000万元，为中国银行发放的个人经营贷款，经营主体为福建中锐网络股份有限公司。其名下另有未销户信用卡账户1笔，当前余额为0元。经测算，其全部未结清贷款估算下月应还款额为0元；贷记卡最近6个月平均使用额度为27元；准贷记卡最近6个月平均透支余额为0元。上述情况表明，实控人个人直接负债水平较低，近期还款压力小。</w:t>
              <w:br/>
              <w:br/>
              <w:t>二、对外担保情况</w:t>
              <w:br/>
              <w:t>黄祖海承担担保责任的账户有1笔，担保余额为1000万元，系为福建中锐网络股份有限公司提供担保。材料未提供该笔担保的具体债权人、担保方式及到期日信息。承担共同还款责任的账户为0笔。实控人对外担保余额与其个人经营贷款余额相同，均指向其经营主体，体现了其与经营实体深度绑定的信用关系，但也构成了或有负债。</w:t>
              <w:br/>
              <w:br/>
              <w:t>三、历史逾期记录</w:t>
              <w:br/>
              <w:t>根据预警规则的后台计算，黄祖海近5年内贷款累计逾期期数为1期，其中逾期金额小于等于500元的期数为0期；近5年内贷款连续逾期期数为1期，其中连续逾期小于等于500元的期数为0期。经客户反馈，该逾期原因为遗忘导致，且该笔贷款现已结清。此记录虽非恶意逾期，但仍反映出实控人过去在信用管理细节上存在疏忽。</w:t>
              <w:br/>
              <w:br/>
              <w:t>四、综合分析</w:t>
              <w:br/>
              <w:t>实控人黄祖海个人征信整体状况尚可。其个人直接负债与信用卡使用额度极低，显示其审慎的个人财务习惯。主要信用关联集中于为其实际控制的福建中锐网络股份有限公司提供融资支持（个人经营贷及对外担保），体现了“企业-实控人”信用联动特征。唯一的历史逾期记录已结清且原因合理，对当前信用评估影响有限。审批需关注其为公司担保的1000万元或有负债，该笔担保的到期日与还款来源材料未提供，需结合企业整体偿债能力进行综合评估。</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材料未提供籍贯信息，材料未提供出生年份。个人征信信息：材料未提供实控人配偶康恩慧的个人征信报告，无法评估其个人信用状况及对外负债情况。该信息缺失影响对实控人家庭整体负债水平、信用状况及还款意愿的全面判断。</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19"/>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19"/>
            <w:r>
              <w:rPr>
                <w:rStyle w:val="CommentReference"/>
              </w:rPr>
              <w:commentReference w:id="19"/>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企业是否属于科技型中小企业、高新技术企业、创新型中小企业、“专精特新”中小企业、专精特新“小巨人”企业、制造业单项冠军企业或国家技术创新示范企业等任一官方认定的科技型企业类型信息。该信息缺失影响对企业技术资质和政策支持资格的判断。</w:t>
              <w:br/>
              <w:br/>
              <w:t>科技型企业评分：材料未提供针对企业的科技型评分信息。该信息缺失影响对企业科技创新能力的量化评估。</w:t>
              <w:br/>
              <w:br/>
              <w:t>研发投入情况：</w:t>
              <w:br/>
              <w:t>①核心研发人员是否享有股权激励：是。</w:t>
              <w:br/>
              <w:t>②近三年研发投入占比及研发人员占比：根据客户提供的研发明细数据，企业近三年研发投入及人员占比如下：2023年研发费用895万元，占营收比例为7.4%，研发人员40人，占总员工比例为44%；2024年研发费用1262万元，占营收比例为14.5%，研发人员38人，占比49%；2025年研发费用1049万元，占营收比例为10.5%，研发人员39人，占比53%。近三年研发投入占比平均为10.8%，研发人员占比平均为48.7%，显示企业持续保持较高的研发投入强度和研发人员集中度。</w:t>
              <w:br/>
              <w:br/>
              <w:t>专利情况：根据补充材料，企业拥有发明专利24项、实用专利6项，权属清晰，不存在瑕疵及涉诉情况。具体情况已单独提供清单。</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经核查客户提供的材料，截至目前，企业在我行的综合效益情况如下：</w:t>
              <w:br/>
              <w:br/>
              <w:t>1.  对公有效户与基本户：材料未提供企业是否在我行开立基本结算账户的信息，亦未明确其是否计入我行对公有效户。若企业基本户未开立在我行，将影响我行对其核心结算资金的归集与监控，削弱业务合作深度。</w:t>
              <w:br/>
              <w:t>2.  日均存款：材料未提供企业在我行的日均存款数据。日均存款是衡量客户资金沉淀与贡献度的关键指标，该数据的缺失使我行无法准确评估客户当前的资金归行水平及综合贡献。</w:t>
              <w:br/>
              <w:t>3.  结算量：材料未提供企业在我行的全年结算量数据。结算量反映了客户与我行的交易活跃度，是评价客户关系紧密程度的重要依据，该信息缺失影响对其业务往来频率和规模的判断。</w:t>
              <w:br/>
              <w:t>4.  代发工资业务：材料未提供企业员工在我行签约代发工资的人数及上年发薪量。代发业务是批量获取零售客户、沉淀低成本资金的重要渠道，该信息缺失使我行无法评估其在零售业务方面的派生价值。</w:t>
              <w:br/>
              <w:t>5.  其他派生业务：根据【补充材料原文】中的银行流水片段，企业曾通过“北京金色华勤数据服务有限公司”代缴外地员工五险一金，但材料未显示此业务是否通过我行渠道办理。此外，未发现其他明确的派生业务合作记录。</w:t>
              <w:br/>
              <w:br/>
              <w:t>综合分析：现有材料主要集中于企业的主营业务、财务数据及资产情况，但缺乏其在我行具体业务往来的定量数据。除一份提及代缴社保的银行流水片段外，无法确认企业在我行是否有存款沉淀、结算流水、代发薪等实质性业务合作。综合效益相关关键数据的普遍缺失，导致无法对客户当前对我行的实际贡献做出有效评估，在授信审批中需关注此信息缺口，并考虑通过客户经理尽调补充或将其作为未来合作深化的切入点。</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企业在我行预计可实现的对公有效户、代发签约及发薪量、日均存款、结算量等具体数据。根据现有材料，企业主营业务为智慧水利与智慧教育，收入结构为水利46%、教育54%，销售收款模式包含预收款和账期款，经营账期管理较为审慎。企业拥有稳定的经营场所（租赁福州大学房产，年租金920万元），且已提供经审计的2023年及2024年财务报表，显示其具备持续经营能力。综合效益的量化预测数据缺失，导致无法准确评估本次授信可能带来的直接存款沉淀、结算流水及代发工资等业务贡献，对审批中综合收益与风险平衡的判断形成一定影响。建议在后续流程中，由客户经理唐梓妍（13665086579）补充企业在我行的具体业务合作计划及预期量化目标。</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根据提供的材料，对借款原因分析如下：</w:t>
              <w:br/>
              <w:br/>
              <w:t>借款人福建中锐网络股份有限公司主营业务为智慧水利与智慧教育，其经营模式决定了营运资金存在周期性占用。材料显示，公司销售收款采用“预收款和账期或全款”方式，而采购付款为“预付款和账期款”方式。尽管公司表示主要采购商给予了较为优越的信用账期，但上游采购仍需预付或分期支付，下游销售则存在账期回款，形成了资金垫付。</w:t>
              <w:br/>
              <w:br/>
              <w:t>从财务数据看，公司营运资金占用明显。截至2024年末，公司应收账款为9253万元，预付款项为222万元；截至2025年12月末（未经审计），应收账款为7430万元。同时，公司存货规模较大，2023年末为2545万元。这些资产科目占用了大量流动资金。另一方面，公司合同负债（预收款项）从2023年末的2528万元下降至2024年末的890万元，显示预收款项减少，对营运资金的补充作用减弱。</w:t>
              <w:br/>
              <w:br/>
              <w:t>公司货币资金相对紧张。截至2024年末，货币资金为506万元；截至2025年12月末，货币资金进一步降至286万元。这与模板中提及的“账上拥有货币资金1500万”情况不符，根据审计报告及近期财务报表，公司账面货币资金远低于该数值。</w:t>
              <w:br/>
              <w:br/>
              <w:t>公司现有银行融资已基本用尽。材料显示，公司在多家银行共有授信额度4640万元，已使用4440万元，使用率高达95.69%，进一步融资空间有限。</w:t>
              <w:br/>
              <w:br/>
              <w:t>综合判断，借款人因业务模式导致营运资金被应收账款及存货占用，账面货币资金紧张，且现有银行授信使用率极高，存在真实的短期流动资金缺口。申请贷款用于补充流动资金的原因合理。</w:t>
              <w:br/>
              <w:br/>
              <w:t>（若申请中期流动资金贷款，请补充分析原因：材料未提供本次申请贷款的具体品种与期限信息，无法判断是否为中期流动资金贷款，因此无法进行针对性分析。该信息缺失影响对借款人长期资金需求与还款来源匹配性的评估。）</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20"/>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20"/>
            <w:r>
              <w:rPr>
                <w:rStyle w:val="CommentReference"/>
              </w:rPr>
              <w:commentReference w:id="20"/>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根据流动资金需求测算，企业营运资金需求：材料未提供。</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原因分析：营运资金需求测算需基于企业最近年度的销售收入、应收账款周转天数、预付账款周转天数、存货周转天数、应付账款周转天数等关键财务数据。经核查【客户材料摘要】、【补充材料原文】、【财务数据锚点】及【企业画像锚点】，材料中提供了2023年及2024年资产负债表部分科目数据，但未提供利润表或最近年度（2024年）的营业收入总额、营业成本等关键测算依据。同时，材料中虽提及“销售收款采用预收款和账期或全款的收款方式”、“采购付款是预付款和账期款方式”，但未提供具体的销售回款周期、采购付款周期等量化数据，无法进行准确的营运资金缺口测算。</w:t>
              <w:br/>
              <w:t>影响说明：由于无法获取测算所需的基础财务数据，本报告暂无法量化企业的营运资金需求。这将对授信审批中判断贷款用途的合理性、贷款额度的适配性以及还款来源的可靠性造成直接影响。建议要求客户补充提供近两年完整的审计报告（含利润表、现金流量表）及主要结算方式的账期说明，以便完成测算。</w:t>
            </w:r>
          </w:p>
          <w:p w14:paraId="64AA94E5">
            <w:pPr>
              <w:pStyle w:val="11"/>
              <w:rPr>
                <w:rFonts w:hint="eastAsia"/>
              </w:rPr>
            </w:pPr>
          </w:p>
          <w:p w14:paraId="1970A0F7">
            <w:commentRangeStart w:id="21"/>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21"/>
            <w:r>
              <w:rPr>
                <w:rStyle w:val="CommentReference"/>
              </w:rPr>
              <w:commentReference w:id="21"/>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 第一还款来源主要为企业主营业务形成的销售回款及经营现金回笼。材料显示水利占比46%、教育占比54%。</w:t>
            </w:r>
            <w:r>
              <w:rPr>
                <w:rFonts w:hint="eastAsia" w:ascii="宋体" w:hAnsi="宋体" w:cs="宋体"/>
                <w:bCs/>
                <w:snapToGrid w:val="0"/>
                <w:kern w:val="0"/>
                <w:sz w:val="21"/>
                <w:szCs w:val="21"/>
                <w:highlight w:val="none"/>
                <w:u w:val="single"/>
                <w:lang w:val="en-US" w:eastAsia="zh-CN"/>
              </w:rPr>
            </w:r>
          </w:p>
          <w:p w14:paraId="0DEB130D">
            <w:commentRangeStart w:id="22"/>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commentRangeEnd w:id="22"/>
            <w:r>
              <w:rPr>
                <w:rStyle w:val="CommentReference"/>
              </w:rPr>
              <w:commentReference w:id="22"/>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w:t>
              <w:br/>
              <w:t>材料未提供申请人近三年的现金流量表及利润表，无法直接分析其经营性现金流净额、净利润及现金生成能力。根据补充材料中子公司数据，主要子公司福建中锐汉鼎信息技术有限公司、福建中锐教育科技有限公司、厦门中锐软件科技有限公司上年净利润均为亏损，仅北京中锐青云科技有限公司实现微利，显示集团整体盈利状况不佳。从增值税申报表推算，申请人2023年、2024年、2025年12月单月计税销售额分别约为2210万元、2404万元、2508万元，显示年度内存在一定规模的经营活动。申请人收入结构为水利（46%）与教育（54%）双轮驱动，下游客户包括涵江水利局等政府及国企单位，回款相对有保障，但前五大客户销售占比合计约31.51%，集中度尚可。上游采购方面，前五大供应商采购占比合计约31.03%，最大供应商锐捷网络采购占比19.77%，存在一定依赖。经营账期方面，申请人采用预收款和账期收款，采购端获得供应商信用账期，有利于营运资金周转。然而，在缺乏完整财务报表的情况下，无法量化评估其经营性现金流对债务本息的覆盖程度，此为授信审批的关键信息缺口。</w:t>
              <w:br/>
              <w:br/>
              <w:t>②第二还款来源（抵质押物变现能力分析及其他渠道现金流分析）：</w:t>
              <w:br/>
              <w:t>材料提供了实际控制人黄祖海及其配偶康恩慧共有的私有房产一处，坐落于仓山区上渡街道通江路17号江南水都·杰座，权属证号为榕房权证R字第0838000号，面积为143.45平方米。材料未提供该房产的账面价值、市场评估价值以及当前是否已设定抵质押。该房产位于福州市仓区，属住宅性质，区域房地产市场交易相对活跃，理论上具备一定的变现能力，但具体价值及变现的难易程度、时效性因缺乏评估数据而无法判断。若以此作为本次授信的担保措施，需进行正式评估并办理抵押登记。</w:t>
              <w:br/>
              <w:t>其他渠道现金流方面，申请人融资情况显示其在多家银行共有敞口授信4640万元，已使用4440万元，银行融资渠道已得到较充分利用。材料未提供关于股权融资计划、投资方引入或其他非经营性现金流入的具体信息。因此，第二还款来源目前主要依赖于上述个人房产的抵押价值，但其有效性和充足性有待核实。</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23"/>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3"/>
            <w:r>
              <w:rPr>
                <w:rStyle w:val="CommentReference"/>
              </w:rPr>
              <w:commentReference w:id="23"/>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commentRangeStart w:id="2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1. 抵押担保（如涉及）：</w:t>
              <w:br/>
              <w:t>根据客户提供的资产明细，本次授信申请涉及一项私有房产抵押。抵押物具体情况如下：</w:t>
              <w:br/>
              <w:t xml:space="preserve">   抵押物类型：住宅。根据房产证号“榕 房权证 R 字第 0838000 号”判断，该房产用途为住宅。</w:t>
              <w:br/>
              <w:t xml:space="preserve">   所有权人：康恩慧、黄祖海。康恩慧为实际控制人黄祖海配偶，黄祖海为福建中锐网络股份有限公司实际控制人。</w:t>
              <w:br/>
              <w:t xml:space="preserve">   坐落位置：仓山区上渡街道通江路17号江南水都·杰座。</w:t>
              <w:br/>
              <w:t xml:space="preserve">   面积：建筑面积143.45平方米。</w:t>
              <w:br/>
              <w:t>*   权属证明：榕 房权证 R 字第 0838000 号。</w:t>
              <w:br/>
              <w:br/>
              <w:t>其他补充说明：</w:t>
              <w:br/>
              <w:t>① 关于土地性质：材料未提供该抵押房产对应的土地使用权证信息，无法判断其土地性质是否为“出让”，需补充核实。</w:t>
              <w:br/>
              <w:t>② 关于租赁情况：材料未提供该抵押物（江南水都·杰座住宅）存在对外出租的信息。但材料显示，借款人福建中锐网络股份有限公司作为承租方，租赁了位于福州大学国家科技园8号楼5层的房屋（面积2523平方米）用于经营，租期至2027年9月30日。该租赁房产并非本次申报的抵押物。</w:t>
              <w:br/>
              <w:t>③ 关于唯一住房：材料未提供抵押物所有权人康恩慧、黄祖海家庭名下其他房产信息，无法判断该抵押住宅是否为其家庭唯一住房。需进一步核实权利人别处可供居住的房屋情况，以确认抵押物的有效性和处置可行性。</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commentRangeEnd w:id="24"/>
            <w:r>
              <w:rPr>
                <w:rStyle w:val="CommentReference"/>
              </w:rPr>
              <w:commentReference w:id="24"/>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②保证人化型及对公PD X级（注意是否符合保证人准入要求）</w:t>
              <w:br/>
              <w:t>材料未提供保证人信息。根据客户材料，本次授信申报主体为福建中锐网络股份有限公司，材料中未提及存在第三方公司为该笔授信提供担保。因此，本节“公司担保”不涉及，无需分析保证人情况。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经核查，本次授信申报材料未涉及由我行认可的专业担保公司提供担保。根据【客户材料摘要】中融资明细第2条“海峡银行-金山支行”的授信记录，其担保方包括“福州市融资担保有限公司”，但该笔业务为存量授信，并非本次申报的授信方案。本次申报材料中，未提供任何关于新增专业担保公司担保的合同、意向函或准入审批文件。</w:t>
              <w:br/>
              <w:br/>
              <w:t>因此，本节无需阐述我行内部对担保公司的审批结论（如额度、风险分担比例等），亦无法获取并分析担保公司截至上报日的最新担保情况（包括对外担保总额、我行担保余额、净资产和担保倍率等）。本次授信方案为信用方式，不涉及第三方专业担保。</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25"/>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br/>
              <w:t>围绕“现金流、杠杆率、可持续、垒小户、配结算、强担保”六要素进行综合评判：</w:t>
              <w:br/>
              <w:br/>
              <w:t>1.  现金流：材料提供了部分现金流量数据。根据2024年度审计报告，公司经营活动产生的现金流量净额为-896万元，销售商品、提供劳务收到的现金为4890万元。根据2025年12月财务报表（未经审计），销售商品、提供劳务收到的现金为10385万元。材料未提供2025年度完整的现金流量表，特别是经营活动现金流量净额，无法判断其2025年经营性现金流是否已转正。2024年经营性现金流为负，显示其主营业务回款与付现支出存在缺口，对短期偿债能力构成压力。</w:t>
              <w:br/>
              <w:br/>
              <w:t>2.  杠杆率：材料未提供公司最近年度的资产负债表，无法计算其资产负债率、流动比率、速动比率等关键财务杠杆及偿债指标。但根据融资明细，公司已获得多家银行合计4640万元授信，已使用4440万元，银行融资使用率高达95.69%，显示其对外部融资依赖度极高，财务杠杆处于高位。材料未提供所有者权益数据，无法评估其整体负债与资本的匹配情况。</w:t>
              <w:br/>
              <w:br/>
              <w:t>3.  可持续：</w:t>
              <w:br/>
              <w:t xml:space="preserve">       经营可持续性：公司主营业务聚焦智慧水利与智慧教育，符合国家政策导向。在智慧水利领域拥有自主研发能力，相关方案已应用于福建省300余座水库，并获得省级科技奖项，具备一定的技术壁垒和客户基础。在智慧教育领域与超1000所高校及科研院所合作，服务1600多家政企客户。收入结构均衡，水利与教育占比分别为46%和54%。审计报告（2023年、2024年）中，注册会计师均提及对管理层使用持续经营假设的恰当性进行评估并得出结论，但材料未提供具体的审计意见类型及结论全文，无法直接判断审计机构对其持续经营能力是否存在重大疑虑。</w:t>
              <w:br/>
              <w:t xml:space="preserve">       财务可持续性：材料未提供2023年及2024年完整的利润表数据。从2024年审计报告片段中可见，2024年利润总额为500万元，净利润为329万元（注：此数据源自报告片段，需核对完整报表）。材料未提供2025年利润数据。结合其高融资使用率及2024年经营性现金流为负的情况，其盈利对债务的覆盖能力及自身造血能力有待进一步核实。</w:t>
              <w:br/>
              <w:br/>
              <w:t>4.  垒小户：公司在我行暂无存量授信。但其在他行融资总额度4640万元，已用4440万元，融资机构达7家，包括交通银行、海峡银行、厦门国际银行、兴业银行、工商银行、中国银行、广发银行，存在明显的多头融资情况。本次新增授信需审慎评估是否加剧客户过度融资风险。</w:t>
              <w:br/>
              <w:br/>
              <w:t>5.  配结算：材料提供了公司主要结算账户信息（交通银行福建省分红大楼营业部），但未提供该账户的银行流水EXCEL版本或其他账户的流水材料，无法核实其日常经营结算量、现金流规模及归行情况。材料未提供其在我行是否已开立结算账户及往来情况。</w:t>
              <w:br/>
              <w:br/>
              <w:t>6.  强担保：根据融资明细，现有银行融资中，部分由实际控制人黄祖海及其关联人（陈其俤）提供保证，部分由福州市融资担保有限公司等提供担保。客户材料中列示了实际控制人黄祖海及其配偶康恩慧共有的私有房产一处（坐落于仓山区上渡街道通江路17号江南水都·杰座，面积143.45平方米），可作为潜在增信措施。材料未提供该房产的评估价值信息。</w:t>
              <w:br/>
              <w:br/>
              <w:t>综合评判与授信方案建议：</w:t>
              <w:br/>
              <w:br/>
              <w:t>准入评判：客户主营业务符合国家产业政策，在细分领域具备一定的技术实力和客户资源，经营基本面尚可。但主要风险点在于：财务数据披露不完整，特别是缺乏资产负债表及2025年完整现金流量表，无法准确评估其真实杠杆水平与偿债能力；2024年经营性现金流为负；在他行融资规模较大且使用率极高，存在显著的多头融资与过度融资特征；审计报告中对持续经营能力的评估结论未明。基于审慎原则，在关键财务数据补齐、过度融资问题得到合理解释或有效缓释前，暂不具备准入条件。</w:t>
              <w:br/>
              <w:br/>
              <w:t>授信方案建议：</w:t>
              <w:br/>
              <w:t>若后续能补充完整财务数据（近三年审计报告及最新财务报表，重点为资产负债表、现金流量表）并合理解释融资需求，可考虑有限支持。建议方案如下：</w:t>
              <w:br/>
              <w:t>1.  授信额度：根据材料未提供的营收规模及实际资金需求审慎核定，原则上应控制在他行融资总额的一定比例以下，避免加剧垒大户风险。</w:t>
              <w:br/>
              <w:t>2.  授信品种：短期流动资金贷款，用于明确的生产经营周转。</w:t>
              <w:br/>
              <w:t>3.  期限：不超过1年，与经营周期匹配。</w:t>
              <w:br/>
              <w:t>4.  担保措施：必须落实强担保组合。要求实际控制人黄祖海及其配偶康恩慧提供个人无限连带责任保证担保；并追加其名下已披露的房产（仓山区上渡街道通江路17号江南水都·杰座）办理抵押担保，需先行评估价值并确保抵押足值。可考虑引入专业担保公司提供保证。</w:t>
              <w:br/>
              <w:t>5.  定价：根据风险水平，执行不低于同业的普惠贷款定价。</w:t>
              <w:br/>
              <w:br/>
              <w:t>贷后管控措施：</w:t>
              <w:br/>
              <w:t>1.  资金用途监控：严格执行受托支付，确保贷款资金用于真实采购支付，合同对手方需与其主要上游供应商匹配。</w:t>
              <w:br/>
              <w:t>2.  结算归行要求：将主要结算账户设至我行，并约定最低结算流水归行比例，监控其销售回款情况。</w:t>
              <w:br/>
              <w:t>3.  财务数据持续监测：要求定期提供财务报表，重点关注经营性现金流、资产负债率及在他行融资的变化情况。</w:t>
              <w:br/>
              <w:t>4.  预警机制：若出现他行授信大幅增加、经营性现金流持续为负、融资担保条件弱化等情况，需及时启动风险排查。</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commentRangeEnd w:id="25"/>
            <w:r>
              <w:rPr>
                <w:rStyle w:val="CommentReference"/>
              </w:rPr>
              <w:commentReference w:id="25"/>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现金流：根据审计报告，借款人2023年度经营活动产生的现金流量净额为269万元（112072779.26元 - 109379398.13元），2024年度经营活动现金流量净额材料未提供。2024年度现金及现金等价物净增加额为-1015万元，期末现金及现金等价物余额为506万元。材料未提供2025年现金流预测及日常经营周转的具体数据。现有数据显示经营活动现金流为正，但期末现金余额较低，对短期债务的覆盖能力需结合具体负债结构进一步评估。</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材料未提供资产负债率、流动比率等关键财务指标。从融资情况看，借款人已用银行融资总额为4440万元，显示其对外部融资依赖度较高。由于缺乏完整的资产负债表数据，无法准确评估其整体负债水平和偿债能力，对审批判断构成重大信息缺口。</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业务为智慧水利与智慧教育，符合国家政策导向。在智慧水利领域，其解决方案已应用于福建省300+座水库，并获省级科技奖项，显示一定的技术实力和市场基础。在智慧教育领域，与超1000所高校及科研院所有合作，服务1600多家政企客户。公司下设多家子公司专注细分领域。但材料未提供公司成立时间、人员规模、核心技术团队构成及产能利用情况。基于现有业务布局和客户基础，其业务具备一定可持续性，但具体经营稳定性和扩张能力信息不足。</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多头贷款、交叉授信、超融）：借款人当前在交通银行、海峡银行、厦门国际银行、兴业银行、工商银行、中国银行、广发银行共计7家机构有授信，授信总额4640万元，已用信4440万元，整体用信率高达95.7%。我行此次申请敞口额度材料未提供具体金额。现有融资均为流贷类短期贷款，担保方式涉及信用、实控人保证及第三方担保。借款人融资银行数量较多，用信率处于高位，需警惕多头融资及过度依赖短期流贷可能引发的流动性风险。</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配结算：材料未提供借款人是否已在我行开户、开户时间及历史结算流水情况。无法判断其与我行的结算合作紧密度，对后续综合收益贡献评估存在影响。</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根据资产明细，实际控制人黄祖海及其配偶康恩慧共同拥有坐落于仓山区上渡街道通江路17号江南水都·杰座的私有房产一套，面积143.45平方米，权证号为榕房权证R字第0838000号。此房产可作为增信措施。材料未提供该房产的评估价值。借款人他行贷款担保方式包括信用、实控人及第三方保证，仅海峡银行贷款明确由融资担保公司提供担保。我行此次申请授信的担保方案材料未提供。</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分析，借款人主营业务符合政策导向，有一定技术和客户基础。但主要财务数据缺失，融资银行多且用信率高，现金流和担保措施信息不完整，目前无法形成明确的准入综合评判。建议补充完整财务报表（特别是资产负债表）、本次申请具体方案（金额、用途、担保）及实控人房产估值等信息后再行审议。</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26"/>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26"/>
            <w:r>
              <w:rPr>
                <w:rStyle w:val="CommentReference"/>
              </w:rPr>
              <w:commentReference w:id="26"/>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2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7"/>
            <w:r>
              <w:rPr>
                <w:rStyle w:val="CommentReference"/>
              </w:rPr>
              <w:commentReference w:id="27"/>
            </w:r>
          </w:p>
          <w:p w14:paraId="6AC425A6">
            <w:commentRangeStart w:id="2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28"/>
            <w:r>
              <w:rPr>
                <w:rStyle w:val="CommentReference"/>
              </w:rPr>
              <w:commentReference w:id="28"/>
            </w:r>
          </w:p>
          <w:p w14:paraId="2FC82B07">
            <w:commentRangeStart w:id="29"/>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9"/>
            <w:r>
              <w:rPr>
                <w:rStyle w:val="CommentReference"/>
              </w:rPr>
              <w:commentReference w:id="29"/>
            </w:r>
          </w:p>
          <w:p w14:paraId="269107E9">
            <w:commentRangeStart w:id="30"/>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30"/>
            <w:r>
              <w:rPr>
                <w:rStyle w:val="CommentReference"/>
              </w:rPr>
              <w:commentReference w:id="30"/>
            </w:r>
          </w:p>
          <w:p w14:paraId="3096CC3B">
            <w:commentRangeStart w:id="31"/>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31"/>
            <w:r>
              <w:rPr>
                <w:rStyle w:val="CommentReference"/>
              </w:rPr>
              <w:commentReference w:id="31"/>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32"/>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2"/>
            <w:r>
              <w:rPr>
                <w:rStyle w:val="CommentReference"/>
              </w:rPr>
              <w:commentReference w:id="32"/>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33"/>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3"/>
            <w:r>
              <w:rPr>
                <w:rStyle w:val="CommentReference"/>
              </w:rPr>
              <w:commentReference w:id="33"/>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4:44:19Z" w:initials="Agent">
    <w:p>
      <w:r>
        <w:rPr>
          <w:rStyle w:val="CommentReference"/>
        </w:rPr>
        <w:annotationRef/>
      </w:r>
      <w:r>
        <w:t xml:space="preserve">该处“申报单位”仍为空白，请人工确认。</w:t>
      </w:r>
    </w:p>
  </w:comment>
  <w:comment w:id="1" w:author="信贷报告 Agent" w:date="2026-04-13T14:44:19Z" w:initials="Agent">
    <w:p>
      <w:r>
        <w:rPr>
          <w:rStyle w:val="CommentReference"/>
        </w:rPr>
        <w:annotationRef/>
      </w:r>
      <w:r>
        <w:t xml:space="preserve">该处“小类）”仍为空白，请人工确认。</w:t>
      </w:r>
    </w:p>
  </w:comment>
  <w:comment w:id="2" w:author="信贷报告 Agent" w:date="2026-04-13T14:44:19Z" w:initials="Agent">
    <w:p>
      <w:r>
        <w:rPr>
          <w:rStyle w:val="CommentReference"/>
        </w:rPr>
        <w:annotationRef/>
      </w:r>
      <w:r>
        <w:t xml:space="preserve">该处“绿通标识”仍为空白，请人工确认。</w:t>
      </w:r>
    </w:p>
  </w:comment>
  <w:comment w:id="3" w:author="信贷报告 Agent" w:date="2026-04-13T14:44:19Z" w:initials="Agent">
    <w:p>
      <w:r>
        <w:rPr>
          <w:rStyle w:val="CommentReference"/>
        </w:rPr>
        <w:annotationRef/>
      </w:r>
      <w:r>
        <w:t xml:space="preserve">该处“注册资本”仍为空白，请人工确认。</w:t>
      </w:r>
    </w:p>
  </w:comment>
  <w:comment w:id="4" w:author="信贷报告 Agent" w:date="2026-04-13T14:44:19Z" w:initials="Agent">
    <w:p>
      <w:r>
        <w:rPr>
          <w:rStyle w:val="CommentReference"/>
        </w:rPr>
        <w:annotationRef/>
      </w:r>
      <w:r>
        <w:t xml:space="preserve">该处“过往两年企业股权变动情况及变动原因”仍为空白，请人工确认。</w:t>
      </w:r>
    </w:p>
  </w:comment>
  <w:comment w:id="5" w:author="信贷报告 Agent" w:date="2026-04-13T14:44:19Z" w:initials="Agent">
    <w:p>
      <w:r>
        <w:rPr>
          <w:rStyle w:val="CommentReference"/>
        </w:rPr>
        <w:annotationRef/>
      </w:r>
      <w:r>
        <w:t xml:space="preserve">该处“分析原因”仍为空白，请人工确认。</w:t>
      </w:r>
    </w:p>
  </w:comment>
  <w:comment w:id="6" w:author="信贷报告 Agent" w:date="2026-04-13T14:44:19Z" w:initials="Agent">
    <w:p>
      <w:r>
        <w:rPr>
          <w:rStyle w:val="CommentReference"/>
        </w:rPr>
        <w:annotationRef/>
      </w:r>
      <w:r>
        <w:t xml:space="preserve">该处“主要下游（前五大）”仍为空白，请人工确认。</w:t>
      </w:r>
    </w:p>
  </w:comment>
  <w:comment w:id="7" w:author="信贷报告 Agent" w:date="2026-04-13T14:44:19Z" w:initials="Agent">
    <w:p>
      <w:r>
        <w:rPr>
          <w:rStyle w:val="CommentReference"/>
        </w:rPr>
        <w:annotationRef/>
      </w:r>
      <w:r>
        <w:t xml:space="preserve">该处“主要构成及趋势变动情况”仍为空白，请人工确认。</w:t>
      </w:r>
    </w:p>
  </w:comment>
  <w:comment w:id="8" w:author="信贷报告 Agent" w:date="2026-04-13T14:44:19Z" w:initials="Agent">
    <w:p>
      <w:r>
        <w:rPr>
          <w:rStyle w:val="CommentReference"/>
        </w:rPr>
        <w:annotationRef/>
      </w:r>
      <w:r>
        <w:t xml:space="preserve">该处“主要构成及趋势变动情况”仍为空白，请人工确认。</w:t>
      </w:r>
    </w:p>
  </w:comment>
  <w:comment w:id="9" w:author="信贷报告 Agent" w:date="2026-04-13T14:44:19Z" w:initials="Agent">
    <w:p>
      <w:r>
        <w:rPr>
          <w:rStyle w:val="CommentReference"/>
        </w:rPr>
        <w:annotationRef/>
      </w:r>
      <w:r>
        <w:t xml:space="preserve">该处“主要构成及趋势变动情况”仍为空白，请人工确认。</w:t>
      </w:r>
    </w:p>
  </w:comment>
  <w:comment w:id="10" w:author="信贷报告 Agent" w:date="2026-04-13T14:44:19Z" w:initials="Agent">
    <w:p>
      <w:r>
        <w:rPr>
          <w:rStyle w:val="CommentReference"/>
        </w:rPr>
        <w:annotationRef/>
      </w:r>
      <w:r>
        <w:t xml:space="preserve">该处“主要构成及趋势变动情况”仍为空白，请人工确认。</w:t>
      </w:r>
    </w:p>
  </w:comment>
  <w:comment w:id="11" w:author="信贷报告 Agent" w:date="2026-04-13T14:44:19Z" w:initials="Agent">
    <w:p>
      <w:r>
        <w:rPr>
          <w:rStyle w:val="CommentReference"/>
        </w:rPr>
        <w:annotationRef/>
      </w:r>
      <w:r>
        <w:t xml:space="preserve">该处“（7）主营业务收入变动原因”仍为空白，请人工确认。</w:t>
      </w:r>
    </w:p>
  </w:comment>
  <w:comment w:id="12" w:author="信贷报告 Agent" w:date="2026-04-13T14:44:19Z" w:initials="Agent">
    <w:p>
      <w:r>
        <w:rPr>
          <w:rStyle w:val="CommentReference"/>
        </w:rPr>
        <w:annotationRef/>
      </w:r>
      <w:r>
        <w:t xml:space="preserve">该处“（8）盈利能力变动原因”仍为空白，请人工确认。</w:t>
      </w:r>
    </w:p>
  </w:comment>
  <w:comment w:id="13" w:author="信贷报告 Agent" w:date="2026-04-13T14:44:19Z" w:initials="Agent">
    <w:p>
      <w:r>
        <w:rPr>
          <w:rStyle w:val="CommentReference"/>
        </w:rPr>
        <w:annotationRef/>
      </w:r>
      <w:r>
        <w:t xml:space="preserve">该处“分析投入及资金安排）”仍为空白，请人工确认。</w:t>
      </w:r>
    </w:p>
  </w:comment>
  <w:comment w:id="14" w:author="信贷报告 Agent" w:date="2026-04-13T14:44:19Z" w:initials="Agent">
    <w:p>
      <w:r>
        <w:rPr>
          <w:rStyle w:val="CommentReference"/>
        </w:rPr>
        <w:annotationRef/>
      </w:r>
      <w:r>
        <w:t xml:space="preserve">该处“如有请说明）”仍为空白，请人工确认。</w:t>
      </w:r>
    </w:p>
  </w:comment>
  <w:comment w:id="15" w:author="信贷报告 Agent" w:date="2026-04-13T14:44:19Z" w:initials="Agent">
    <w:p>
      <w:r>
        <w:rPr>
          <w:rStyle w:val="CommentReference"/>
        </w:rPr>
        <w:annotationRef/>
      </w:r>
      <w:r>
        <w:t xml:space="preserve">该处“最近三年现金流量表分析”仍为空白，请人工确认。</w:t>
      </w:r>
    </w:p>
  </w:comment>
  <w:comment w:id="16" w:author="信贷报告 Agent" w:date="2026-04-13T14:44:19Z" w:initials="Agent">
    <w:p>
      <w:r>
        <w:rPr>
          <w:rStyle w:val="CommentReference"/>
        </w:rPr>
        <w:annotationRef/>
      </w:r>
      <w:r>
        <w:t xml:space="preserve">该处“反馈中长期借款还款计划及还款资金安排情况”仍为空白，请人工确认。</w:t>
      </w:r>
    </w:p>
  </w:comment>
  <w:comment w:id="17" w:author="信贷报告 Agent" w:date="2026-04-13T14:44:19Z" w:initials="Agent">
    <w:p>
      <w:r>
        <w:rPr>
          <w:rStyle w:val="CommentReference"/>
        </w:rPr>
        <w:annotationRef/>
      </w:r>
      <w:r>
        <w:t xml:space="preserve">该处“（若有）对外担保情况”仍为空白，请人工确认。</w:t>
      </w:r>
    </w:p>
  </w:comment>
  <w:comment w:id="18" w:author="信贷报告 Agent" w:date="2026-04-13T14:44:19Z" w:initials="Agent">
    <w:p>
      <w:r>
        <w:rPr>
          <w:rStyle w:val="CommentReference"/>
        </w:rPr>
        <w:annotationRef/>
      </w:r>
      <w:r>
        <w:t xml:space="preserve">该处“（若有）不良记录情况”仍为空白，请人工确认。</w:t>
      </w:r>
    </w:p>
  </w:comment>
  <w:comment w:id="19" w:author="信贷报告 Agent" w:date="2026-04-13T14:44:19Z" w:initials="Agent">
    <w:p>
      <w:r>
        <w:rPr>
          <w:rStyle w:val="CommentReference"/>
        </w:rPr>
        <w:annotationRef/>
      </w:r>
      <w:r>
        <w:t xml:space="preserve">该处“科技型企业评分”仍为空白，请人工确认。</w:t>
      </w:r>
    </w:p>
  </w:comment>
  <w:comment w:id="20" w:author="信贷报告 Agent" w:date="2026-04-13T14:44:19Z" w:initials="Agent">
    <w:p>
      <w:r>
        <w:rPr>
          <w:rStyle w:val="CommentReference"/>
        </w:rPr>
        <w:annotationRef/>
      </w:r>
      <w:r>
        <w:t xml:space="preserve">该处“请补充分析原因”仍为空白，请人工确认。</w:t>
      </w:r>
    </w:p>
  </w:comment>
  <w:comment w:id="21" w:author="信贷报告 Agent" w:date="2026-04-13T14:44:19Z" w:initials="Agent">
    <w:p>
      <w:r>
        <w:rPr>
          <w:rStyle w:val="CommentReference"/>
        </w:rPr>
        <w:annotationRef/>
      </w:r>
      <w:r>
        <w:t xml:space="preserve">该处“请补充说明”仍为空白，请人工确认。</w:t>
      </w:r>
    </w:p>
  </w:comment>
  <w:comment w:id="22" w:author="信贷报告 Agent" w:date="2026-04-13T14:44:19Z" w:initials="Agent">
    <w:p>
      <w:r>
        <w:rPr>
          <w:rStyle w:val="CommentReference"/>
        </w:rPr>
        <w:annotationRef/>
      </w:r>
      <w:r>
        <w:t xml:space="preserve">该处“质押物变现能力分析及其他渠道现金流分析）”仍为空白，请人工确认。</w:t>
      </w:r>
    </w:p>
  </w:comment>
  <w:comment w:id="23" w:author="信贷报告 Agent" w:date="2026-04-13T14:44:19Z" w:initials="Agent">
    <w:p>
      <w:r>
        <w:rPr>
          <w:rStyle w:val="CommentReference"/>
        </w:rPr>
        <w:annotationRef/>
      </w:r>
      <w:r>
        <w:t xml:space="preserve">该处“变动原因”仍为空白，请人工确认。</w:t>
      </w:r>
    </w:p>
  </w:comment>
  <w:comment w:id="24" w:author="信贷报告 Agent" w:date="2026-04-13T14:44:19Z" w:initials="Agent">
    <w:p>
      <w:r>
        <w:rPr>
          <w:rStyle w:val="CommentReference"/>
        </w:rPr>
        <w:annotationRef/>
      </w:r>
      <w:r>
        <w:t xml:space="preserve">该处“抵押担保（如涉及）”仍为空白，请人工确认。</w:t>
      </w:r>
    </w:p>
  </w:comment>
  <w:comment w:id="25" w:author="信贷报告 Agent" w:date="2026-04-13T14:44:19Z" w:initials="Agent">
    <w:p>
      <w:r>
        <w:rPr>
          <w:rStyle w:val="CommentReference"/>
        </w:rPr>
        <w:annotationRef/>
      </w:r>
      <w:r>
        <w:t xml:space="preserve">该处“（十一）经营单位授信申报结论及方案”仍为空白，请人工确认。</w:t>
      </w:r>
    </w:p>
  </w:comment>
  <w:comment w:id="26" w:author="信贷报告 Agent" w:date="2026-04-13T14:44:19Z" w:initials="Agent">
    <w:p>
      <w:r>
        <w:rPr>
          <w:rStyle w:val="CommentReference"/>
        </w:rPr>
        <w:annotationRef/>
      </w:r>
      <w:r>
        <w:t xml:space="preserve">该处“予借款人授信敞口1000万元，”仍为模板占位符，请人工核实。</w:t>
      </w:r>
    </w:p>
  </w:comment>
  <w:comment w:id="27" w:author="信贷报告 Agent" w:date="2026-04-13T14:44:19Z" w:initials="Agent">
    <w:p>
      <w:r>
        <w:rPr>
          <w:rStyle w:val="CommentReference"/>
        </w:rPr>
        <w:annotationRef/>
      </w:r>
      <w:r>
        <w:t xml:space="preserve">该处“客户经理”仍为空白，请人工确认。</w:t>
      </w:r>
    </w:p>
  </w:comment>
  <w:comment w:id="28" w:author="信贷报告 Agent" w:date="2026-04-13T14:44:19Z" w:initials="Agent">
    <w:p>
      <w:r>
        <w:rPr>
          <w:rStyle w:val="CommentReference"/>
        </w:rPr>
        <w:annotationRef/>
      </w:r>
      <w:r>
        <w:t xml:space="preserve">该处“共同调查人”仍为空白，请人工确认。</w:t>
      </w:r>
    </w:p>
  </w:comment>
  <w:comment w:id="29" w:author="信贷报告 Agent" w:date="2026-04-13T14:44:19Z" w:initials="Agent">
    <w:p>
      <w:r>
        <w:rPr>
          <w:rStyle w:val="CommentReference"/>
        </w:rPr>
        <w:annotationRef/>
      </w:r>
      <w:r>
        <w:t xml:space="preserve">该处“二级支行行长”仍为空白，请人工确认。</w:t>
      </w:r>
    </w:p>
  </w:comment>
  <w:comment w:id="30" w:author="信贷报告 Agent" w:date="2026-04-13T14:44:19Z" w:initials="Agent">
    <w:p>
      <w:r>
        <w:rPr>
          <w:rStyle w:val="CommentReference"/>
        </w:rPr>
        <w:annotationRef/>
      </w:r>
      <w:r>
        <w:t xml:space="preserve">该处“分管行长”仍为空白，请人工确认。</w:t>
      </w:r>
    </w:p>
  </w:comment>
  <w:comment w:id="31" w:author="信贷报告 Agent" w:date="2026-04-13T14:44:19Z" w:initials="Agent">
    <w:p>
      <w:r>
        <w:rPr>
          <w:rStyle w:val="CommentReference"/>
        </w:rPr>
        <w:annotationRef/>
      </w:r>
      <w:r>
        <w:t xml:space="preserve">该处“行长”仍为空白，请人工确认。</w:t>
      </w:r>
    </w:p>
  </w:comment>
  <w:comment w:id="32" w:author="信贷报告 Agent" w:date="2026-04-13T14:44:19Z" w:initials="Agent">
    <w:p>
      <w:r>
        <w:rPr>
          <w:rStyle w:val="CommentReference"/>
        </w:rPr>
        <w:annotationRef/>
      </w:r>
      <w:r>
        <w:t xml:space="preserve">该处“审查员”仍为空白，请人工确认。</w:t>
      </w:r>
    </w:p>
  </w:comment>
  <w:comment w:id="33" w:author="信贷报告 Agent" w:date="2026-04-13T14:44:19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