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PD评级：[待补充]级【上一期授信评级：[待补充]级】</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18日，经营地址（坐落地点、场地面积、自有或租用、是否已对外抵押）：位于福州市马尾区罗星东路2号海峡经贸广场1#楼A615室（自贸试验区内）。材料未提供该经营场所的场地面积、产权性质（自有或租用）及抵押情况信息。该信息缺失影响对借款人经营稳定性和潜在抵押物价值的判断。</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实际主营业务（请勿直接罗列营业执照经营范围表述）：公司主营业务为智慧水利与智慧教育解决方案的研发、销售与技术服务。智慧水利业务聚焦于水灾害、水工程、水资源等六大重点应用，提供包括大坝安全智能监测平台、智慧水利流域四预系统等解决方案，已应用于福建省内300余座水库。智慧教育业务聚焦网络、人工智能等领域，提供数字人才培养解决方案，与全国超过1000所高校及科研院所合作，服务1600多家政企客户。2025年收入结构为水利占比46%、教育占比54%。</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commentRangeEnd w:id="3"/>
            <w:r>
              <w:rPr>
                <w:rStyle w:val="CommentReference"/>
              </w:rPr>
              <w:commentReference w:id="3"/>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已取得资质情况：材料未提供排污许可证、排污登记回执或其他行业特定经营资质（如信息系统集成资质等）信息。作为信息技术服务企业，其核心资质缺失情况需进一步核实，可能影响对其业务合规性与专业能力的评估。上年度末社保人数：材料未提供。注册资本：4100万元。实收资本：材料未提供。</w:t>
              <w:br/>
              <w:t>法定代表人：材料未提供法定代表人姓名。根据企业画像锚点，实际控制人为黄祖海。最新股权结构表：材料未提供。过往两年企业股权变动情况及变动原因：材料未提供。</w:t>
              <w:br/>
              <w:t>股权穿透后实际控制人持股比例：实际控制人为黄祖海。材料未提供其直接或间接持有福建中锐网络股份有限公司的具体股权比例。</w:t>
            </w:r>
            <w:r>
              <w:rPr>
                <w:rFonts w:hint="eastAsia" w:ascii="宋体" w:hAnsi="宋体" w:cs="宋体"/>
                <w:snapToGrid w:val="0"/>
                <w:kern w:val="0"/>
                <w:szCs w:val="21"/>
                <w:highlight w:val="none"/>
                <w:u w:val="single"/>
                <w:lang w:val="en-US" w:eastAsia="zh-CN"/>
              </w:rPr>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材料未提供本次授信申报前与实控人黄祖海的面访记录。根据现有材料，无法确认面访时间、双方会面人员等关键信息。</w:t>
              <w:br/>
              <w:br/>
              <w:t>原因及影响分析：实控人面访是授信审批中评估第一还款来源意愿、验证经营信息真实性、了解管理层经营思路与品行的重要环节。本次申报材料中缺乏该环节记录，导致审批人无法直接对实控人黄祖海的行业经验、经营风格、个人品行及还款意愿形成直观判断。尽管从【客户材料摘要】中可提取其实控人黄祖海的简历信息（湖南大学本科学历，自2000年起长期在信息技术行业从事技术及管理工作，2012年创立中锐网络并任职至今），显示其具备较深的行业技术背景和超过十年的企业掌舵经验，但缺少面对面沟通，难以评估其当前对企业经营状况、行业前景的认知深度，以及对本行授信的真实用途与还款安排的陈述。这增加了信息不对称风险，在审批决策时需更依赖于企业提供的书面材料、财务数据及第三方佐证信息进行交叉验证。建议在条件允许时安排对实控人的面谈或电话访谈，以弥补此环节的信息缺失。</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的具体描述。根据现有材料，无法核实企业车间运作、存货现场状况、内部办公区人员及管理等情况。该信息缺失影响对客户生产经营真实性、现场管理规范性以及存货等资产实际状况的直观判断，需在后续审批环节通过补充现场尽调或影像资料予以核实。</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经核查，借款人与我行自2017年起建立授信合作关系，系存量客户。近三年我行对其授信敞口额度分别为：2023年400万元、2024年499万元、2025年473万元。该额度使用情况与财务数据锚点中“短期借款”科目金额（2023年4000万元、2024年4990万元、2025年4730万元）高度吻合，表明我行贷款为其主要短期融资来源，合作基础稳固。</w:t>
              <w:br/>
              <w:br/>
              <w:t>历史合作期间，借款人还款记录正常，未发生逾期或欠息。从财务表现看，近三年公司均保持盈利（净利润分别为393万元、329万元、494万元），具备稳定的付息能力。其主营业务聚焦智慧水利与智慧教育，符合国家政策导向，业务结构清晰（水利占比46%、教育占比54%）。</w:t>
              <w:br/>
              <w:br/>
              <w:t>材料未提供历史授信项下具体贷款产品的种类、利率、担保方式及资金用途等详细档案信息。这在一定程度上影响了对历史合作全貌及风险定价策略的评估，但基于其持续使用我行贷款并正常履约的事实，可初步判断为合作良好的客户。本次续作授信有助于巩固银企关系，并基于其业务增长（2025年营收10，10万元）提供持续金融支持。</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材料未提供截至查询日期年份。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材料未提供截至查询日期月份。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材料未提供截至查询日期日。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材料未提供借款人提贷日期年份。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材料未提供借款人提贷日期月份。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材料未提供提贷金额。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经查询本行531系统，未发现针对福建中锐网络股份有限公司及其法定代表人、实际控制人黄祖海的黄色或红色预警信号。材料未提供关于法定代表人信用卡逾期记录的信息，无法核实相关风险信号。根据现有材料，企业及其实控人无公开的重大负面信用记录。</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5"/>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5"/>
            <w:r>
              <w:rPr>
                <w:rStyle w:val="CommentReference"/>
              </w:rPr>
              <w:commentReference w:id="5"/>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根据其身份证号（350124197704201694）推断为1977年4月出生，籍贯为福建省福州市（身份证号前六位350124对应福建省福州市闽侯县）。材料未提供其婚姻状况信息，但根据【企业画像锚点】及【客户材料摘要】，其实控人配偶为康恩慧。其学历为湖南大学电子商务专业本科。行业工作经历如下：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根据公司章程，董事长为公司法定代表人。</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与法定代表人为同一人）。其国籍、出生年份、籍贯、学历、行业工作经历及配偶信息同上。材料未提供其个人及家庭资产、对外投资、负债及信用记录等详细信息，无法评估其个人财务实力及或有负债风险，对全面评估实控人偿债意愿与能力形成信息缺口。</w:t>
              <w:br/>
              <w:t>分析：实控人黄祖海在信息技术行业拥有超过20年的从业经验，技术背景扎实，且自2012年起即作为创始人及核心管理者主导公司经营，行业经验与管理经验丰富，管理层稳定性强。其长期深耕网络技术领域，与公司当前智慧水利、智慧教育的主营业务方向匹配度高。但材料未提供其个人征信报告、资产证明及除配偶外的其他家庭成员信息，需关注其个人信用状况及可能存在的家庭连带负债风险。</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企业福建中锐网络股份有限公司（以下简称“中锐网络”）共有5家关联企业，均为其直接控股或绝对控股的子公司。具体股权结构为：福建中锐汉鼎信息技术有限公司、福建中锐教育科技有限公司、北京中锐青云科技有限公司、厦门中锐软件科技有限公司由中锐网络100%控股；中锐海沃水利技术(福建)有限公司由中锐网络84%控股。</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经营情况小结：中锐网络下属关联企业总体经营规模有限，且经营表现分化明显。其中，福建中锐汉鼎信息技术有限公司（主营智慧水利）上年实现主营业务收入1223万元，但净利润为-682万元，处于亏损状态。北京中锐青云科技有限公司（主营产教融合创新服务）上年实现主营业务收入204万元，净利润16万元，为唯一盈利的子公司，且最新获得213万元融资。其余三家子公司福建中锐教育科技有限公司、厦门中锐软件科技有限公司、中锐海沃水利技术(福建)有限公司上年主营业务收入分别为21万元、7万元和0万元，均处于微利或亏损状态，经营贡献度极低。材料未提供关联企业与借款企业之间的具体关联交易及资金往来数据，无法判断其对借款企业资金占用或支持情况，此为审批风险点，需进一步核实。</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福建中锐网络股份有限公司的集团合并财务报表及相关数据。根据【补充材料原文】，该公司拥有多家全资或控股子公司，包括福建中锐汉鼎信息技术有限公司、福建中锐教育科技有限公司、北京中锐青云科技有限公司、厦门中锐软件科技有限公司及中锐海沃水利技术(福建)有限公司。这些子公司与母公司主营业务存在协同，可能构成关联交易。由于缺乏合并口径的财务数据，审批人无法评估集团整体的资产规模、负债结构、盈利能力及现金流状况，特别是无法判断内部关联交易对集团真实经营成果和偿债能力的影响。这增加了对申请人实际财务杠杆、盈利质量及集团内资金调配风险判断的难度。</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企业主营业务为智慧水利与智慧教育两大板块的信息技术综合解决方案服务。根据客户材料，其业务并非芯片设计，模板中的“主营芯片设计”等描述与客户实际情况不符，应予以修正。</w:t>
              <w:br/>
              <w:br/>
              <w:t>智慧水利业务方面，企业积极响应国家水利政策，提供覆盖水灾害、水工程、水资源、水生态水环境、水监督、水政务六大重点应用的解决方案。其核心竞争力体现在自主研发的系列平台，如大坝安全智能监测平台、智慧水利流域四预系统、水库运行管理矩阵平台等，相关技术曾获“2022年度福建省科技进步奖二等奖、水利科学技术奖一等奖”。该系列方案已在福建省超过300座大中小型水库成功应用，形成了区域性落地案例和一定的技术壁垒。下游客户以政府水利部门及水利工程公司为主，例如涵江水利局、三明水利水电工程有限公司顺昌分公司等。</w:t>
              <w:br/>
              <w:br/>
              <w:t>智慧教育业务方面，企业聚焦网络、人工智能、智慧行业领域，提供数字人才培养解决方案，旨在打通产业需求与院校人才培养。其核心竞争力在于广泛的产学研合作网络，已与全国超过1000所高校及科研院所建立合作，并服务了超过1600家政企客户。</w:t>
              <w:br/>
              <w:br/>
              <w:t>从收入结构看，2025年企业两大业务占比相对均衡，其中智慧水利业务收入占比约为46%，智慧教育业务收入占比约为54%。材料未提供更详细的产品线收入构成及各类解决方案的具体单价、毛利率信息，这影响了对各细分产品盈利能力和市场地位的精确评估。</w:t>
              <w:br/>
              <w:br/>
              <w:t>企业经营模式为项目制，采购内容可能包括软硬件设备及外协服务。销售收款采用预收款、账期或全款方式，旨在减少资金垫付；采购付款则享有供应商给予的预付款和账期款方式。材料提供了部分下游客户的销售额及结算方式为“分期”，但未明确披露具体的信用账期天数，亦未提供主要供应商名单及采购账期细节。这使得对企业的营运资金周转效率、上下游议价能力的量化分析存在困难。</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企业主营业务为智慧水利与智慧教育解决方案的研发、销售与集成服务，属于技术密集型行业。其核心竞争力主要体现在技术资质、市场应用及产学研合作三个方面。</w:t>
              <w:br/>
              <w:br/>
              <w:t>首先，企业具备较高的技术准入门槛与资质。根据补充材料，企业为“福建省认定机构2025年认定报备的第二批高新技术企业”，该资质需满足《高新技术企业认定管理办法》中关于核心自主知识产权、研发投入、科技人员占比等多重严格条件，表明企业具备持续的自主研发能力与技术积累。具体在智慧水利领域，企业自主研发了“大坝安全智能监测平台”、“智慧水利流域四预系统”等系列解决方案，并荣获“2022年度福建省科技进步奖二等奖、水利科学技术奖一等奖”，这是对其技术先进性与创新性的官方认可，构成了显著的产品技术壁垒。</w:t>
              <w:br/>
              <w:br/>
              <w:t>其次，企业的产品已形成规模化市场应用，客户基础稳定。在智慧水利板块，其解决方案已成功应用于“福建省300+座大中小型水库”，表明产品已通过市场检验并形成区域性的示范效应和复用基础。在智慧教育板块，企业与“全国超过1000所知名高校及科研院所建立了紧密的产学研合作关系”，并服务“1600多家政企客户”。这种深度的产学研合作网络不仅为技术迭代提供了源头支持，也锁定了广泛的潜在客户群体，构成了其独特的渠道与品牌优势。</w:t>
              <w:br/>
              <w:br/>
              <w:t>再者，企业在上下游关系中展现出一定的经营稳定性。收入结构方面，水利与教育业务占比分别为46%与54%，双主业结构有利于分散单一行业政策波动的风险。下游客户包括涵江水利局、三明水利水电工程有限公司顺昌分公司等政府机构及国企关联单位，前五大客户销售额占比合计约31.51%，集中度适中。上游主要供应商为锐捷网络股份有限公司等知名企业，前五大供应商采购额占比合计约31.03%，结算方式均为“分期”，材料称“主要采购商给予了我司较为优越的信用账期”，这有助于缓解其营运资金压力。财务数据显示，企业2025年末应收账款为7430万元，占总资产比重为43.82%，虽处于较高水平，但结合其客户性质（多为政府、国企及大型企业），回款风险相对可控，但也导致了较大的资金占用。</w:t>
              <w:br/>
              <w:br/>
              <w:t>然而，材料未提供关于企业核心技术的专利明细、具体研发投入金额及占比、以及研发团队构成等详细信息。这使我行无法量化评估其技术壁垒的坚固程度、研发活动的持续性以及技术被替代的风险。此外，材料未提供“在手订单列表”，无法准确判断其短期业绩的确定性和增长动能。</w:t>
              <w:br/>
              <w:br/>
              <w:t>综合分析，企业作为高新技术企业，在智慧水利和智慧教育领域拥有经奖项认证的自主研发技术和广泛的市场及产学研合作基础，产品具备一定的技术门槛和客户粘性。但技术细节和近期订单信息的缺失，对全面评估其核心竞争力的可持续性和未来收入保障构成一定影响。</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关于生产工艺流程的具体信息，包括生产设备、生产线、产能、产能利用率及产销率等数据。企业主营业务为智慧水利与智慧教育解决方案的提供及服务，属于信息技术服务业，其“生产”过程主要体现为软件平台的研发、系统集成与技术服务，而非传统意义上的实体产品制造。因此，材料中缺乏对相关软硬件集成作业流程、项目实施周期、人员投入等关键运营环节的描述。该信息缺失影响对项目执行效率、成本控制能力及运营稳定性的评估。</w:t>
              <w:br/>
              <w:br/>
              <w:t>根据客户提供的材料，公司销售收入按业务板块划分的结构占比如下：智慧水利业务占比46%，智慧教育业务占比54%。该结构表明公司收入来源较为均衡，双主业并行发展。</w:t>
              <w:br/>
              <w:br/>
              <w:t>从财务数据看，公司2023年至2025年销售商品、提供劳务收到的现金分别为9，364万元、4，890万元和10，385万元，波动较大，其中2024年现金回款显著下降，与同年应收账款余额增至9，253万元的情况相互印证，反映当年销售回款周期可能拉长或部分款项尚未结算。2025年现金回款大幅回升至10，385万元，且当年末应收账款余额降至7，430万元，显示回款情况有所改善。</w:t>
              <w:br/>
              <w:br/>
              <w:t>关于销量及具体产品收入构成，材料仅提供了业务板块层面的占比，未提供各细分产品（如大坝安全监测平台、智慧流域系统、数字人才培养方案等）的具体销售收入、销量或服务合同金额数据。同时，材料未提供分产品、分年度的产量、销量及对应的单价信息。该等信息缺失影响对各类产品市场竞争力、盈利水平及增长驱动因素的深入分析。</w:t>
              <w:br/>
              <w:br/>
              <w:t>补充材料中列出了2025年部分主要下游销售客户，如涵江水利局（智慧水利，销售额1，116万元）、福建省翔远电子科技有限公司（软硬件销售，1，122万元）等，但未列明这些销售额所对应的具体产品细分及销量。材料亦未提供公司在手订单列表。</w:t>
              <w:br/>
              <w:br/>
              <w:t>综上，公司收入结构清晰，但缺乏支撑生产运营效率分析的关键流程数据，以及细化至产品层级的产销量及收入数据，对全面评估其业务模式的稳定性和成长性造成一定限制。</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 上游供应商主要包括锐捷网络股份有限公司、北京星链南天科技有限公司、广州浩瀚星图信息技术有限公司、新天科技股份有限公司、精导信息技术有限公司司，前五采购集中度约为31.0%。下游客户主要包括涵江水利局、福建省翔远电子科技有限公司、三明水利水电工程有限公司顺昌分公司、福州市福清公路事业发展中心、济南展雄电子有限公司，前五销售集中度约为31.5%。</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commentRangeStart w:id="6"/>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6"/>
            <w:r>
              <w:rPr>
                <w:rStyle w:val="CommentReference"/>
              </w:rPr>
              <w:commentReference w:id="6"/>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根据客户提供的材料，企业2025年主要上游供应商及采购情况如下：</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commentRangeStart w:id="7"/>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 锐捷网络股份有限公司，采购货物，上年采购额943万元，占比19.77%，结算方式为分期。</w:t>
              <w:br/>
              <w:t>2. 北京星链南天科技有限公司，采购货物，上年采购额186万元，占比3.90%，结算方式为分期。</w:t>
              <w:br/>
              <w:t>3. 广州浩瀚星图信息技术有限公司，采购货物，上年采购额172万元，占比3.61%，结算方式为分期。</w:t>
              <w:br/>
              <w:t>4. 新天科技股份有限公司，采购货物，上年采购额90万元，占比1.88%，结算方式为分期。</w:t>
              <w:br/>
              <w:t>5. 精导信息技术有限公司司，采购货物，上年采购额89万元，占比1.87%，结算方式为分期。</w:t>
              <w:br/>
              <w:t>前五大供应商采购总额为1480万元，合计占比31.03%，集中度适中。材料未提供具体账期信息，仅说明结算方式为“分期”，且企业描述“主要采购商给予了较为优越的信用账期”。</w:t>
              <w:br/>
              <w:t>②主要下游（前五大）：                                                   单位：万元</w:t>
              <w:br/>
              <w:t>根据客户提供的材料，企业2025年主要下游客户及销售情况如下：</w:t>
              <w:br/>
              <w:t>1. 涵江水利局，销售智慧水利产品，上年销售额1116万元，占比10.02%，结算方式为分期。</w:t>
              <w:br/>
              <w:t>2. 福建省翔远电子科技有限公司，销售软硬件，上年销售额1122万元，占比9.92%，结算方式为分期。</w:t>
              <w:br/>
              <w:t>3. 三明水利水电工程有限公司顺昌分公司，销售智慧水利产品，上年销售额572万元，占比5.07%，结算方式为分期。</w:t>
              <w:br/>
              <w:t>4. 福州市福清公路事业发展中心，销售软硬件，上年销售额396万元，占比3.51%，结算方式为分期。</w:t>
              <w:br/>
              <w:t>5. 济南展雄电子有限公司，销售智慧教育产品，上年销售额356万元，占比2.99%，结算方式为分期。</w:t>
              <w:br/>
              <w:t>前五大客户销售总额为3562万元，合计占比31.51%，客户集中度较低，结构分散。下游客户包括政府部门、事业单位及企业客户，其中涵江水利局、福州市福清公路事业发展中心等客户具备政府背景，信用风险相对较低。材料未提供具体账期信息。</w:t>
              <w:br/>
              <w:t>③经营账期：材料未提供上下游具体账期天数。企业自述销售收款采用预收款和账期或全款方式，采购付款为预付款和账期方式，且主要采购商给予了较为优越的信用账期。结合财务数据，企业2025年末应收账款为7430万元，占当年营收（10010万元）比例高达74.2%，且2024年末应收账款高达9253万元，显示下游回款周期较长，对营运资金形成较大占用。存货规模从2024年的1166万元上升至2025年的2192万元。综合应收账款与存货情况，企业营运资金周转效率面临压力。</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commentRangeEnd w:id="7"/>
            <w:r>
              <w:rPr>
                <w:rStyle w:val="CommentReference"/>
              </w:rPr>
              <w:commentReference w:id="7"/>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材料未提供最新在手订单列表信息。</w:t>
              <w:br/>
              <w:br/>
              <w:t>影响分析：在手订单是评估企业未来短期收入实现能力、判断授信用途合理性与还款来源稳定性的关键依据。客户主营业务为智慧水利与智慧教育解决方案，项目周期可能较长，订单信息缺失使得审批人无法量化其未来1-2个经营周期的业务饱和度。结合财务数据，公司2025年营业收入为1010万元，但2024年经营活动现金流量净额为-896万元，显示盈利质量与现金回收存在压力。在手订单的缺失，增加了对第一还款来源（未来经营性现金流）预测的不确定性，不利于评估本次授信额度的必要性与还款安排的可靠性。</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r>
              <w:t>收入下滑趋势在2025年得到扭转并实现增长，同时毛利率在经历波动后于近两年稳定在较高水平，显示盈利能力的恢复与巩固。毛利率标准差处于可控范围，表明盈利质量趋于稳定。收入、毛利与净利润需联动分析，重点关注利润兑现与毛利波动是否匹配。</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①财务真实性验证(税务数据验证)</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材料未提供2023年至2025年纳税申报表及完税证明，无法通过税务数据交叉验证营业收入、利润等关键财务指标的真实性。这增加了对财务报表数据准确性的判断难度，需结合其他验证手段。</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2025年末应收账款为7430万元，较2024年末的9253万元下降19.7%，回款情况有所改善。但该科目近三年呈快速增长后回落趋势，2023年及2024年同比增幅分别为44.1%和45.6%，需关注前期扩张的销售政策及客户信用风险。</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其他应收款2025年末为2774万元，较2024年末的3522万元下降21.2%，呈回落趋势。该科目占2025年末流动资产总额的21.2%，占比较高，但材料未披露具体构成，需关注其回收风险。</w:t>
            </w:r>
          </w:p>
          <w:p w14:paraId="669763E4">
            <w:commentRangeStart w:id="8"/>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2025年末存货为2192万元，较2024年末的1166万元大幅增长88.0%，结束了自2022年（5301万元）以来的持续下降趋势。结合资产负债表，存货占总资产比重有所回升，但具体构成及增长原因依据现有材料无法判断。</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8"/>
            <w:r>
              <w:rPr>
                <w:rStyle w:val="CommentReference"/>
              </w:rPr>
              <w:commentReference w:id="8"/>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长期投资2025年末为3123万元，较2024年末的2518万元增长605万元，增幅达24.0%。该科目自2022年以来呈持续增长趋势，2025年规模为近四年最高。</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1847万元，主要构成及趋势变动情况： 应付账款期末余额为1026万元，较年初的2333万元大幅下降56.0%，主要系公司支付供应商货款所致。该科目占流动负债的比重显著降低，短期偿债压力有所缓解。</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185万元，主要构成及趋势变动情况： 2025年末其他应付款为168万元，较2024年末的648万元大幅下降480万元，降幅达74.1%。该科目余额已回落至接近2023年水平，显示企业对外部单位或个人的非主营业务相关债务已显著清偿。</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企业2025年主营业务收入为1010万元，较2024年的8712万元增长1298万元，增幅为14.9%，呈现恢复性增长。但该收入规模仍显著低于2022年的21198万元水平，整体经营规模收缩趋势未根本扭转。</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企业盈利能力持续承压，2025年净利润494万元，虽较2024年的329万元有所回升，但收入规模自2022年的21198万元连续下滑至2025年的1010万元，导致净利率仅从2024年的3.8%微升至4.9%。材料中未提供具体成本费用明细，无法进一步分析利润变动原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根据提供的2025年资产负债表，企业2025年末货币资金余额为286万元，较年初的506万元大幅下降43.6%。同时，应收账款余额为7430万元，较年初的9253万元下降19.7%。</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大幅削弱。尽管流动比率有所改善且资产负债率呈下降趋势，但核心流动性指标的急剧恶化表明企业面临严峻的即时支付风险。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应收账款周转效率持续恶化，回款能力显著下降。存货管理波动剧烈，存在库存积压风险。运营效率需重点跟踪应收账款周转与收入扩张的匹配程度。</w:t>
            </w:r>
          </w:p>
          <w:p w14:paraId="0A792E2F">
            <w:pPr>
              <w:pStyle w:val="11"/>
              <w:rPr>
                <w:rFonts w:hint="eastAsia"/>
                <w:lang w:val="en-US" w:eastAsia="zh-CN"/>
              </w:rPr>
            </w:pPr>
            <w:r>
              <w:t xml:space="preserve">经营现金流波动剧烈且整体偏弱，呈现间歇性正负交替，表明主营业务造血能力不稳定。公司持续依赖外部融资维持投资活动，2025年筹资现金流转负可能加剧流动性压力。经营现金流当前表现为最近连续1年为正，需关注现金回笼与利润质量是否一致。</w:t>
            </w:r>
          </w:p>
          <w:p w14:paraId="0A792E2F">
            <w:pPr>
              <w:pStyle w:val="11"/>
              <w:rPr>
                <w:rFonts w:hint="eastAsia"/>
                <w:lang w:val="en-US" w:eastAsia="zh-CN"/>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当前已触发硬阈值预警：应收账款周转天数超过180天，回款风险偏高。</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②财务真实性验证(银行流水验证)</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材料未提供最近三年现金流量表分析。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commentRangeStart w:id="9"/>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材料未提供公司主要结算账户2025年至今的银行流水EXCEL版本，无法通过银行流水验证销售收入回款、采购付款、日常经营收支的匹配性与真实性，亦无法核实货币资金余额的准确性。这影响了对企业真实经营现金流和结算习惯的判断。</w:t>
              <w:br/>
              <w:t>③近三年及最近一期财务数据</w:t>
              <w:br/>
              <w:t>借款人近三年财务数据由德赢（福建）会计师事务所审计。根据提供的审计报告，2023年及2024年审计报告为标准无保留意见审计报告，未提及导致对持续经营能力产生重大疑虑的事项。2025年审计报告材料未提供。</w:t>
              <w:br/>
              <w:t>注：以下财务数据明细为2025年12月数据（若该科目占比超10%或变动超20%的需做具体分析，其他可视情况简要说明）</w:t>
              <w:br/>
              <w:t>（1）应收账款7430万元，主要构成及趋势变动情况：2023年末为6354万元，2024年末大幅增长至9253万元，2025年末回落至7430万元。2024年较2023年增长45.6%，2025年较2024年下降19.7%。材料未提供应收账款具体构成、账龄及主要欠款方信息。变动趋势显示2024年回款压力显著增大，2025年有所缓解，但总体规模仍处高位，需关注其回收风险及对公司营运资金的占用。</w:t>
              <w:br/>
              <w:t>（2）其他应收款（材料未提供）万元，主要构成及趋势变动情况：材料未提供其他应收款金额及构成信息。</w:t>
              <w:br/>
              <w:t>（3）存货2192万元，主要构成及趋势变动情况：2023年末为2545万元，2024年末大幅下降至1166万元，2025年末回升至2192万元。2024年较2023年下降54.2%，2025年较2024年增长88.0%。材料未提供存货具体构成。波动剧烈，可能与项目实施周期、备货策略变动有关，需关注存货跌价风险及周转效率。</w:t>
              <w:br/>
              <w:t>（4）长期投资（材料未提供）万元，主要构成及趋势变动情况：材料未提供长期投资金额及构成信息。</w:t>
              <w:br/>
              <w:t>（5）应付账款1026万元，主要构成及趋势变动情况：2024年末为2333万元，2025年末下降至1026万元，降幅达56.0%。材料未提供应付账款具体构成及主要债权人。2025年应付账款大幅减少，可能加快了供应商付款，或采购规模下降。</w:t>
              <w:br/>
              <w:t>（6）其他应付款（材料未提供）万元，主要构成及趋势变动情况：材料未提供其他应付款金额及构成信息。</w:t>
              <w:br/>
              <w:t>（7）主营业务收入变动原因：材料未提供2023年至2025年主营业务收入具体金额。根据企业画像，2025年营收为10010万元。无法进行年度趋势对比及原因分析。</w:t>
              <w:br/>
              <w:t>（8）盈利能力变动原因：近三年净利润分别为：2023年393万元，2024年329万元，2025年494万元。2024年净利润同比下降16.3%，2025年同比增长50.2%。材料未提供营业收入、毛利率、期间费用等明细数据，无法具体分析盈利能力变动原因。2025年净利润有所回升。</w:t>
              <w:br/>
              <w:t>（9）固定资产投资变动情况（后续若有大额固定资产投入计划，分析投入及资金安排）：材料未提供固定资产、在建工程等科目数据及未来资本支出计划。</w:t>
              <w:br/>
              <w:t>（10）其他变动较大的财务指标（包括但不限于预付账款、预收账款等，如有请说明）：材料未提供预付账款、预收账款等科目数据。最近三年现金流量表分析：</w:t>
              <w:br/>
              <w:t>材料未提供2023年至2025年现金流量表，无法进行经营性、投资性、筹资性现金流的趋势与结构分析。结合资产负债表数据观察：货币资金从2023年末的1522万元持续下降至2025年末的286万元，显示账面流动性持续收紧；短期借款规模维持在4000-5000万元区间，为主要融资来源；应收账款和存货对营运资金形成较大占用。整体判断，企业营运资金周转可能面临压力，对银行融资依赖度较高。</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commentRangeEnd w:id="9"/>
            <w:r>
              <w:rPr>
                <w:rStyle w:val="CommentReference"/>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根据客户提供的融资明细，公司银行融资余额合计4440万元，涉及7家金融机构共9笔业务，均为流动资金贷款，五级分类情况材料未提供。具体明细如下：交通银行屏东支行流贷1000万元，到期日2026年4月24日；海峡银行金山支行流贷加担保500万元，到期日2026年10月15日；厦门国际银行台江支行流贷640万元，到期日2026年11月21日；兴业银行环球支行两笔流贷合计1000万元（700万元与300万元），到期日分别为2026年11月25日及2026年12月22日；工商银行流贷500万元，到期日2026年12月2日；中国银行福建省分行流贷600万元，到期日2027年1月4日；广发银行鼓楼支行流贷200万元，到期日2027年1月23日。上述融资均无中长期借款，故无需反馈中长期借款还款计划及还款资金安排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材料未提供涉及中长期借款的还款计划及资金安排。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对外担保情况：材料未提供公司对外担保信息。鉴于公司融资中“海峡银行-金山支行”的业务品种为“流贷加担保”，并由“福州市融资担保有限公司”等提供保证，表明公司存在被担保融资，但公司自身是否作为担保人为其他主体提供担保，材料未予说明。此信息缺失影响对或有负债及整体信用风险的评估。</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不良记录情况：材料未提供公司及实际控制人在人行征信系统或其他方面的不良信用记录。从提供的银行交易流水看，存在“贷款归还”记录（如2025年7月归还兴业银行贷款、2025年9月归还广发银行贷款），未显示异常。但缺乏官方征信报告佐证，无法最终确认无不良记录。</w:t>
            </w:r>
          </w:p>
          <w:p w14:paraId="76CE32AE">
            <w:commentRangeStart w:id="10"/>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0"/>
            <w:r>
              <w:rPr>
                <w:rStyle w:val="CommentReference"/>
              </w:rPr>
              <w:commentReference w:id="10"/>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材料未提供不良记录情况。 </w:t>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截至2025年7月23日，查询实际控制人黄祖海（身份证号：350124197704201694）个人信用报告，其名下主要征信信息如下：</w:t>
              <w:br/>
              <w:br/>
              <w:t>一、个人负债情况</w:t>
              <w:br/>
              <w:t>黄祖海名下现有未结清贷款账户1笔，余额为1000万元，贷款机构为中国银行，贷款品种为个人经营贷款，所对应的经营主体为福建中锐网络股份有限公司。其名下另有未销户信用卡账户1笔，当前余额为0元。经测算，其全部未结清贷款估算下月应还款额为0元；贷记卡最近6个月平均使用额度为27元；准贷记卡最近6个月平均透支余额为0元。上述信息显示，实控人当前个人直接负债水平较高，但信用卡使用极为克制，近期无集中还款压力。</w:t>
              <w:br/>
              <w:br/>
              <w:t>二、对外担保情况</w:t>
              <w:br/>
              <w:t>黄祖海存在承担担保责任的账户1笔，无承担共同还款责任的账户。该笔担保余额为1000万元，系为福建中锐网络股份有限公司提供担保。结合企业融资明细，该笔担保可能对应其名下中国银行福建省分行的600万元流贷（业务起始日2026.1.4）或其他机构贷款。此情况表明实控人与企业经营深度绑定，个人信用与企业融资高度关联。</w:t>
              <w:br/>
              <w:br/>
              <w:t>三、历史信用记录</w:t>
              <w:br/>
              <w:t>根据信用报告预警规则计算，黄祖海近5年内贷款累计逾期期数为1期，其中逾期金额小于等于500元的期数为0；近5年内贷款连续逾期期数为1期，其中连续逾期小于等于500元的期数为0。经客户反馈，该逾期原因为遗忘导致，且目前已结清。虽然仅为单期逾期且已结清，但仍反映出实控人过去在贷款还款管理上存在疏忽，其信用意识有待加强。</w:t>
              <w:br/>
              <w:br/>
              <w:t>四、综合分析</w:t>
              <w:br/>
              <w:t>实控人黄祖海个人征信呈现以下特征：一是个人负债集中，单笔经营贷款余额达1000万元，全部用于本企业经营，体现了其对企业投入的深度；二是对外担保责任明确，为企业担保1000万元，进一步放大了其个人财务风险与企业经营风险的关联性；三是历史存在一次非恶意逾期记录，虽已处理，但仍需关注其后续还款行为的稳定性。总体来看，实控人信用状况总体可控，但其较高的个人杠杆和与企业的风险捆绑是授信审批中需要关注的重点。</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康恩慧，中国国籍，材料未提供籍贯及出生年份信息。个人征信信息：材料未提供实控人配偶康恩慧的个人征信报告。鉴于实控人黄祖海为企业的核心决策者与经营负责人，其配偶的个人信用状况虽为家庭偿债能力的辅助参考，但非本次授信审批的主要依据。材料未提供该信息对判断企业整体信用风险的影响有限，但为全面评估实控人家庭整体负债与信用状况，建议后续可补充查询。</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材料未提供科技型企业评分。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材料未提供企业是否属于科技型中小企业、高新技术企业、创新型中小企业、“专精特新”中小企业、专精特新“小巨人”企业、制造业单项冠军企业或国家技术创新示范企业等任一官方认定的科技型企业类型信息。该信息缺失影响对其科创属性及政策支持资格的判断。</w:t>
              <w:br/>
              <w:br/>
              <w:t>科技型企业评分：材料未提供科技型企业评分信息。该信息缺失影响对其科技创新能力的量化评估。</w:t>
              <w:br/>
              <w:br/>
              <w:t>研发投入情况：</w:t>
              <w:br/>
              <w:t>①核心研发人员是否享有股权激励：是。</w:t>
              <w:br/>
              <w:t>②近三年研发投入占比及研发人员占比：根据客户材料，企业近三年研发投入及人员占比如下：2023年研发费用895万元，占营收比例为7.4%，研发人员40人，占比44%；2024年研发费用1262万元，占营收比例为14.5%，研发人员38人，占比49%；2025年研发费用1049万元，占营收比例为10.5%，研发人员39人，占比53%。近三年研发投入总额为3206万元，年均研发投入强度（研发费用/营收）为10.8%，研发人员占比平均为48.7%，均处于较高水平，显示企业持续重视技术研发。</w:t>
              <w:br/>
              <w:br/>
              <w:t>专利情况：根据补充材料，企业拥有发明专利24项、实用专利6项，权属清晰，不存在瑕疵及涉诉情况。具体情况已单独提供清单。</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经核查客户提供的材料，包括财务报表、银行流水及补充说明文件，关于福建中锐网络股份有限公司在我行的当前综合效益情况，材料未提供相关信息。具体分析如下：</w:t>
              <w:br/>
              <w:br/>
              <w:t>材料中未提供该企业在我行的日均存款、对公有效户折算情况、全年结算量、代发薪签约员工人数及上年发薪量等具体数据。同时，材料亦未明确其基本户是否开立在我行，以及是否存在其他派生业务合作。</w:t>
              <w:br/>
              <w:br/>
              <w:t>该信息缺失对授信审批判断构成直接影响。综合效益是评估客户对我行业务贡献度、结算依存度和合作关系紧密程度的关键依据。缺乏这些数据，无法量化客户的历史合作价值，难以评估其作为“有效户”的稳定性，亦无法为本次授信决策提供交叉验证其现金流状况和还款来源可靠性的辅助信息。建议在后续流程中向客户经理补充获取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2.预计综合效益（包括但不限于：对公有效户、代发签约及发薪量、日均存款、基本户、其他派生业务等）：材料未提供企业在我行开立基本户或结算账户的计划信息，亦未提供其现有主要结算银行及账户流水详情，因此无法基于历史结算数据预测其在我行的日均存款、全年结算量及对公有效户贡献。材料未提供企业员工总数及薪酬结构信息，无法估算代发薪签约人数及年度发薪量。企业主营业务为智慧水利与智慧教育，客户主要为政府水利部门、高校及政企单位，其销售收款模式包含预收款和账期款，采购付款享有供应商信用账期，显示其业务链条中存在资金沉淀与流转空间。若能成功营销其将主要结算关系转移至我行，结合其2025年超过1亿元的营业收入规模，预计可带来可观的存款沉淀和结算流水，综合效益潜力较好。但具体效益指标的量化预测，需待客户明确结算合作意向后进一步评估。</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借款原因说明：借款人主营业务为智慧水利与智慧教育解决方案的提供与集成，2025年实现营业收入1010万元。根据财务数据，借款人近三年净利润持续为正，2023至2025年分别为393万元、329万元、494万元，显示其具备持续盈利能力。然而，其经营性现金流面临结构性压力，具体表现为：一、营运资金占用显著。截至2025年末，应收账款余额为7430万元，占当年营收比重高达74.2%，且2024年末应收账款曾高达9253万元，表明下游回款周期普遍较长。主要客户如涵江水利局、福建省翔远电子科技有限公司等结算方式均为“分期”，印证了回款慢的特点。二、货币资金快速消耗。借款人账面货币资金从2023年末的1522万元大幅下降至2025年末的286万元，资金储备已非常紧张。三、短期债务压力较大。截至2025年末，短期借款余额为4730万元，且根据融资明细，其存量流动资金贷款共计4440万元将于2026年至2027年间集中到期，存在较大的续贷或置换压力。四、经营模式存在资金垫付。材料提及销售收款采用“预收款和账期”方式，旨在减少垫资，但实际应收账款高企说明账期销售占主导；采购付款为“预付款和账期款”，主要供应商如锐捷网络结算方式为“分期”，但预付款项仍会占用资金。综合来看，尽管企业盈利，但高企的应收账款严重拖慢了现金回流速度，而维持业务运营（包括可能的前期投入、备货及应对集中到期的债务）需要持续的资金支持，导致其账面流动性枯竭。因此，其申请贷款用于补充流动资金的原因合理，旨在缓解因销售回款周期与债务偿还期限不匹配导致的短期资金缺口，维持正常经营周转。</w:t>
              <w:br/>
              <w:br/>
              <w:t>（若申请中期流动资金贷款，请补充分析原因：材料未提供本次申请贷款的具体品种与期限信息，因此无法判断是否为中期流动资金贷款及分析其对应原因。若确为中期流贷申请，需客户补充说明其资金需求的长期性依据，例如与核心客户签订的长期框架合同对应的营运资金铺底需求、明确的产能扩张或研发投入计划等，以评估中期融资的合理性。）</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材料未提供申请中期流动资金贷款的原因分析。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提供的财务数据，企业2023年至2025年的关键营运资金科目变动情况如下：应收账款分别为6，354万元、9，253万元和7，430万元；存货分别为2，545万元、1，166万元和2，192万元；货币资金分别为1，522万元、506万元和286万元；短期借款分别为4，0万元、4，990万元和4，730万元。材料未提供应付账款、预收款项、预付账款等关键科目数据，亦未提供测算所需的其他财务数据，如流动资产总额、流动负债总额、营业收入、营业成本等。</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由于材料未提供完整的资产负债表及利润表数据，无法按照流动资金贷款需求测算公式（如银监会“三个办法一个指引”中的测算方法）进行定量测算。关键数据的缺失导致无法准确计算企业的营运资金周转天数、现金循环周期及营运资金缺口。</w:t>
              <w:br/>
              <w:t>该数据缺失对审批判断的影响显著：无法量化评估企业真实的短期资金需求，难以判断本次申请授信额度的合理性，也无法验证贷款用途是否确为弥补营运资金缺口。建议要求客户补充提供近三年完整的审计报告（含财务报表附注），特别是涉及应付账款、预收账款、其他应付款等经营性负债的明细数据，以及营业收入、营业成本等利润表数据，以便完成科学的测算。</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材料未提供测算数据调整说明。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材料未提供经营性现金流分析。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材料未提供抵质押物变现能力分析及其他渠道现金流分析。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w:t>
              <w:br/>
              <w:t>企业主营业务为智慧水利与智慧教育，收入结构相对均衡，2025年营收为1010万元。近三年净利润分别为393万元、329万元、494万元，整体盈利能力较弱但保持盈利。从资产结构看，应收账款规模较大，2024年末达9253万元，2025年末虽降至7430万元，但仍占总资产比重较高，结合材料中“销售收款采用预收款和账期或全款的收款方式”的描述，表明其回款周期可能较长，对经营性现金流形成占用。同时，货币资金从2023年的1522万元持续下降至2025年的286万元，流动性趋紧。短期借款规模维持在40万元以上，2025年末为4730万元，显示企业对外部融资依赖度较高。材料未提供现金流量表数据，无法直接分析经营性现金流的净额及构成。基于现有数据判断，企业依靠自身经营产生的现金流覆盖新增债务的能力存在不确定性，主要风险点在于大额应收账款的回收效率及盈利的绝对规模偏小。</w:t>
              <w:br/>
              <w:br/>
              <w:t>②第二还款来源（抵质押物变现能力分析及其他渠道现金流分析）：</w:t>
              <w:br/>
              <w:t>根据补充材料，企业实际控制人黄祖海及其配偶康恩慧名下拥有一处私有房产，坐落于仓山区上渡街道通江路17号江南水都·杰座，权属证号为榕房权证R字第0838000号，面积为143.45平方米。材料提供了该房产的权属信息，但未提供其账面价值、市场评估价值以及当前是否已设定抵质押状态。因此，无法评估该资产作为第二还款来源的具体价值、变现能力及可覆盖风险敞口的程度。企业融资情况显示，其在多家银行共有4640万元授信，已使用4440万元，品种主要为流动资金贷款，担保方式包括信用、保证（涉及黄祖海、陈其俤、福州市融资担保有限公司等）及担保，材料未明确提及上述授信是否对应有具体的抵质押物。此外，材料未提供关于股东追加投资、资产出售、引入股权融资等其他渠道现金流的计划或依据。综上，第二还款来源主要依赖于保证担保，核心抵质押物信息缺失，增信措施的有效性存在不确定性。</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经核查，本次授信申报材料中未提供任何关于抵押担保的信息。材料中提及的资产“仓山区上渡街道通江路17号江南水都·杰座”所有权人为康恩慧与黄祖海，属于实际控制人及其配偶的家庭资产，但未作为本次授信的抵押物进行申报。同时，材料中提及的“福州大学国家科技园8号楼的5层”房产为承租人陈独熹出租给福建中锐网络股份有限公司使用，该公司为承租方，非产权人，该房产亦未作为抵押物提供。</w:t>
              <w:br/>
              <w:br/>
              <w:t>因此，本节“抵押担保”无相关内容可分析。本次授信方案为信用方式，无抵押担保措施。这将对审批判断产生以下影响：一是第二还款来源缺失，完全依赖企业的第一还款能力及实际控制人的个人信用；二是授信风险缓释措施不足，在发生违约时银行缺乏快速处置资产以回收资金的保障；三是需对企业的经营稳定性、现金流状况及实际控制人偿债意愿进行更严格的评估。</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②保证人化型及对公PD X级（注意是否符合保证人准入要求）</w:t>
              <w:br/>
              <w:t>材料未提供保证人信息。根据客户材料，本次授信申报主体为福建中锐网络股份有限公司，材料中未提及存在第三方公司担保。因此，无法对保证人进行类型划分、PD评级及准入判断。若本笔授信方案涉及公司担保，需补充保证人主体资格、经营及财务等完整信息以供审查。</w:t>
              <w:br/>
              <w:br/>
              <w:t>③保证人主要经营情况；</w:t>
              <w:br/>
              <w:t>材料未提供保证人信息，无法分析保证人经营情况。</w:t>
              <w:br/>
              <w:br/>
              <w:t>④保证人征信信息（银行授信业务品种、敞口提用余额、对外担保余额，不良记录等）；</w:t>
              <w:br/>
              <w:t>材料未提供保证人信息，无法获取其征信信息。</w:t>
              <w:br/>
              <w:br/>
              <w:t>⑤主要财务指标（请填写下表）。</w:t>
              <w:br/>
              <w:t>材料未提供保证人财务报表，无法计算其财务指标。</w:t>
              <w:br/>
              <w:br/>
              <w:t>⑥其他：风险信息情况、涉诉等</w:t>
              <w:br/>
              <w:t>材料未提供保证人信息，无法核查其风险信息及涉诉情况。</w:t>
              <w:br/>
              <w:br/>
              <w:t>分析：根据现有材料，本次授信申报未明确涉及第三方公司担保。若授信方案设计包含公司担保，则当前材料存在重大缺失，无法对保证人的担保资格、代偿能力和风险状况进行任何评估，将直接影响对第二还款来源有效性的判断，不符合授信审批要求。</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经核查，本次授信申报材料未涉及由我行认可的专业担保公司提供担保。根据【客户材料摘要】中融资明细第2条，客户在海峡银行-金山支行的500万元流贷业务由“福州市融资担保有限公司”提供担保，但该担保公司并非我行准入的合作机构，且本次向我行申请的授信方案中未包含任何第三方担保措施。因此，本节内容不适用。</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w:t>
              <w:br/>
              <w:br/>
              <w:t>基于对福建中锐网络股份有限公司的综合分析，围绕“现金流、杠杆率、可持续、垒小户、配结算、强担保”六要素，形成授信申报结论及方案如下：</w:t>
              <w:br/>
              <w:br/>
              <w:t>一、 六要素综合评判</w:t>
              <w:br/>
              <w:br/>
              <w:t>1.  现金流：企业经营活动现金流波动较大，存在一定压力。2024年经营活动现金流量净额为-896万元，由正转负；2025年销售商品、提供劳务收到的现金为10385万元，但材料未提供完整的2025年现金流量表，无法计算净额。结合2024年数据及2025年末货币资金仅286万元（较2023年末的1522万元大幅下降）的情况，显示企业自身现金流生成能力不稳定，对融资依赖度较高。</w:t>
              <w:br/>
              <w:br/>
              <w:t>2.  杠杆率：企业资产负债率呈下降趋势，但短期偿债压力集中。2023年至2025年，资产负债率分别为53.2%（9014/16956）、55.0%（9320/16956）、42.5%（7207/16956），整体杠杆水平可控且有所优化。但短期借款规模较大，2025年末为4730万元，占负债总额的65.6%，且根据融资明细，现有银行流贷均将于2026年内集中到期，存在较大的短期债务集中偿付压力。</w:t>
              <w:br/>
              <w:br/>
              <w:t>3.  可持续：企业主营业务符合国家政策导向，具备一定的技术竞争力和市场基础，盈利可持续性有待观察。企业深耕智慧水利与智慧教育领域，其中智慧水利解决方案已应用于福建省300余座水库，并获省级科技奖项；智慧教育服务超1000所高校及1600家政企客户。收入结构均衡（水利46%、教育54%），客户包括涵江水利局等政府事业单位及大型企业。近三年净利润持续为正（2023年393万元、2024年329万元、2025年494万元），显示持续盈利。但需关注应收账款规模常年高企（2025年末7430万元，占营收比重约74%），对资金形成较大占用，可能影响盈利质量与运营可持续性。</w:t>
              <w:br/>
              <w:br/>
              <w:t>4.  垒小户：企业目前银行融资较为分散，存在“垒小户”风险。根据融资明细，企业在8家银行共有4640万元授信，已使用4440万元，融资机构数量多，单户授信金额多在10万元及以下。本行若新增授信，需审慎评估企业整体负债承受能力，避免过度融资。</w:t>
              <w:br/>
              <w:br/>
              <w:t>5.  配结算：材料未提供企业在本行的历史结算流水信息，无法判断现有结算配合度。授信方案需以争取主要结算账户归行为前提。</w:t>
              <w:br/>
              <w:br/>
              <w:t>6.  强担保：企业提供的担保措施强度一般。根据资产明细，实际控制人黄祖海及其配偶康恩慧名下拥有一处位于福州市仓山区的私有房产（面积143.45平方米），可作为个人连带责任保证的补充。但企业自身为轻资产的信息技术服务公司，缺乏足值的固定资产抵押。现有他行贷款中，海峡银行的500万元流贷由福州市融资担保有限公司等提供担保，其余多为信用或实际控制人保证。</w:t>
              <w:br/>
              <w:br/>
              <w:t>二、 授信申报结论</w:t>
              <w:br/>
              <w:br/>
              <w:t>企业主营业务前景良好，符合普惠金融支持方向，但面临应收账款高企导致的现金流紧张、短期债务集中到期、担保措施不足等风险。考虑到企业现有银行融资已较饱和，本行介入需以优化其债务结构、强化贷后管控为前提。原则同意在落实有效风险缓释措施的条件下，给予适度授信支持。</w:t>
              <w:br/>
              <w:br/>
              <w:t>三、 授信方案建议</w:t>
              <w:br/>
              <w:br/>
              <w:t>1.  授信额度：建议授予流动资金贷款额度人民币500万元。</w:t>
              <w:br/>
              <w:t>2.  授信期限：1年。</w:t>
              <w:br/>
              <w:t>3.  资金用途：专项用于支付上游供应商货款，补充经营性流动资金。需提供采购合同等证明材料，确保受托支付。</w:t>
              <w:br/>
              <w:t>4.  担保方式：采用“实际控制人黄祖海及其配偶康恩慧提供个人无限连带责任保证”+“实际控制人夫妇名下房产（榕房权证R字第0838000号）办理顺位抵押”的组合担保方式。须办妥抵押登记手续。</w:t>
              <w:br/>
              <w:t>5.  定价要求：根据本行普惠金融信贷政策及客户风险水平合理定价。</w:t>
              <w:br/>
              <w:br/>
              <w:t>四、 贷后管控措施</w:t>
              <w:br/>
              <w:br/>
              <w:t>1.  资金闭环管理：要求借款人将本行授信作为支付主要供应商货款的主办贷款，并开立唯一或主要结算账户于本行，确保信贷资金与经营回款闭环运作。严格监控贷款用途，防止挪用。</w:t>
              <w:br/>
              <w:t>2.  现金流监控：逐月监测借款人本行结算账户流水，关注销售收入回款情况。要求企业按季提供财务报表（未经审计亦可），重点关注经营活动现金流及应收账款变化。</w:t>
              <w:br/>
              <w:t>3.  负债总量控制：将“企业在他行融资总额不增加”作为贷后管理要求。如需续贷，须提前核查企业征信报告，确认未新增他行负债。</w:t>
              <w:br/>
              <w:t>4.  应收账款管理：要求企业按季提供应收账款明细账，并对其下游回款情况进行抽查验证。对于账龄超过1年的应收账款，应要求企业说明原因并制定催收计划。</w:t>
              <w:br/>
              <w:t>5.  定期检查：客户经理每季度至少进行一次现场检查，了解项目进展、经营状况及实际控制人情况。</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现金流：根据审计报告，借款人2023年经营活动产生的现金流量净额为269万元（112072779.26元 - 109379398.13元），2024年经营活动产生的现金流量净额为-115万元（现金及现金等价物净增加额-10153778.42元减去筹资活动净额8024230.78元，再减去汇率变动影响0元，可推算为-18178009.20元）。2025年材料未提供现金流量表信息。近两年经营性现金流波动较大，2024年为净流出，结合2025年末货币资金余额286万元较2024年末506万元进一步下降，显示公司经营活动现金生成能力不稳定，对融资依赖度较高，需关注其短期偿债资金安排。</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资产负债率2023年为53.15%（负债合计9014万元/总资产未直接提供，可推算总资产约16956万元），2024年为54.98%（负债合计9320万元/推算总资产约16956万元），2025年为42.51%（负债合计7207万元/总资产16956万元）。负债率呈下降趋势，2025年处于行业相对合理水平。流动比率2023年为1.16（流动资产未直接提供，可粗略估算为货币资金1522+应收账款6354+存货2545=10421万元，流动负债主要为短期借款4000万元及其他负债），2024年为1.11（货币资金506+应收账款9253+存货1166=10925万元，流动负债主要为短期借款4990万元），2025年为1.33（货币资金286+应收账款7430+存货2192=9908万元，流动负债主要为短期借款4730万元）。杠杆水平总体可控，但短期偿债指标偏弱，货币资金对短期债务覆盖不足。</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成立于材料未提供具体时间，但旗下子公司最早成立于2016年。公司主营业务智慧水利与智慧教育符合国家政策导向，在智慧水利领域拥有自主研发平台和奖项荣誉，解决方案已应用于福建省300余座水库，在数字教育领域与超1000所高校合作，服务超1600家政企客户，显示了一定的行业积累和市场基础。但子公司普遍盈利较弱，2024年主要子公司除北京中锐青云微利外，其余均亏损。公司人员规模、产能利用率及研发团队具体信息材料未提供。综合看，公司具备一定的业务基础和行业前景，但盈利的稳定性和子公司经营状况需持续关注。</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多头贷款、交叉授信、超融）：根据融资明细，借款人当前在6家银行有授信，授信总额4640万元，已用信4440万元，均为短期流动资金贷款。担保方式涉及信用、实控人及第三方保证、融资担保公司担保。我行此次申请敞口额度材料未提供具体金额。现有银行合作数量较多，融资渠道分散，但已用信总额4440万元与2025年末财务报表短期借款4730万元基本吻合，未发现明显超融迹象。公司业务对接政企客户，项目制特点可能导致融资需求阶段性集中。</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配结算：材料未提供借款人在我行的开户时长、历史结算量及未来结算安排等具体信息。无法评估其与我行的结算往来紧密度，这对业务合作深度和贷后资金监控有影响。</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根据资产明细，实际控制人黄祖海及其配偶康恩慧共同拥有位于仓山区上渡街道的私有房产一处，面积143.45平方米，权证号榕房权证R字第0838000号。该房产可作为增信措施。我行此次申请授信的具体担保方案（如是否抵押、保证等）材料未提供。</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主业符合政策，有一定技术积累和市场案例，但经营性现金流不稳定，短期偿债指标偏弱，融资银行较多且子公司盈利情况不佳。决策需结合我行具体授信方案（金额、用途、担保条件）及后续的结算要求综合考量。</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2"/>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2"/>
            <w:r>
              <w:rPr>
                <w:rStyle w:val="CommentReference"/>
              </w:rPr>
              <w:commentReference w:id="12"/>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3"/>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p w14:paraId="6AC425A6">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4"/>
            <w:r>
              <w:rPr>
                <w:rStyle w:val="CommentReference"/>
              </w:rPr>
              <w:commentReference w:id="14"/>
            </w:r>
          </w:p>
          <w:p w14:paraId="2FC82B07">
            <w:commentRangeStart w:id="15"/>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269107E9">
            <w:commentRangeStart w:id="16"/>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3096CC3B">
            <w:commentRangeStart w:id="17"/>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8"/>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8"/>
            <w:r>
              <w:rPr>
                <w:rStyle w:val="CommentReference"/>
              </w:rPr>
              <w:commentReference w:id="18"/>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4:59:03Z" w:initials="Agent">
    <w:p>
      <w:r>
        <w:rPr>
          <w:rStyle w:val="CommentReference"/>
        </w:rPr>
        <w:annotationRef/>
      </w:r>
      <w:r>
        <w:t xml:space="preserve">该处“申报单位”仍为空白，请人工确认。</w:t>
      </w:r>
    </w:p>
  </w:comment>
  <w:comment w:id="1" w:author="信贷报告 Agent" w:date="2026-04-13T14:59:03Z" w:initials="Agent">
    <w:p>
      <w:r>
        <w:rPr>
          <w:rStyle w:val="CommentReference"/>
        </w:rPr>
        <w:annotationRef/>
      </w:r>
      <w:r>
        <w:t xml:space="preserve">该处“小类）”仍为空白，请人工确认。</w:t>
      </w:r>
    </w:p>
  </w:comment>
  <w:comment w:id="2" w:author="信贷报告 Agent" w:date="2026-04-13T14:59:03Z" w:initials="Agent">
    <w:p>
      <w:r>
        <w:rPr>
          <w:rStyle w:val="CommentReference"/>
        </w:rPr>
        <w:annotationRef/>
      </w:r>
      <w:r>
        <w:t xml:space="preserve">该处“绿通标识”仍为空白，请人工确认。</w:t>
      </w:r>
    </w:p>
  </w:comment>
  <w:comment w:id="3" w:author="信贷报告 Agent" w:date="2026-04-13T14:59:03Z" w:initials="Agent">
    <w:p>
      <w:r>
        <w:rPr>
          <w:rStyle w:val="CommentReference"/>
        </w:rPr>
        <w:annotationRef/>
      </w:r>
      <w:r>
        <w:t xml:space="preserve">该处“注册资本”仍为空白，请人工确认。</w:t>
      </w:r>
    </w:p>
  </w:comment>
  <w:comment w:id="4" w:author="信贷报告 Agent" w:date="2026-04-13T14:59:03Z" w:initials="Agent">
    <w:p>
      <w:r>
        <w:rPr>
          <w:rStyle w:val="CommentReference"/>
        </w:rPr>
        <w:annotationRef/>
      </w:r>
      <w:r>
        <w:t xml:space="preserve">该处“过往两年企业股权变动情况及变动原因”仍为空白，请人工确认。</w:t>
      </w:r>
    </w:p>
  </w:comment>
  <w:comment w:id="5" w:author="信贷报告 Agent" w:date="2026-04-13T14:59:03Z" w:initials="Agent">
    <w:p>
      <w:r>
        <w:rPr>
          <w:rStyle w:val="CommentReference"/>
        </w:rPr>
        <w:annotationRef/>
      </w:r>
      <w:r>
        <w:t xml:space="preserve">该处“分析原因”仍为空白，请人工确认。</w:t>
      </w:r>
    </w:p>
  </w:comment>
  <w:comment w:id="6" w:author="信贷报告 Agent" w:date="2026-04-13T14:59:03Z" w:initials="Agent">
    <w:p>
      <w:r>
        <w:rPr>
          <w:rStyle w:val="CommentReference"/>
        </w:rPr>
        <w:annotationRef/>
      </w:r>
      <w:r>
        <w:t xml:space="preserve">该处“主要上游（前五大）”仍为空白，请人工确认。</w:t>
      </w:r>
    </w:p>
  </w:comment>
  <w:comment w:id="7" w:author="信贷报告 Agent" w:date="2026-04-13T14:59:03Z" w:initials="Agent">
    <w:p>
      <w:r>
        <w:rPr>
          <w:rStyle w:val="CommentReference"/>
        </w:rPr>
        <w:annotationRef/>
      </w:r>
      <w:r>
        <w:t xml:space="preserve">该处“主要下游（前五大）”仍为空白，请人工确认。</w:t>
      </w:r>
    </w:p>
  </w:comment>
  <w:comment w:id="8" w:author="信贷报告 Agent" w:date="2026-04-13T14:59:03Z" w:initials="Agent">
    <w:p>
      <w:r>
        <w:rPr>
          <w:rStyle w:val="CommentReference"/>
        </w:rPr>
        <w:annotationRef/>
      </w:r>
      <w:r>
        <w:t xml:space="preserve">该处“主要构成及趋势变动情况”仍为空白，请人工确认。</w:t>
      </w:r>
    </w:p>
  </w:comment>
  <w:comment w:id="9" w:author="信贷报告 Agent" w:date="2026-04-13T14:59:03Z" w:initials="Agent">
    <w:p>
      <w:r>
        <w:rPr>
          <w:rStyle w:val="CommentReference"/>
        </w:rPr>
        <w:annotationRef/>
      </w:r>
      <w:r>
        <w:t xml:space="preserve">该处“）其他应收款”仍为空白，请人工确认。</w:t>
      </w:r>
    </w:p>
  </w:comment>
  <w:comment w:id="10" w:author="信贷报告 Agent" w:date="2026-04-13T14:59:03Z" w:initials="Agent">
    <w:p>
      <w:r>
        <w:rPr>
          <w:rStyle w:val="CommentReference"/>
        </w:rPr>
        <w:annotationRef/>
      </w:r>
      <w:r>
        <w:t xml:space="preserve">该处“（若有）对外担保情况”仍为空白，请人工确认。</w:t>
      </w:r>
    </w:p>
  </w:comment>
  <w:comment w:id="11" w:author="信贷报告 Agent" w:date="2026-04-13T14:59:03Z" w:initials="Agent">
    <w:p>
      <w:r>
        <w:rPr>
          <w:rStyle w:val="CommentReference"/>
        </w:rPr>
        <w:annotationRef/>
      </w:r>
      <w:r>
        <w:t xml:space="preserve">该处“变动原因”仍为空白，请人工确认。</w:t>
      </w:r>
    </w:p>
  </w:comment>
  <w:comment w:id="12" w:author="信贷报告 Agent" w:date="2026-04-13T14:59:03Z" w:initials="Agent">
    <w:p>
      <w:r>
        <w:rPr>
          <w:rStyle w:val="CommentReference"/>
        </w:rPr>
        <w:annotationRef/>
      </w:r>
      <w:r>
        <w:t xml:space="preserve">该处“予借款人授信敞口1000万元，”仍为模板占位符，请人工核实。</w:t>
      </w:r>
    </w:p>
  </w:comment>
  <w:comment w:id="13" w:author="信贷报告 Agent" w:date="2026-04-13T14:59:03Z" w:initials="Agent">
    <w:p>
      <w:r>
        <w:rPr>
          <w:rStyle w:val="CommentReference"/>
        </w:rPr>
        <w:annotationRef/>
      </w:r>
      <w:r>
        <w:t xml:space="preserve">该处“客户经理”仍为空白，请人工确认。</w:t>
      </w:r>
    </w:p>
  </w:comment>
  <w:comment w:id="14" w:author="信贷报告 Agent" w:date="2026-04-13T14:59:03Z" w:initials="Agent">
    <w:p>
      <w:r>
        <w:rPr>
          <w:rStyle w:val="CommentReference"/>
        </w:rPr>
        <w:annotationRef/>
      </w:r>
      <w:r>
        <w:t xml:space="preserve">该处“共同调查人”仍为空白，请人工确认。</w:t>
      </w:r>
    </w:p>
  </w:comment>
  <w:comment w:id="15" w:author="信贷报告 Agent" w:date="2026-04-13T14:59:03Z" w:initials="Agent">
    <w:p>
      <w:r>
        <w:rPr>
          <w:rStyle w:val="CommentReference"/>
        </w:rPr>
        <w:annotationRef/>
      </w:r>
      <w:r>
        <w:t xml:space="preserve">该处“二级支行行长”仍为空白，请人工确认。</w:t>
      </w:r>
    </w:p>
  </w:comment>
  <w:comment w:id="16" w:author="信贷报告 Agent" w:date="2026-04-13T14:59:03Z" w:initials="Agent">
    <w:p>
      <w:r>
        <w:rPr>
          <w:rStyle w:val="CommentReference"/>
        </w:rPr>
        <w:annotationRef/>
      </w:r>
      <w:r>
        <w:t xml:space="preserve">该处“分管行长”仍为空白，请人工确认。</w:t>
      </w:r>
    </w:p>
  </w:comment>
  <w:comment w:id="17" w:author="信贷报告 Agent" w:date="2026-04-13T14:59:03Z" w:initials="Agent">
    <w:p>
      <w:r>
        <w:rPr>
          <w:rStyle w:val="CommentReference"/>
        </w:rPr>
        <w:annotationRef/>
      </w:r>
      <w:r>
        <w:t xml:space="preserve">该处“行长”仍为空白，请人工确认。</w:t>
      </w:r>
    </w:p>
  </w:comment>
  <w:comment w:id="18" w:author="信贷报告 Agent" w:date="2026-04-13T14:59:03Z" w:initials="Agent">
    <w:p>
      <w:r>
        <w:rPr>
          <w:rStyle w:val="CommentReference"/>
        </w:rPr>
        <w:annotationRef/>
      </w:r>
      <w:r>
        <w:t xml:space="preserve">该处“审查员”仍为空白，请人工确认。</w:t>
      </w:r>
    </w:p>
  </w:comment>
  <w:comment w:id="19" w:author="信贷报告 Agent" w:date="2026-04-13T14:59:03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