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福建省分行普惠法人授信申报及审查审批意见表（2025新版）</w:t>
            </w:r>
            <w:r>
              <w:rPr>
                <w:rFonts w:hint="eastAsia" w:ascii="宋体" w:hAnsi="宋体" w:cs="宋体"/>
                <w:b/>
                <w:snapToGrid w:val="0"/>
                <w:color w:val="000000"/>
                <w:kern w:val="0"/>
                <w:sz w:val="32"/>
                <w:szCs w:val="32"/>
              </w:rPr>
            </w:r>
            <w:r>
              <w:rPr>
                <w:rFonts w:hint="eastAsia" w:ascii="宋体" w:hAnsi="宋体" w:cs="宋体"/>
                <w:b/>
                <w:snapToGrid w:val="0"/>
                <w:color w:val="000000"/>
                <w:kern w:val="0"/>
                <w:sz w:val="32"/>
                <w:szCs w:val="32"/>
                <w:lang w:val="en-US" w:eastAsia="zh-CN"/>
              </w:rPr>
            </w:r>
            <w:r>
              <w:rPr>
                <w:rFonts w:hint="eastAsia" w:ascii="宋体" w:hAnsi="宋体" w:cs="宋体"/>
                <w:b/>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b/>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b/>
                <w:sz w:val="21"/>
                <w:szCs w:val="21"/>
                <w:highlight w:val="none"/>
                <w:lang w:val="en-US" w:eastAsia="zh-CN"/>
              </w:rPr>
              <w:t>申报单位：[待补充]</w:t>
              <w:tab/>
              <w:tab/>
              <w:tab/>
              <w:tab/>
              <w:tab/>
              <w:t>客户经理：[待补充]                联系电话：[待补充]</w:t>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lang w:val="en-US" w:eastAsia="zh-CN"/>
              </w:rPr>
            </w:r>
            <w:r>
              <w:rPr>
                <w:rFonts w:hint="eastAsia" w:ascii="宋体" w:hAnsi="宋体" w:eastAsia="宋体" w:cs="宋体"/>
                <w:b/>
                <w:sz w:val="21"/>
                <w:szCs w:val="21"/>
                <w:highlight w:val="none"/>
              </w:rPr>
            </w:r>
            <w:r>
              <w:rPr>
                <w:rFonts w:hint="eastAsia" w:ascii="宋体" w:hAnsi="宋体" w:eastAsia="宋体" w:cs="宋体"/>
                <w:b/>
                <w:i w:val="0"/>
                <w:iCs w:val="0"/>
                <w:sz w:val="21"/>
                <w:szCs w:val="21"/>
                <w:highlight w:val="none"/>
              </w:rPr>
            </w:r>
            <w:r>
              <w:rPr>
                <w:rFonts w:hint="eastAsia" w:ascii="宋体" w:hAnsi="宋体" w:eastAsia="宋体" w:cs="宋体"/>
                <w:b/>
                <w:i w:val="0"/>
                <w:iCs w:val="0"/>
                <w:sz w:val="21"/>
                <w:szCs w:val="21"/>
                <w:highlight w:val="none"/>
                <w:lang w:eastAsia="zh-CN"/>
              </w:rPr>
            </w:r>
            <w:r>
              <w:rPr>
                <w:rFonts w:hint="eastAsia" w:ascii="宋体" w:hAnsi="宋体" w:eastAsia="宋体" w:cs="宋体"/>
                <w:b/>
                <w:i w:val="0"/>
                <w:iCs w:val="0"/>
                <w:sz w:val="21"/>
                <w:szCs w:val="21"/>
                <w:highlight w:val="none"/>
                <w:lang w:val="en-US" w:eastAsia="zh-CN"/>
              </w:rPr>
            </w:r>
            <w:r>
              <w:rPr>
                <w:rFonts w:hint="eastAsia" w:ascii="宋体" w:hAnsi="宋体" w:eastAsia="宋体" w:cs="宋体"/>
                <w:b/>
                <w:sz w:val="21"/>
                <w:szCs w:val="21"/>
                <w:highlight w:val="none"/>
              </w:rPr>
            </w:r>
            <w:commentRangeEnd w:id="0"/>
            <w:r>
              <w:rPr>
                <w:rStyle w:val="CommentReference"/>
              </w:rPr>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w:t>
            </w:r>
            <w:r>
              <w:rPr>
                <w:rFonts w:hint="eastAsia" w:ascii="宋体" w:hAnsi="宋体" w:cs="宋体"/>
                <w:b/>
                <w:bCs/>
                <w:snapToGrid w:val="0"/>
                <w:kern w:val="0"/>
                <w:szCs w:val="21"/>
                <w:lang w:eastAsia="zh-CN"/>
              </w:rPr>
              <w:t>存量</w:t>
            </w:r>
            <w:r>
              <w:rPr>
                <w:rFonts w:hint="eastAsia" w:ascii="宋体" w:hAnsi="宋体" w:cs="宋体"/>
                <w:b/>
                <w:bCs/>
                <w:snapToGrid w:val="0"/>
                <w:kern w:val="0"/>
                <w:szCs w:val="21"/>
              </w:rPr>
              <w:t>客户</w:t>
            </w:r>
            <w:r>
              <w:rPr>
                <w:rFonts w:hint="eastAsia" w:ascii="宋体" w:hAnsi="宋体" w:cs="宋体"/>
                <w:b/>
                <w:bCs/>
                <w:snapToGrid w:val="0"/>
                <w:kern w:val="0"/>
                <w:szCs w:val="21"/>
                <w:lang w:eastAsia="zh-CN"/>
              </w:rPr>
              <w:t>（</w:t>
            </w:r>
            <w:r>
              <w:rPr>
                <w:rFonts w:hint="eastAsia" w:ascii="宋体" w:hAnsi="宋体" w:cs="宋体"/>
                <w:b/>
                <w:bCs/>
                <w:szCs w:val="21"/>
              </w:rPr>
              <w:t>原有额度批复日期</w:t>
            </w:r>
            <w:r>
              <w:rPr>
                <w:rFonts w:hint="eastAsia" w:ascii="宋体" w:hAnsi="宋体" w:cs="宋体"/>
                <w:b/>
                <w:bCs/>
                <w:snapToGrid w:val="0"/>
                <w:kern w:val="0"/>
                <w:szCs w:val="21"/>
                <w:lang w:val="en-US" w:eastAsia="zh-CN"/>
              </w:rPr>
              <w:t>:</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年</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月</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日</w:t>
            </w:r>
            <w:r>
              <w:rPr>
                <w:rFonts w:hint="eastAsia" w:ascii="宋体" w:hAnsi="宋体" w:cs="宋体"/>
                <w:b/>
                <w:bCs/>
                <w:snapToGrid w:val="0"/>
                <w:kern w:val="0"/>
                <w:szCs w:val="21"/>
                <w:lang w:eastAsia="zh-CN"/>
              </w:rPr>
              <w:t>）</w:t>
            </w:r>
            <w:r>
              <w:rPr>
                <w:rFonts w:hint="eastAsia" w:ascii="宋体" w:hAnsi="宋体" w:cs="宋体"/>
                <w:b/>
                <w:bCs/>
                <w:snapToGrid w:val="0"/>
                <w:kern w:val="0"/>
                <w:szCs w:val="21"/>
              </w:rPr>
              <w:t xml:space="preserve">□维持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增加</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□减少</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国标</w:t>
            </w:r>
            <w:r>
              <w:rPr>
                <w:rFonts w:hint="eastAsia" w:ascii="宋体" w:hAnsi="宋体" w:cs="宋体"/>
                <w:b/>
                <w:bCs/>
                <w:snapToGrid w:val="0"/>
                <w:color w:val="000000"/>
                <w:kern w:val="0"/>
                <w:szCs w:val="21"/>
              </w:rPr>
              <w:t>行业</w:t>
            </w:r>
            <w:r>
              <w:rPr>
                <w:rFonts w:hint="eastAsia" w:ascii="宋体" w:hAnsi="宋体" w:eastAsia="宋体" w:cs="宋体"/>
                <w:b/>
                <w:bCs/>
                <w:snapToGrid w:val="0"/>
                <w:kern w:val="0"/>
                <w:szCs w:val="21"/>
                <w:lang w:eastAsia="zh-CN"/>
              </w:rPr>
              <w:t>（</w:t>
            </w:r>
            <w:r>
              <w:rPr>
                <w:rFonts w:hint="eastAsia" w:ascii="宋体" w:hAnsi="宋体" w:eastAsia="宋体" w:cs="宋体"/>
                <w:b/>
                <w:bCs/>
                <w:snapToGrid w:val="0"/>
                <w:kern w:val="0"/>
                <w:szCs w:val="21"/>
                <w:lang w:val="en-US" w:eastAsia="zh-CN"/>
              </w:rPr>
              <w:t>门类-大类-中类-小类</w:t>
            </w:r>
            <w:r>
              <w:rPr>
                <w:rFonts w:hint="eastAsia" w:ascii="宋体" w:hAnsi="宋体" w:eastAsia="宋体" w:cs="宋体"/>
                <w:b/>
                <w:bCs/>
                <w:snapToGrid w:val="0"/>
                <w:kern w:val="0"/>
                <w:szCs w:val="21"/>
                <w:lang w:eastAsia="zh-CN"/>
              </w:rPr>
              <w:t>）</w:t>
            </w:r>
            <w:r>
              <w:rPr>
                <w:rFonts w:hint="eastAsia" w:ascii="宋体" w:hAnsi="宋体" w:cs="宋体"/>
                <w:b/>
                <w:bCs/>
                <w:snapToGrid w:val="0"/>
                <w:color w:val="000000"/>
                <w:kern w:val="0"/>
                <w:szCs w:val="21"/>
              </w:rPr>
              <w:t>：</w:t>
            </w:r>
            <w:r>
              <w:rPr>
                <w:rFonts w:hint="eastAsia" w:ascii="宋体" w:hAnsi="宋体" w:cs="宋体"/>
                <w:b/>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规模</w:t>
            </w:r>
            <w:r>
              <w:rPr>
                <w:rFonts w:hint="eastAsia" w:ascii="宋体" w:hAnsi="宋体" w:cs="宋体"/>
                <w:b/>
                <w:bCs/>
                <w:snapToGrid w:val="0"/>
                <w:kern w:val="0"/>
                <w:szCs w:val="21"/>
              </w:rPr>
              <w:t>划型：□微型 ☑小型 □中型</w:t>
            </w:r>
            <w:r>
              <w:rPr>
                <w:rFonts w:hint="eastAsia" w:ascii="宋体" w:hAnsi="宋体" w:cs="宋体"/>
                <w:b/>
                <w:bCs/>
                <w:snapToGrid w:val="0"/>
                <w:kern w:val="0"/>
                <w:szCs w:val="21"/>
                <w:lang w:eastAsia="zh-CN"/>
              </w:rPr>
              <w:t>，</w:t>
            </w:r>
            <w:r>
              <w:rPr>
                <w:rFonts w:hint="eastAsia" w:ascii="宋体" w:hAnsi="宋体" w:eastAsia="宋体" w:cs="宋体"/>
                <w:b/>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 [待补充]；上年度销售额 [待补充]；上年度末员工人数 [待补充]</w:t>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
                <w:bCs/>
                <w:snapToGrid w:val="0"/>
                <w:kern w:val="0"/>
                <w:szCs w:val="21"/>
                <w:lang w:val="en-US" w:eastAsia="zh-CN"/>
              </w:rPr>
              <w:t>环境、社会和治理风险分类</w:t>
            </w:r>
            <w:r>
              <w:rPr>
                <w:rFonts w:hint="eastAsia" w:ascii="宋体" w:hAnsi="宋体" w:eastAsia="宋体" w:cs="宋体"/>
                <w:b/>
                <w:bCs/>
                <w:strike w:val="0"/>
                <w:dstrike w:val="0"/>
                <w:sz w:val="21"/>
                <w:szCs w:val="21"/>
                <w:highlight w:val="none"/>
                <w:lang w:val="en-US" w:eastAsia="zh-CN"/>
              </w:rPr>
              <w:t>（ESG评价）</w:t>
            </w:r>
            <w:r>
              <w:rPr>
                <w:rFonts w:hint="eastAsia" w:ascii="宋体" w:hAnsi="宋体" w:eastAsia="宋体" w:cs="宋体"/>
                <w:b/>
                <w:bCs/>
                <w:snapToGrid w:val="0"/>
                <w:kern w:val="0"/>
                <w:szCs w:val="21"/>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A</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val="en-US" w:eastAsia="zh-CN"/>
              </w:rPr>
              <w:t xml:space="preserve">B </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C</w:t>
            </w:r>
            <w:r>
              <w:rPr>
                <w:rFonts w:hint="eastAsia" w:ascii="宋体" w:hAnsi="宋体" w:eastAsia="宋体" w:cs="宋体"/>
                <w:b/>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
                <w:bCs/>
                <w:snapToGrid w:val="0"/>
                <w:kern w:val="0"/>
                <w:szCs w:val="21"/>
                <w:lang w:val="en-US" w:eastAsia="zh-CN"/>
              </w:rPr>
              <w:t>反洗钱</w:t>
            </w:r>
            <w:r>
              <w:rPr>
                <w:rFonts w:hint="eastAsia" w:ascii="宋体" w:hAnsi="宋体" w:eastAsia="宋体" w:cs="宋体"/>
                <w:b/>
                <w:bCs/>
                <w:sz w:val="21"/>
                <w:szCs w:val="21"/>
                <w:highlight w:val="none"/>
                <w:lang w:val="en-US" w:eastAsia="zh-CN"/>
              </w:rPr>
              <w:t>风险等级：</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低</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eastAsia="zh-CN"/>
              </w:rPr>
              <w:t>一般</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较高（</w:t>
            </w:r>
            <w:r>
              <w:rPr>
                <w:rFonts w:hint="eastAsia" w:ascii="宋体" w:hAnsi="宋体" w:eastAsia="宋体" w:cs="宋体"/>
                <w:b/>
                <w:bCs/>
                <w:strike w:val="0"/>
                <w:dstrike w:val="0"/>
                <w:sz w:val="21"/>
                <w:szCs w:val="21"/>
                <w:highlight w:val="none"/>
                <w:lang w:val="en-US" w:eastAsia="zh-CN"/>
              </w:rPr>
              <w:t>须在其他负面信息栏说明</w:t>
            </w:r>
            <w:r>
              <w:rPr>
                <w:rFonts w:hint="eastAsia" w:ascii="宋体" w:hAnsi="宋体" w:eastAsia="宋体" w:cs="宋体"/>
                <w:b/>
                <w:bCs/>
                <w:sz w:val="21"/>
                <w:szCs w:val="21"/>
                <w:highlight w:val="none"/>
                <w:lang w:eastAsia="zh-CN"/>
              </w:rPr>
              <w:t>）；</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高（</w:t>
            </w:r>
            <w:r>
              <w:rPr>
                <w:rFonts w:hint="eastAsia" w:ascii="宋体" w:hAnsi="宋体" w:eastAsia="宋体" w:cs="宋体"/>
                <w:b/>
                <w:bCs/>
                <w:sz w:val="21"/>
                <w:szCs w:val="21"/>
                <w:highlight w:val="none"/>
                <w:lang w:val="en-US" w:eastAsia="zh-CN"/>
              </w:rPr>
              <w:t>不得准入</w:t>
            </w:r>
            <w:r>
              <w:rPr>
                <w:rFonts w:hint="eastAsia" w:ascii="宋体" w:hAnsi="宋体" w:eastAsia="宋体" w:cs="宋体"/>
                <w:b/>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申报额度：[待补充]；申报敞口：[待补充]；【上一期授信敞口（若有）：[待补充]】</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业务品种：[待补充]；业务期限：[待补充]；授信期限：[待补充]</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担保方式：[待补充]；【上一期授信担保方式：[待补充]】</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成立于2012年1月，经营地址位于福州大学国家大学科技园8号楼5层。经营地为租用办公楼，租用总面积2523平，年租金115万。已取得资质情况：不涉及。材料未提供上年度末社保人数。注册资本：4100万元。材料未提供实收资本。法定代表人：主管会计。材料未提供最新股权结构表。材料未提供过往两年企业股权变动情况及变动原因。</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
                <w:bCs/>
                <w:sz w:val="21"/>
                <w:szCs w:val="21"/>
                <w:highlight w:val="none"/>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排污</w:t>
            </w:r>
            <w:r>
              <w:rPr>
                <w:rFonts w:hint="eastAsia" w:ascii="宋体" w:hAnsi="宋体" w:eastAsia="宋体" w:cs="宋体"/>
                <w:b/>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commentRangeStart w:id="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t>上年度末社保人数     人；注册资本： 4100万元、实收资本：        万元；法定代表人： 黄祖海 。</w:t>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commentRangeEnd w:id="3"/>
            <w:r>
              <w:rPr>
                <w:rStyle w:val="CommentReference"/>
              </w:rPr>
              <w:commentReference w:id="3"/>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r>
            <w:r>
              <w:rPr>
                <w:rFonts w:hint="eastAsia" w:ascii="宋体" w:hAnsi="宋体" w:cs="宋体"/>
                <w:snapToGrid w:val="0"/>
                <w:kern w:val="0"/>
                <w:szCs w:val="21"/>
                <w:highlight w:val="none"/>
                <w:u w:val="single"/>
                <w:lang w:val="en-US" w:eastAsia="zh-CN"/>
              </w:rPr>
            </w:r>
          </w:p>
          <w:p w14:paraId="360105F5">
            <w:commentRangeStart w:id="4"/>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w:t>
            </w:r>
            <w:commentRangeEnd w:id="4"/>
            <w:r>
              <w:rPr>
                <w:rStyle w:val="CommentReference"/>
              </w:rPr>
              <w:commentReference w:id="4"/>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snapToGrid w:val="0"/>
                <w:color w:val="000000"/>
                <w:kern w:val="0"/>
                <w:szCs w:val="21"/>
                <w:lang w:val="en-US" w:eastAsia="zh-CN"/>
              </w:rPr>
              <w:t>材料未提供面访时间、双方会面人员信息。实控人黄祖海，配偶康恩慧，具备湖南大学电子商务专业本科学历，自2000年5月起进入行业，现任福建中锐网络股份有限公司董事长兼总裁，行业经验丰富。</w:t>
            </w:r>
            <w:r>
              <w:rPr>
                <w:rFonts w:hint="eastAsia" w:ascii="宋体" w:hAnsi="宋体" w:cs="宋体"/>
                <w:b/>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材料未提供实地走访情况。</w:t>
            </w:r>
            <w:r>
              <w:rPr>
                <w:rFonts w:hint="eastAsia" w:ascii="宋体" w:hAnsi="宋体" w:cs="宋体"/>
                <w:b/>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
                <w:bCs/>
                <w:kern w:val="2"/>
                <w:sz w:val="21"/>
                <w:szCs w:val="21"/>
                <w:highlight w:val="none"/>
                <w:lang w:val="en-US" w:eastAsia="zh-CN"/>
              </w:rPr>
              <w:t>※</w:t>
            </w:r>
            <w:r>
              <w:rPr>
                <w:rFonts w:hint="eastAsia" w:ascii="宋体" w:hAnsi="宋体" w:cs="宋体"/>
                <w:b/>
                <w:bCs/>
                <w:kern w:val="2"/>
                <w:sz w:val="21"/>
                <w:szCs w:val="21"/>
                <w:highlight w:val="none"/>
                <w:lang w:val="en-US" w:eastAsia="zh-CN"/>
              </w:rPr>
              <w:t>4.</w:t>
            </w:r>
            <w:r>
              <w:rPr>
                <w:rFonts w:hint="eastAsia" w:ascii="宋体" w:hAnsi="宋体" w:eastAsia="宋体" w:cs="宋体"/>
                <w:b/>
                <w:bCs/>
                <w:kern w:val="2"/>
                <w:sz w:val="21"/>
                <w:szCs w:val="21"/>
                <w:highlight w:val="none"/>
                <w:lang w:val="en-US" w:eastAsia="zh-CN"/>
              </w:rPr>
              <w:t>历年</w:t>
            </w:r>
            <w:r>
              <w:rPr>
                <w:rFonts w:hint="eastAsia" w:ascii="宋体" w:hAnsi="宋体" w:cs="宋体"/>
                <w:b/>
                <w:bCs/>
                <w:kern w:val="2"/>
                <w:sz w:val="21"/>
                <w:szCs w:val="21"/>
                <w:highlight w:val="none"/>
                <w:lang w:val="en-US" w:eastAsia="zh-CN"/>
              </w:rPr>
              <w:t>股权</w:t>
            </w:r>
            <w:r>
              <w:rPr>
                <w:rFonts w:hint="eastAsia" w:ascii="宋体" w:hAnsi="宋体" w:eastAsia="宋体" w:cs="宋体"/>
                <w:b/>
                <w:bCs/>
                <w:kern w:val="2"/>
                <w:sz w:val="21"/>
                <w:szCs w:val="21"/>
                <w:highlight w:val="none"/>
                <w:lang w:val="en-US" w:eastAsia="zh-CN"/>
              </w:rPr>
              <w:t>融资情况</w:t>
            </w:r>
            <w:r>
              <w:rPr>
                <w:rFonts w:hint="eastAsia" w:ascii="宋体" w:hAnsi="宋体" w:eastAsia="宋体" w:cs="宋体"/>
                <w:b/>
                <w:sz w:val="21"/>
                <w:szCs w:val="21"/>
                <w:highlight w:val="none"/>
              </w:rPr>
              <w:t>（</w:t>
            </w:r>
            <w:r>
              <w:rPr>
                <w:rFonts w:hint="eastAsia" w:ascii="宋体" w:hAnsi="宋体" w:cs="宋体"/>
                <w:b/>
                <w:sz w:val="21"/>
                <w:szCs w:val="21"/>
                <w:highlight w:val="none"/>
                <w:lang w:val="en-US" w:eastAsia="zh-CN"/>
              </w:rPr>
              <w:t>如</w:t>
            </w:r>
            <w:r>
              <w:rPr>
                <w:rFonts w:hint="eastAsia" w:ascii="宋体" w:hAnsi="宋体" w:eastAsia="宋体" w:cs="宋体"/>
                <w:b/>
                <w:sz w:val="21"/>
                <w:szCs w:val="21"/>
                <w:highlight w:val="none"/>
                <w:lang w:val="en-US" w:eastAsia="zh-CN"/>
              </w:rPr>
              <w:t>为</w:t>
            </w:r>
            <w:r>
              <w:rPr>
                <w:rFonts w:hint="eastAsia" w:ascii="宋体" w:hAnsi="宋体" w:cs="宋体"/>
                <w:b/>
                <w:sz w:val="21"/>
                <w:szCs w:val="21"/>
                <w:highlight w:val="none"/>
                <w:lang w:val="en-US" w:eastAsia="zh-CN"/>
              </w:rPr>
              <w:t>科技型</w:t>
            </w:r>
            <w:r>
              <w:rPr>
                <w:rFonts w:hint="eastAsia" w:ascii="宋体" w:hAnsi="宋体" w:eastAsia="宋体" w:cs="宋体"/>
                <w:b/>
                <w:sz w:val="21"/>
                <w:szCs w:val="21"/>
                <w:highlight w:val="none"/>
                <w:lang w:val="en-US" w:eastAsia="zh-CN"/>
              </w:rPr>
              <w:t>企业，请填列下表</w:t>
            </w:r>
            <w:r>
              <w:rPr>
                <w:rFonts w:hint="eastAsia" w:ascii="宋体" w:hAnsi="宋体" w:eastAsia="宋体" w:cs="宋体"/>
                <w:b/>
                <w:sz w:val="21"/>
                <w:szCs w:val="21"/>
                <w:highlight w:val="none"/>
              </w:rPr>
              <w:t>）</w:t>
            </w:r>
            <w:r>
              <w:rPr>
                <w:rFonts w:hint="eastAsia" w:ascii="宋体" w:hAnsi="宋体" w:cs="宋体"/>
                <w:b/>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r>
                    <w:t>2025年</w:t>
                  </w: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r>
                    <w:t>213</w:t>
                  </w: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r>
                    <w:t>投资机构</w:t>
                  </w: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r>
                    <w:t>融资阶段</w:t>
                  </w: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r>
                    <w:t>投后估值</w:t>
                  </w: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自2017年以来，我行与借款人建立授信合作关系，近三年分别给予其500、400、500万授信敞口。</w:t>
            </w:r>
            <w:r>
              <w:rPr>
                <w:rFonts w:hint="eastAsia" w:ascii="宋体" w:hAnsi="宋体" w:eastAsia="宋体" w:cs="宋体"/>
                <w:b/>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w:t>
                  </w:r>
                  <w:r>
                    <w:rPr>
                      <w:rFonts w:hint="eastAsia" w:ascii="宋体" w:hAnsi="宋体" w:eastAsia="宋体" w:cs="宋体"/>
                      <w:snapToGrid w:val="0"/>
                      <w:color w:val="000000"/>
                      <w:kern w:val="0"/>
                      <w:sz w:val="18"/>
                      <w:szCs w:val="18"/>
                      <w:highlight w:val="none"/>
                      <w:u w:val="single"/>
                      <w:vertAlign w:val="baseline"/>
                      <w:lang w:val="en-US" w:eastAsia="zh-CN"/>
                    </w:rPr>
                    <w:t xml:space="preserve"> 截至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截至年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年月 </w:t>
                  </w:r>
                  <w:r>
                    <w:rPr>
                      <w:rFonts w:hint="eastAsia" w:ascii="宋体" w:hAnsi="宋体" w:eastAsia="宋体" w:cs="宋体"/>
                      <w:snapToGrid w:val="0"/>
                      <w:color w:val="000000"/>
                      <w:kern w:val="0"/>
                      <w:sz w:val="18"/>
                      <w:szCs w:val="18"/>
                      <w:highlight w:val="none"/>
                      <w:u w:val="none"/>
                      <w:vertAlign w:val="baseline"/>
                      <w:lang w:val="en-US" w:eastAsia="zh-CN"/>
                    </w:rPr>
                    <w:t>日，经531系统查询，借款人</w:t>
                  </w:r>
                  <w:r>
                    <w:rPr>
                      <w:rFonts w:hint="eastAsia" w:ascii="宋体" w:hAnsi="宋体" w:eastAsia="宋体" w:cs="宋体"/>
                      <w:snapToGrid w:val="0"/>
                      <w:color w:val="000000"/>
                      <w:kern w:val="0"/>
                      <w:sz w:val="18"/>
                      <w:szCs w:val="18"/>
                      <w:highlight w:val="none"/>
                      <w:u w:val="single"/>
                      <w:vertAlign w:val="baseline"/>
                      <w:lang w:val="en-US" w:eastAsia="zh-CN"/>
                    </w:rPr>
                    <w:t xml:space="preserve"> 月日，经531系统查询，借款人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日，经531系统查询，借款人年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日提贷</w:t>
                  </w:r>
                  <w:r>
                    <w:rPr>
                      <w:rFonts w:hint="eastAsia" w:ascii="宋体" w:hAnsi="宋体" w:eastAsia="宋体" w:cs="宋体"/>
                      <w:snapToGrid w:val="0"/>
                      <w:color w:val="000000"/>
                      <w:kern w:val="0"/>
                      <w:sz w:val="18"/>
                      <w:szCs w:val="18"/>
                      <w:highlight w:val="none"/>
                      <w:u w:val="single"/>
                      <w:vertAlign w:val="baseline"/>
                      <w:lang w:val="en-US" w:eastAsia="zh-CN"/>
                    </w:rPr>
                    <w:t xml:space="preserve"> 月日提贷 </w:t>
                  </w:r>
                  <w:r>
                    <w:rPr>
                      <w:rFonts w:hint="eastAsia" w:ascii="宋体" w:hAnsi="宋体" w:eastAsia="宋体" w:cs="宋体"/>
                      <w:snapToGrid w:val="0"/>
                      <w:color w:val="000000"/>
                      <w:kern w:val="0"/>
                      <w:sz w:val="18"/>
                      <w:szCs w:val="18"/>
                      <w:highlight w:val="none"/>
                      <w:u w:val="none"/>
                      <w:vertAlign w:val="baseline"/>
                      <w:lang w:val="en-US" w:eastAsia="zh-CN"/>
                    </w:rPr>
                    <w:t>万元，到期日</w:t>
                  </w:r>
                  <w:r>
                    <w:rPr>
                      <w:rFonts w:hint="eastAsia" w:ascii="宋体" w:hAnsi="宋体" w:eastAsia="宋体" w:cs="宋体"/>
                      <w:snapToGrid w:val="0"/>
                      <w:color w:val="000000"/>
                      <w:kern w:val="0"/>
                      <w:sz w:val="18"/>
                      <w:szCs w:val="18"/>
                      <w:highlight w:val="none"/>
                      <w:u w:val="single"/>
                      <w:vertAlign w:val="baseline"/>
                      <w:lang w:val="en-US" w:eastAsia="zh-CN"/>
                    </w:rPr>
                    <w:t xml:space="preserve"> 日提贷万元，到期日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万元，到期日年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日，贷款采取</w:t>
                  </w:r>
                  <w:r>
                    <w:rPr>
                      <w:rFonts w:hint="eastAsia" w:ascii="宋体" w:hAnsi="宋体" w:eastAsia="宋体" w:cs="宋体"/>
                      <w:snapToGrid w:val="0"/>
                      <w:color w:val="000000"/>
                      <w:kern w:val="0"/>
                      <w:sz w:val="18"/>
                      <w:szCs w:val="18"/>
                      <w:highlight w:val="none"/>
                      <w:u w:val="single"/>
                      <w:vertAlign w:val="baseline"/>
                      <w:lang w:val="en-US" w:eastAsia="zh-CN"/>
                    </w:rPr>
                    <w:t>自主</w:t>
                  </w:r>
                  <w:r>
                    <w:rPr>
                      <w:rFonts w:hint="eastAsia" w:ascii="宋体" w:hAnsi="宋体" w:eastAsia="宋体" w:cs="宋体"/>
                      <w:snapToGrid w:val="0"/>
                      <w:color w:val="000000"/>
                      <w:kern w:val="0"/>
                      <w:sz w:val="18"/>
                      <w:szCs w:val="18"/>
                      <w:highlight w:val="none"/>
                      <w:u w:val="none"/>
                      <w:vertAlign w:val="baseline"/>
                      <w:lang w:val="en-US" w:eastAsia="zh-CN"/>
                    </w:rPr>
                    <w:t>支付方式发放，通过调取借款人账户流水，1.</w:t>
                  </w:r>
                  <w:r>
                    <w:rPr>
                      <w:rFonts w:hint="eastAsia" w:ascii="宋体" w:hAnsi="宋体" w:eastAsia="宋体" w:cs="宋体"/>
                      <w:snapToGrid w:val="0"/>
                      <w:color w:val="000000"/>
                      <w:kern w:val="0"/>
                      <w:sz w:val="18"/>
                      <w:szCs w:val="18"/>
                      <w:highlight w:val="none"/>
                      <w:u w:val="single"/>
                      <w:vertAlign w:val="baseline"/>
                      <w:lang w:val="en-US" w:eastAsia="zh-CN"/>
                    </w:rPr>
                    <w:t xml:space="preserve"> 日，贷款采取自主支付方式发放，通过调取借款人账户流水，1. </w:t>
                  </w:r>
                  <w:r>
                    <w:rPr>
                      <w:rFonts w:hint="eastAsia" w:ascii="宋体" w:hAnsi="宋体" w:eastAsia="宋体" w:cs="宋体"/>
                      <w:snapToGrid w:val="0"/>
                      <w:color w:val="000000"/>
                      <w:kern w:val="0"/>
                      <w:sz w:val="18"/>
                      <w:szCs w:val="18"/>
                      <w:highlight w:val="none"/>
                      <w:u w:val="none"/>
                      <w:vertAlign w:val="baseline"/>
                      <w:lang w:val="en-US" w:eastAsia="zh-CN"/>
                    </w:rPr>
                    <w:t>万元向</w:t>
                  </w:r>
                  <w:r>
                    <w:rPr>
                      <w:rFonts w:hint="eastAsia" w:ascii="宋体" w:hAnsi="宋体" w:eastAsia="宋体" w:cs="宋体"/>
                      <w:snapToGrid w:val="0"/>
                      <w:color w:val="000000"/>
                      <w:kern w:val="0"/>
                      <w:sz w:val="18"/>
                      <w:szCs w:val="18"/>
                      <w:highlight w:val="none"/>
                      <w:u w:val="single"/>
                      <w:vertAlign w:val="baseline"/>
                      <w:lang w:val="en-US" w:eastAsia="zh-CN"/>
                    </w:rPr>
                    <w:t xml:space="preserve"> 自主支付方式发放，通过调取借款人账户流水，1.万元向 </w:t>
                  </w:r>
                  <w:r>
                    <w:rPr>
                      <w:rFonts w:hint="eastAsia" w:ascii="宋体" w:hAnsi="宋体" w:eastAsia="宋体" w:cs="宋体"/>
                      <w:snapToGrid w:val="0"/>
                      <w:color w:val="000000"/>
                      <w:kern w:val="0"/>
                      <w:sz w:val="18"/>
                      <w:szCs w:val="18"/>
                      <w:highlight w:val="none"/>
                      <w:u w:val="none"/>
                      <w:vertAlign w:val="baseline"/>
                      <w:lang w:val="en-US" w:eastAsia="zh-CN"/>
                    </w:rPr>
                    <w:t>有限公司支付</w:t>
                  </w:r>
                  <w:r>
                    <w:rPr>
                      <w:rFonts w:hint="eastAsia" w:ascii="宋体" w:hAnsi="宋体" w:eastAsia="宋体" w:cs="宋体"/>
                      <w:snapToGrid w:val="0"/>
                      <w:color w:val="000000"/>
                      <w:kern w:val="0"/>
                      <w:sz w:val="18"/>
                      <w:szCs w:val="18"/>
                      <w:highlight w:val="none"/>
                      <w:u w:val="single"/>
                      <w:vertAlign w:val="baseline"/>
                      <w:lang w:val="en-US" w:eastAsia="zh-CN"/>
                    </w:rPr>
                    <w:t xml:space="preserve"> 万元向有限公司支付 </w:t>
                  </w:r>
                  <w:r>
                    <w:rPr>
                      <w:rFonts w:hint="eastAsia" w:ascii="宋体" w:hAnsi="宋体" w:eastAsia="宋体" w:cs="宋体"/>
                      <w:snapToGrid w:val="0"/>
                      <w:color w:val="000000"/>
                      <w:kern w:val="0"/>
                      <w:sz w:val="18"/>
                      <w:szCs w:val="18"/>
                      <w:highlight w:val="none"/>
                      <w:u w:val="none"/>
                      <w:vertAlign w:val="baseline"/>
                      <w:lang w:val="en-US" w:eastAsia="zh-CN"/>
                    </w:rPr>
                    <w:t>货款（已提供发票）；2.</w:t>
                  </w:r>
                  <w:r>
                    <w:rPr>
                      <w:rFonts w:hint="eastAsia" w:ascii="宋体" w:hAnsi="宋体" w:eastAsia="宋体" w:cs="宋体"/>
                      <w:snapToGrid w:val="0"/>
                      <w:color w:val="000000"/>
                      <w:kern w:val="0"/>
                      <w:sz w:val="18"/>
                      <w:szCs w:val="18"/>
                      <w:highlight w:val="none"/>
                      <w:u w:val="single"/>
                      <w:vertAlign w:val="baseline"/>
                      <w:lang w:val="en-US" w:eastAsia="zh-CN"/>
                    </w:rPr>
                    <w:t xml:space="preserve"> 有限公司支付货款（已提供发票）；2. </w:t>
                  </w:r>
                  <w:r>
                    <w:rPr>
                      <w:rFonts w:hint="eastAsia" w:ascii="宋体" w:hAnsi="宋体" w:eastAsia="宋体" w:cs="宋体"/>
                      <w:snapToGrid w:val="0"/>
                      <w:color w:val="000000"/>
                      <w:kern w:val="0"/>
                      <w:sz w:val="18"/>
                      <w:szCs w:val="18"/>
                      <w:highlight w:val="none"/>
                      <w:u w:val="none"/>
                      <w:vertAlign w:val="baseline"/>
                      <w:lang w:val="en-US" w:eastAsia="zh-CN"/>
                    </w:rPr>
                    <w:t>万元转至工行同户名账户，穿透查看用于向</w:t>
                  </w:r>
                  <w:r>
                    <w:rPr>
                      <w:rFonts w:hint="eastAsia" w:ascii="宋体" w:hAnsi="宋体" w:eastAsia="宋体" w:cs="宋体"/>
                      <w:snapToGrid w:val="0"/>
                      <w:color w:val="000000"/>
                      <w:kern w:val="0"/>
                      <w:sz w:val="18"/>
                      <w:szCs w:val="18"/>
                      <w:highlight w:val="none"/>
                      <w:u w:val="single"/>
                      <w:vertAlign w:val="baseline"/>
                      <w:lang w:val="en-US" w:eastAsia="zh-CN"/>
                    </w:rPr>
                    <w:t xml:space="preserve"> 货款（已提供发票）；2.万元转至工行同户名账户，穿透查看用于向 </w:t>
                  </w:r>
                  <w:r>
                    <w:rPr>
                      <w:rFonts w:hint="eastAsia" w:ascii="宋体" w:hAnsi="宋体" w:eastAsia="宋体" w:cs="宋体"/>
                      <w:snapToGrid w:val="0"/>
                      <w:color w:val="000000"/>
                      <w:kern w:val="0"/>
                      <w:sz w:val="18"/>
                      <w:szCs w:val="18"/>
                      <w:highlight w:val="none"/>
                      <w:u w:val="none"/>
                      <w:vertAlign w:val="baseline"/>
                      <w:lang w:val="en-US" w:eastAsia="zh-CN"/>
                    </w:rPr>
                    <w:t>个人支付</w:t>
                  </w:r>
                  <w:r>
                    <w:rPr>
                      <w:rFonts w:hint="eastAsia" w:ascii="宋体" w:hAnsi="宋体" w:eastAsia="宋体" w:cs="宋体"/>
                      <w:snapToGrid w:val="0"/>
                      <w:color w:val="000000"/>
                      <w:kern w:val="0"/>
                      <w:sz w:val="18"/>
                      <w:szCs w:val="18"/>
                      <w:highlight w:val="none"/>
                      <w:u w:val="single"/>
                      <w:vertAlign w:val="baseline"/>
                      <w:lang w:val="en-US" w:eastAsia="zh-CN"/>
                    </w:rPr>
                    <w:t>采购竹刨花原料</w:t>
                  </w:r>
                  <w:r>
                    <w:rPr>
                      <w:rFonts w:hint="eastAsia" w:ascii="宋体" w:hAnsi="宋体" w:eastAsia="宋体" w:cs="宋体"/>
                      <w:snapToGrid w:val="0"/>
                      <w:color w:val="000000"/>
                      <w:kern w:val="0"/>
                      <w:sz w:val="18"/>
                      <w:szCs w:val="18"/>
                      <w:highlight w:val="none"/>
                      <w:u w:val="none"/>
                      <w:vertAlign w:val="baseline"/>
                      <w:lang w:val="en-US" w:eastAsia="zh-CN"/>
                    </w:rPr>
                    <w:t>款</w:t>
                  </w:r>
                  <w:r>
                    <w:rPr>
                      <w:rFonts w:hint="eastAsia" w:ascii="宋体" w:hAnsi="宋体" w:eastAsia="宋体" w:cs="宋体"/>
                      <w:snapToGrid w:val="0"/>
                      <w:color w:val="000000"/>
                      <w:kern w:val="0"/>
                      <w:sz w:val="18"/>
                      <w:szCs w:val="18"/>
                      <w:highlight w:val="none"/>
                      <w:u w:val="single"/>
                      <w:vertAlign w:val="baseline"/>
                      <w:lang w:val="en-US" w:eastAsia="zh-CN"/>
                    </w:rPr>
                    <w:t xml:space="preserve"> 个人支付采购竹刨花原料款 </w:t>
                  </w:r>
                  <w:r>
                    <w:rPr>
                      <w:rFonts w:hint="eastAsia" w:ascii="宋体" w:hAnsi="宋体" w:eastAsia="宋体" w:cs="宋体"/>
                      <w:snapToGrid w:val="0"/>
                      <w:color w:val="000000"/>
                      <w:kern w:val="0"/>
                      <w:sz w:val="18"/>
                      <w:szCs w:val="18"/>
                      <w:highlight w:val="none"/>
                      <w:u w:val="none"/>
                      <w:vertAlign w:val="baseline"/>
                      <w:lang w:val="en-US" w:eastAsia="zh-CN"/>
                    </w:rPr>
                    <w:t>万元，其余用于支付税款；3.XX万元元转至农行同户名账户(基本户），用于向</w:t>
                  </w:r>
                  <w:r>
                    <w:rPr>
                      <w:rFonts w:hint="eastAsia" w:ascii="宋体" w:hAnsi="宋体" w:eastAsia="宋体" w:cs="宋体"/>
                      <w:snapToGrid w:val="0"/>
                      <w:color w:val="000000"/>
                      <w:kern w:val="0"/>
                      <w:sz w:val="18"/>
                      <w:szCs w:val="18"/>
                      <w:highlight w:val="none"/>
                      <w:u w:val="single"/>
                      <w:vertAlign w:val="baseline"/>
                      <w:lang w:val="en-US" w:eastAsia="zh-CN"/>
                    </w:rPr>
                    <w:t>37</w:t>
                  </w:r>
                  <w:r>
                    <w:rPr>
                      <w:rFonts w:hint="eastAsia" w:ascii="宋体" w:hAnsi="宋体" w:eastAsia="宋体" w:cs="宋体"/>
                      <w:snapToGrid w:val="0"/>
                      <w:color w:val="000000"/>
                      <w:kern w:val="0"/>
                      <w:sz w:val="18"/>
                      <w:szCs w:val="18"/>
                      <w:highlight w:val="none"/>
                      <w:u w:val="none"/>
                      <w:vertAlign w:val="baseline"/>
                      <w:lang w:val="en-US" w:eastAsia="zh-CN"/>
                    </w:rPr>
                    <w:t>个员工支付工资款。</w:t>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
                <w:bCs/>
                <w:snapToGrid w:val="0"/>
                <w:color w:val="auto"/>
                <w:kern w:val="0"/>
                <w:szCs w:val="21"/>
                <w:highlight w:val="none"/>
                <w:lang w:val="en-US" w:eastAsia="zh-CN"/>
              </w:rPr>
              <w:t>黄色预警提示法定代表人黄祖海目前信用卡存在逾期。材料未提供核实过程及结果。</w:t>
            </w:r>
            <w:r>
              <w:rPr>
                <w:rFonts w:hint="eastAsia" w:ascii="宋体" w:hAnsi="宋体" w:cs="宋体"/>
                <w:b/>
                <w:bCs/>
                <w:snapToGrid w:val="0"/>
                <w:color w:val="000000"/>
                <w:kern w:val="0"/>
                <w:szCs w:val="21"/>
                <w:highlight w:val="none"/>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8.</w:t>
            </w:r>
            <w:r>
              <w:rPr>
                <w:rFonts w:hint="eastAsia" w:ascii="宋体" w:hAnsi="宋体" w:cs="宋体"/>
                <w:b/>
                <w:bCs/>
                <w:snapToGrid w:val="0"/>
                <w:color w:val="000000"/>
                <w:kern w:val="0"/>
                <w:szCs w:val="21"/>
                <w:highlight w:val="none"/>
                <w:lang w:eastAsia="zh-CN"/>
              </w:rPr>
              <w:t>其他</w:t>
            </w:r>
            <w:r>
              <w:rPr>
                <w:rFonts w:hint="eastAsia" w:ascii="宋体" w:hAnsi="宋体" w:cs="宋体"/>
                <w:b/>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commentRangeStart w:id="5"/>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
                <w:bCs/>
                <w:snapToGrid w:val="0"/>
                <w:color w:val="000000"/>
                <w:kern w:val="0"/>
                <w:szCs w:val="21"/>
                <w:highlight w:val="none"/>
                <w:lang w:val="en-US" w:eastAsia="zh-CN"/>
              </w:rPr>
              <w:t>若有）PD评级较上期下滑，分析原因：</w:t>
            </w:r>
            <w:r>
              <w:rPr>
                <w:rFonts w:hint="eastAsia" w:ascii="宋体" w:hAnsi="宋体" w:cs="宋体"/>
                <w:b/>
                <w:snapToGrid w:val="0"/>
                <w:color w:val="000000"/>
                <w:kern w:val="0"/>
                <w:szCs w:val="21"/>
                <w:u w:val="single"/>
                <w:lang w:val="en-US" w:eastAsia="zh-CN"/>
              </w:rPr>
              <w:t xml:space="preserve">                                                                </w:t>
            </w:r>
            <w:commentRangeEnd w:id="5"/>
            <w:r>
              <w:rPr>
                <w:rStyle w:val="CommentReference"/>
              </w:rPr>
              <w:commentReference w:id="5"/>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（二）法定代表人/实控人简介</w:t>
            </w:r>
            <w:r>
              <w:rPr>
                <w:rFonts w:hint="eastAsia" w:ascii="宋体" w:hAnsi="宋体" w:cs="宋体"/>
                <w:b/>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（二）法定代表人/实控人简介</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t>法定代表人：黄祖海，中国国籍，身份证号350124197704201694，湖南大学电子商务专业本科学历。</w:t>
              <w:br/>
              <w:t>实际控制人：根据现有材料，实际控制人为黄祖海。其行业工作经历如下：2000年5月至2001年12月任福建实达网络科技有限公司技术工程师；2002年1月至2003年1月任福建实达网络科技有限公司技术经理；2003年1月至2011年12月任福建星网锐捷网络有限公司技术部总经理；2012年1月至2016年3月任福建中锐网络科技有限公司法定代表人、执行董事兼总经理；2016年3月至今任福建中锐网络股份有限公司董事长兼总裁。</w:t>
              <w:br/>
              <w:t>实际控制人配偶：康恩慧，身份证号352101197802182324。</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（三）借款人及</w:t>
            </w:r>
            <w:r>
              <w:rPr>
                <w:rFonts w:hint="eastAsia" w:ascii="宋体" w:hAnsi="宋体" w:cs="宋体"/>
                <w:b/>
                <w:bCs/>
                <w:snapToGrid w:val="0"/>
                <w:color w:val="auto"/>
                <w:kern w:val="0"/>
                <w:szCs w:val="21"/>
                <w:highlight w:val="none"/>
              </w:rPr>
              <w:t>实控人</w:t>
            </w:r>
            <w:r>
              <w:rPr>
                <w:rFonts w:hint="eastAsia" w:ascii="宋体" w:hAnsi="宋体" w:cs="宋体"/>
                <w:b/>
                <w:bCs/>
                <w:snapToGrid w:val="0"/>
                <w:color w:val="auto"/>
                <w:kern w:val="0"/>
                <w:szCs w:val="21"/>
                <w:highlight w:val="none"/>
                <w:lang w:val="en-US" w:eastAsia="zh-CN"/>
              </w:rPr>
              <w:t>家庭</w:t>
            </w:r>
            <w:r>
              <w:rPr>
                <w:rFonts w:hint="eastAsia" w:ascii="宋体" w:hAnsi="宋体" w:cs="宋体"/>
                <w:b/>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关联企业</w:t>
            </w:r>
            <w:r>
              <w:rPr>
                <w:rFonts w:hint="eastAsia" w:ascii="宋体" w:hAnsi="宋体" w:cs="宋体"/>
                <w:b/>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
                <w:bCs/>
                <w:snapToGrid w:val="0"/>
                <w:kern w:val="0"/>
                <w:szCs w:val="21"/>
                <w:highlight w:val="none"/>
              </w:rPr>
              <w:t>关联企业情况小结：企业关联方均为全资或控股子公司，共5家。福建中锐汉鼎信息技术有限公司主营智慧水利，上年收入1223万元，净利润-682万元。福建中锐教育科技有限公司主营智慧教育，上年收入21万元，净利润-1275万元。北京中锐青云科技有限公司主营产教融合创新服务，上年收入204万元，净利润16万元。厦门中锐软件科技有限公司主营软硬件销售，上年收入7万元，净利润-13万元。中锐海沃水利技术(福建)有限公司主营智慧水利，上年收入0万元，净利润0万元。</w:t>
            </w:r>
            <w:r>
              <w:rPr>
                <w:rFonts w:hint="eastAsia" w:ascii="宋体" w:hAnsi="宋体" w:eastAsia="宋体" w:cs="宋体"/>
                <w:b/>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
                <w:bCs/>
                <w:snapToGrid w:val="0"/>
                <w:kern w:val="0"/>
                <w:szCs w:val="21"/>
                <w:highlight w:val="none"/>
              </w:rPr>
            </w:r>
            <w:r>
              <w:rPr>
                <w:rFonts w:hint="eastAsia" w:ascii="宋体" w:hAnsi="宋体" w:cs="宋体"/>
                <w:snapToGrid w:val="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17895</w:t>
                  </w: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8357</w:t>
                  </w: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53.29%</w:t>
                  </w: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w:t>
                  </w: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21198</w:t>
                  </w: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30.55%</w:t>
                  </w: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983</w:t>
                  </w: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1104</w:t>
                  </w: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4410</w:t>
                  </w: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1432</w:t>
                  </w: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5301</w:t>
                  </w: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161</w:t>
                  </w: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3000</w:t>
                  </w: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1490</w:t>
                  </w: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w:t>
                  </w: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-4373</w:t>
                  </w: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17940</w:t>
                  </w: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8927</w:t>
                  </w: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50.25%</w:t>
                  </w: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1.57</w:t>
                  </w: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12130</w:t>
                  </w: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27.3%</w:t>
                  </w: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393</w:t>
                  </w: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1522</w:t>
                  </w: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6354</w:t>
                  </w: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3621</w:t>
                  </w: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2545</w:t>
                  </w: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256</w:t>
                  </w: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4000</w:t>
                  </w: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1847</w:t>
                  </w: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w:t>
                  </w: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269</w:t>
                  </w: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18575</w:t>
                  </w: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9256</w:t>
                  </w: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50.17%</w:t>
                  </w: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1.58</w:t>
                  </w: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8712</w:t>
                  </w: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38.8%</w:t>
                  </w: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329</w:t>
                  </w: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506</w:t>
                  </w: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9253</w:t>
                  </w: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3522</w:t>
                  </w: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1166</w:t>
                  </w: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164</w:t>
                  </w: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4990</w:t>
                  </w: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2333</w:t>
                  </w: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648</w:t>
                  </w: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-896</w:t>
                  </w: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r>
                    <w:t>2025年末(新增)</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16956</w:t>
                  </w: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9749</w:t>
                  </w: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42.5%</w:t>
                  </w: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1.82</w:t>
                  </w: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10010</w:t>
                  </w: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38.02%</w:t>
                  </w: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494</w:t>
                  </w: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286</w:t>
                  </w: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7430</w:t>
                  </w: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2774</w:t>
                  </w: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2192</w:t>
                  </w: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93</w:t>
                  </w: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4730</w:t>
                  </w: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1026</w:t>
                  </w: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168</w:t>
                  </w: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791</w:t>
                  </w: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材料未提供集团合并报表。</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【章节标题】1.产品（业务）及其市场应用：主营智慧水利与智慧教育业务。</w:t>
              <w:br/>
              <w:t>企业主营智慧水利与智慧教育业务。智慧水利业务聚焦水灾害、水工程、水资源、水生态水环境、水监督、水政务六大应用，核心产品包括大坝安全智能监测平台、智慧水利流域四预系统等，已成功应用于福建省300余座大中小型水库。智慧教育业务聚焦网络、人工智能、智慧行业领域，提供数字人才培养解决方案，与全国超过1000所高校及科研院所合作，服务1600多家政企客户。上年度收入结构中，水利业务占比46%，教育业务占比54%。</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企业为高新技术企业，主营业务为智慧水利与智慧教育。智慧水利产品包括大坝安全智能监测平台等，已应用于福建省300余座水库，并获得福建省科技进步奖二等奖。智慧教育业务与全国超过1000所高校及科研院所建立产学研合作，服务1600多家政企客户。上游第一大供应商为锐捷网络股份有限公司，采购占比19.77%；下游第一大客户为涵江水利局，销售占比10.02%。</w:t>
            </w:r>
            <w:r>
              <w:rPr>
                <w:rFonts w:hint="eastAsia" w:ascii="宋体" w:hAnsi="宋体" w:cs="宋体"/>
                <w:b/>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产品</w:t>
            </w:r>
            <w:r>
              <w:rPr>
                <w:rFonts w:hint="eastAsia" w:ascii="宋体" w:hAnsi="宋体" w:cs="宋体"/>
                <w:b/>
                <w:bCs/>
                <w:snapToGrid w:val="0"/>
                <w:color w:val="000000"/>
                <w:kern w:val="0"/>
                <w:szCs w:val="21"/>
                <w:highlight w:val="none"/>
                <w:lang w:eastAsia="zh-CN"/>
              </w:rPr>
              <w:t>生产、</w:t>
            </w:r>
            <w:r>
              <w:rPr>
                <w:rFonts w:hint="eastAsia" w:ascii="宋体" w:hAnsi="宋体" w:cs="宋体"/>
                <w:b/>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材料未提供产品生产量、销量及分产品销售收入数据。企业销售收入结构为水利业务占比46%，教育业务占比54%。材料未提供生产工艺流程。</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4.上下游情况：企业上游供应商包括锐捷网络股份有限公司、北京星链南天科技有限公司、广州浩瀚星图信息技术有限公司、新天科技股份有限公司、精导信息技术有限公司。下游客户包括涵江水利局、福建省翔远电子科技有限公司、三明水利水电工程有限公司顺昌分公司、福州市福清公路事业发展中心、济南展雄电子有限公司。</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commentRangeStart w:id="6"/>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①主要上游（前五大）：                                                   单位：万元材料未提供前五大供应商采购金额。</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commentRangeEnd w:id="6"/>
            <w:r>
              <w:rPr>
                <w:rStyle w:val="CommentReference"/>
              </w:rPr>
              <w:commentReference w:id="6"/>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943</w:t>
                  </w: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19.77%</w:t>
                  </w: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186</w:t>
                  </w: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3.90%</w:t>
                  </w: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172</w:t>
                  </w: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3.61%</w:t>
                  </w: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90</w:t>
                  </w: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1.88%</w:t>
                  </w: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89</w:t>
                  </w: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1.87%</w:t>
                  </w: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commentRangeStart w:id="7"/>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②主要下游（前五大）：                                                   单位：万元材料未提供前五大客户销售金额。</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commentRangeEnd w:id="7"/>
            <w:r>
              <w:rPr>
                <w:rStyle w:val="CommentReference"/>
              </w:rPr>
              <w:commentReference w:id="7"/>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1116</w:t>
                  </w: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10.02%</w:t>
                  </w: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1122</w:t>
                  </w: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9.92%</w:t>
                  </w: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572</w:t>
                  </w: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5.07%</w:t>
                  </w: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396</w:t>
                  </w: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3.51%</w:t>
                  </w: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356</w:t>
                  </w: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2.99%</w:t>
                  </w: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③经营账期：材料未提供具体经营账期信息。</w:t>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材料未提供在手订单列表。</w:t>
            </w: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①</w:t>
            </w:r>
            <w:r>
              <w:rPr>
                <w:rFonts w:ascii="宋体" w:hAnsi="宋体"/>
                <w:b/>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②</w:t>
            </w:r>
            <w:r>
              <w:rPr>
                <w:rFonts w:ascii="宋体" w:hAnsi="宋体"/>
                <w:b/>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r>
                    <w:t>中国银行股份有限公司福建省分行</w:t>
                  </w: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r>
                    <w:t>福建中锐网络股份有限公司</w:t>
                  </w:r>
                </w:p>
              </w:tc>
              <w:tc>
                <w:tcPr>
                  <w:tcW w:w="1570" w:type="dxa"/>
                  <w:noWrap w:val="0"/>
                  <w:vAlign w:val="center"/>
                </w:tcPr>
                <w:p w14:paraId="6D92B1EA">
                  <w:pPr>
                    <w:widowControl/>
                    <w:jc w:val="center"/>
                    <w:textAlignment w:val="center"/>
                    <w:rPr>
                      <w:sz w:val="18"/>
                      <w:szCs w:val="18"/>
                      <w:highlight w:val="none"/>
                    </w:rPr>
                  </w:pPr>
                  <w:r>
                    <w:t>409161646186</w:t>
                  </w: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r>
                    <w:t>148062</w:t>
                  </w:r>
                </w:p>
              </w:tc>
            </w:tr>
          </w:tbl>
          <w:p w14:paraId="18C924E5">
            <w:pPr>
              <w:rPr>
                <w:rFonts w:ascii="宋体" w:hAnsi="宋体" w:cs="宋体"/>
                <w:szCs w:val="21"/>
                <w:highlight w:val="none"/>
              </w:rPr>
            </w:pPr>
            <w:r>
              <w:t>收入下滑趋势在2025年得到扭转并恢复增长，同时毛利率在经历波动后于近两年稳定在较高水平，显示盈利能力的改善与巩固。毛利率标准差处于可控范围，表明盈利质量趋于稳定。收入、毛利与净利润需联动分析，重点关注利润兑现与毛利波动是否匹配。</w:t>
            </w: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6.借款人主要财务指标情况：</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17895</w:t>
                  </w: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17940</w:t>
                  </w: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16956</w:t>
                  </w: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14283</w:t>
                  </w: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14192</w:t>
                  </w: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14708</w:t>
                  </w: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13110</w:t>
                  </w: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1104</w:t>
                  </w: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1522</w:t>
                  </w: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r>
                    <w:t>286</w:t>
                  </w: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4410</w:t>
                  </w: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6354</w:t>
                  </w: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9253</w:t>
                  </w: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7430</w:t>
                  </w: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132</w:t>
                  </w: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260</w:t>
                  </w: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428</w:t>
                  </w: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1432</w:t>
                  </w: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3621</w:t>
                  </w: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3522</w:t>
                  </w: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2774</w:t>
                  </w: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5301</w:t>
                  </w: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2545</w:t>
                  </w: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2192</w:t>
                  </w: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3612</w:t>
                  </w: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3748</w:t>
                  </w: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3868</w:t>
                  </w: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3847</w:t>
                  </w: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161</w:t>
                  </w: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256</w:t>
                  </w: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164</w:t>
                  </w: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w:t>
                  </w: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729</w:t>
                  </w: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994</w:t>
                  </w: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156</w:t>
                  </w: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3000</w:t>
                  </w: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4000</w:t>
                  </w: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4730</w:t>
                  </w: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1490</w:t>
                  </w: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1847</w:t>
                  </w: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1026</w:t>
                  </w: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8357</w:t>
                  </w: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8927</w:t>
                  </w: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9749</w:t>
                  </w: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3298</w:t>
                  </w: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160</w:t>
                  </w: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199</w:t>
                  </w: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799</w:t>
                  </w: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1329</w:t>
                  </w: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2119</w:t>
                  </w: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21198</w:t>
                  </w: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8712</w:t>
                  </w: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10010</w:t>
                  </w: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14721</w:t>
                  </w: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5332</w:t>
                  </w: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6204</w:t>
                  </w: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85</w:t>
                  </w: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867</w:t>
                  </w: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619</w:t>
                  </w: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1116</w:t>
                  </w: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80</w:t>
                  </w: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202</w:t>
                  </w: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167</w:t>
                  </w: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1086</w:t>
                  </w: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w:t>
                  </w: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476</w:t>
                  </w: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100</w:t>
                  </w: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56</w:t>
                  </w: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0</w:t>
                  </w: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30.55%</w:t>
                  </w: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w:t>
                  </w: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38.02%</w:t>
                  </w: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4.64%</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3.24%</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3.78%</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①财务真实性验证(税务数据验证)：材料未提供具体验证结论。</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w:t>
            </w:r>
            <w:r>
              <w:rPr>
                <w:rFonts w:hint="eastAsia" w:ascii="宋体" w:hAnsi="宋体" w:cs="宋体"/>
                <w:snapToGrid w:val="0"/>
                <w:color w:val="000000"/>
                <w:kern w:val="0"/>
                <w:szCs w:val="21"/>
                <w:highlight w:val="none"/>
              </w:rPr>
              <w:t>账款7430</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2025年末应收账款为7430万元，较2024年末的9253万元下降19.7%，回款情况有所改善。但该科目占流动资产比重仍较高，2025年末为56.7%（7430万元/13110万元）。</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2</w:t>
            </w:r>
            <w:r>
              <w:rPr>
                <w:rFonts w:hint="eastAsia" w:ascii="宋体" w:hAnsi="宋体" w:cs="宋体"/>
                <w:bCs/>
                <w:snapToGrid w:val="0"/>
                <w:color w:val="000000"/>
                <w:kern w:val="0"/>
                <w:szCs w:val="21"/>
                <w:highlight w:val="none"/>
                <w:lang w:val="zh-CN"/>
              </w:rPr>
              <w:t>）其他应收款2774</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其他应收款2025年末为2774万元，较2024年末的3522万元下降21.2%，呈回落趋势。该科目占2025年末流动资产总额的21.2%，占比较高，但材料未披露具体构成。</w:t>
            </w:r>
          </w:p>
          <w:p w14:paraId="669763E4">
            <w:commentRangeStart w:id="8"/>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3</w:t>
            </w:r>
            <w:r>
              <w:rPr>
                <w:rFonts w:hint="eastAsia" w:ascii="宋体" w:hAnsi="宋体" w:cs="宋体"/>
                <w:snapToGrid w:val="0"/>
                <w:color w:val="000000"/>
                <w:kern w:val="0"/>
                <w:szCs w:val="21"/>
                <w:highlight w:val="none"/>
                <w:lang w:val="zh-CN"/>
              </w:rPr>
              <w:t>）存货2192</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企业存货在2025年末为2192万元，较2024年末的1166万元大幅增长88.0%，结束了自2022年（5301万元）以来的持续下降趋势。然而，本次分析缺少关于存货结构、库龄及跌价准备的明细材料，无法评估其具体构成与减值风险。</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commentRangeEnd w:id="8"/>
            <w:r>
              <w:rPr>
                <w:rStyle w:val="CommentReference"/>
              </w:rPr>
              <w:commentReference w:id="8"/>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4</w:t>
            </w:r>
            <w:r>
              <w:rPr>
                <w:rFonts w:hint="eastAsia" w:ascii="宋体" w:hAnsi="宋体" w:cs="宋体"/>
                <w:bCs/>
                <w:snapToGrid w:val="0"/>
                <w:color w:val="000000"/>
                <w:kern w:val="0"/>
                <w:szCs w:val="21"/>
                <w:highlight w:val="none"/>
                <w:lang w:val="zh-CN"/>
              </w:rPr>
              <w:t>）长期投资</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 长期投资2025年末为3123万元，较2024年末的2518万元增长605万元，增幅达24.0%。该科目自2022年以来呈持续增长趋势，2025年增速显著加快。</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（5）应付账款 1847万元，主要构成及趋势变动情况： 应付账款期末余额为1026万元，较年初2333万元大幅下降56.0%，主要系公司支付供应商货款所致。该科目连续两年增长后于本年度显著回落，需关注其与采购规模及付款政策的匹配性。</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（6）其他应付款 185万元，主要构成及趋势变动情况： 2025年末其他应付款为168万元，较2024年末的648万元大幅下降480万元，降幅达74.1%。该科目余额已连续两年快速增长后于本年度显著回落，具体构成及变动原因需企业进一步说明。</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（7）主营业务收入变动原因： 企业主营业务收入自2022年的21198万元持续下滑至2024年的8712万元，但2025年回升至1010万元，同比增长14.9%。鉴于提供的财务报表未包含利润表，无法从材料中直接获取收入变动的具体原因。</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（8）盈利能力变动原因： 企业盈利能力持续承压，2025年净利润为494万元，净利率为4.9%，虽较2024年的3.8%有所回升，但收入规模自2022年的21198万元连续下滑至2025年的1010万元，是导致利润总额萎缩的主要原因。</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
                <w:bCs w:val="0"/>
                <w:snapToGrid w:val="0"/>
                <w:kern w:val="0"/>
                <w:szCs w:val="21"/>
                <w:highlight w:val="none"/>
                <w:lang w:val="zh-CN"/>
              </w:rPr>
              <w:t>（</w:t>
            </w:r>
            <w:r>
              <w:rPr>
                <w:rFonts w:hint="eastAsia" w:ascii="宋体" w:hAnsi="宋体" w:cs="宋体"/>
                <w:b/>
                <w:bCs w:val="0"/>
                <w:snapToGrid w:val="0"/>
                <w:kern w:val="0"/>
                <w:szCs w:val="21"/>
                <w:highlight w:val="none"/>
                <w:lang w:val="en-US" w:eastAsia="zh-CN"/>
              </w:rPr>
              <w:t>后续若有大额固定资产投入计划，分析投入及资金安排</w:t>
            </w:r>
            <w:r>
              <w:rPr>
                <w:rFonts w:hint="eastAsia" w:ascii="宋体" w:hAnsi="宋体" w:cs="宋体"/>
                <w:b/>
                <w:bCs w:val="0"/>
                <w:snapToGrid w:val="0"/>
                <w:kern w:val="0"/>
                <w:szCs w:val="21"/>
                <w:highlight w:val="none"/>
                <w:lang w:val="zh-CN"/>
              </w:rPr>
              <w:t>）</w:t>
            </w:r>
            <w:r>
              <w:rPr>
                <w:rFonts w:hint="eastAsia" w:ascii="宋体" w:hAnsi="宋体" w:cs="宋体"/>
                <w:snapToGrid w:val="0"/>
                <w:color w:val="000000"/>
                <w:kern w:val="0"/>
                <w:szCs w:val="21"/>
                <w:highlight w:val="none"/>
                <w:lang w:val="zh-CN"/>
              </w:rPr>
              <w:t>： 根据提供的2025年资产负债表，企业“固定资产”科目数据缺失，无法分析其投资变动情况。</w:t>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w:t>
            </w:r>
            <w:r>
              <w:rPr>
                <w:rFonts w:hint="eastAsia" w:ascii="宋体" w:hAnsi="宋体" w:cs="宋体"/>
                <w:bCs/>
                <w:snapToGrid w:val="0"/>
                <w:color w:val="000000"/>
                <w:kern w:val="0"/>
                <w:szCs w:val="21"/>
                <w:highlight w:val="none"/>
                <w:lang w:val="en-US" w:eastAsia="zh-CN"/>
              </w:rPr>
              <w:t>0</w:t>
            </w:r>
            <w:r>
              <w:rPr>
                <w:rFonts w:hint="eastAsia" w:ascii="宋体" w:hAnsi="宋体" w:cs="宋体"/>
                <w:bCs/>
                <w:snapToGrid w:val="0"/>
                <w:color w:val="000000"/>
                <w:kern w:val="0"/>
                <w:szCs w:val="21"/>
                <w:highlight w:val="none"/>
                <w:lang w:val="zh-CN"/>
              </w:rPr>
              <w:t>）其他变动较大的</w:t>
            </w:r>
            <w:r>
              <w:rPr>
                <w:rFonts w:hint="eastAsia" w:ascii="宋体" w:hAnsi="宋体" w:cs="宋体"/>
                <w:bCs/>
                <w:snapToGrid w:val="0"/>
                <w:color w:val="000000"/>
                <w:kern w:val="0"/>
                <w:szCs w:val="21"/>
                <w:highlight w:val="none"/>
                <w:lang w:val="en-US" w:eastAsia="zh-CN"/>
              </w:rPr>
              <w:t>财务</w:t>
            </w:r>
            <w:r>
              <w:rPr>
                <w:rFonts w:hint="eastAsia" w:ascii="宋体" w:hAnsi="宋体" w:cs="宋体"/>
                <w:bCs/>
                <w:snapToGrid w:val="0"/>
                <w:color w:val="000000"/>
                <w:kern w:val="0"/>
                <w:szCs w:val="21"/>
                <w:highlight w:val="none"/>
                <w:lang w:val="zh-CN"/>
              </w:rPr>
              <w:t>指标（</w:t>
            </w:r>
            <w:r>
              <w:rPr>
                <w:rFonts w:hint="eastAsia" w:ascii="宋体" w:hAnsi="宋体" w:cs="宋体"/>
                <w:bCs/>
                <w:snapToGrid w:val="0"/>
                <w:color w:val="000000"/>
                <w:kern w:val="0"/>
                <w:szCs w:val="21"/>
                <w:highlight w:val="none"/>
                <w:lang w:val="en-US" w:eastAsia="zh-CN"/>
              </w:rPr>
              <w:t>包括但不限于预付账款、预收账款等，如有请说明）</w:t>
            </w:r>
            <w:r>
              <w:rPr>
                <w:rFonts w:hint="eastAsia" w:ascii="宋体" w:hAnsi="宋体" w:cs="宋体"/>
                <w:bCs/>
                <w:snapToGrid w:val="0"/>
                <w:color w:val="000000"/>
                <w:kern w:val="0"/>
                <w:szCs w:val="21"/>
                <w:highlight w:val="none"/>
                <w:lang w:val="zh-CN"/>
              </w:rPr>
              <w:t>： 根据提供的2025年资产负债表，未列示“其他变动较大的财务指标”的具体明细科目数据。材料中仅包含常规资产与负债项目，无法对该指标进行量化趋势或同比分析。</w:t>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短期偿债能力指标呈现分化，货币资金对短期借款的覆盖水平持续大幅下滑，而流动比率则逐年改善。长期偿债能力持续增强，资产负债率稳步下降至健康水平。偿债能力由杠杆水平与流动性共同决定，需同步观察资产负债率和短债覆盖能力。</w:t>
            </w:r>
          </w:p>
          <w:p w14:paraId="0A792E2F">
            <w:pPr>
              <w:pStyle w:val="11"/>
              <w:rPr>
                <w:rFonts w:hint="eastAsia"/>
                <w:lang w:val="en-US" w:eastAsia="zh-CN"/>
              </w:rPr>
            </w:pPr>
            <w:r>
              <w:t xml:space="preserve">应收账款周转效率持续恶化，回款能力显著下降。存货管理波动剧烈，存在库存积压风险。运营效率需重点跟踪应收账款周转与收入扩张的匹配程度。</w:t>
            </w:r>
          </w:p>
          <w:p w14:paraId="0A792E2F">
            <w:pPr>
              <w:pStyle w:val="11"/>
              <w:rPr>
                <w:rFonts w:hint="eastAsia"/>
                <w:lang w:val="en-US" w:eastAsia="zh-CN"/>
              </w:rPr>
            </w:pPr>
            <w:r>
              <w:t xml:space="preserve">经营现金流波动剧烈且整体偏弱，呈现间歇性净流出状态，表明主营业务造血能力不稳定。公司持续依赖外部融资支撑投资活动，但筹资活动净流入呈收缩趋势，2025年转为净流出，显示外部融资环境趋紧。现金流结构显示公司尚未形成自我可持续的循环，财务弹性有所下降。</w:t>
            </w:r>
          </w:p>
          <w:p w14:paraId="0A792E2F">
            <w:pPr>
              <w:pStyle w:val="11"/>
              <w:rPr>
                <w:rFonts w:hint="eastAsia"/>
                <w:lang w:val="en-US" w:eastAsia="zh-CN"/>
              </w:rPr>
            </w:pPr>
            <w:r>
              <w:t xml:space="preserve">应收账款周转天数持续恶化，已连续三年显著超过180天警戒线，表明客户回款能力严重不足，存在较高的坏账风险。货币资金对短期借款的覆盖率已连续两年低于20%的警戒水平，且呈快速下降趋势，企业短期偿债能力极弱，面临严峻的流动性危机。尽管资产负债率有所改善且未触发阈值，但前述两项核心流动性指标的严重恶化，已构成重大信用风险。</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b/>
                <w:snapToGrid w:val="0"/>
                <w:kern w:val="0"/>
                <w:szCs w:val="21"/>
                <w:highlight w:val="none"/>
                <w:lang w:val="en-US" w:eastAsia="zh-CN"/>
              </w:rPr>
              <w:t>②财务真实性验证(银行流水验证)：材料未提供具体验证结论。</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最近三年现金流量表分析：</w:t>
            </w:r>
            <w:r>
              <w:rPr>
                <w:rFonts w:hint="eastAsia"/>
                <w:b w:val="0"/>
                <w:bCs/>
                <w:snapToGrid w:val="0"/>
                <w:color w:val="auto"/>
                <w:szCs w:val="21"/>
                <w:highlight w:val="none"/>
                <w:u w:val="none"/>
                <w:lang w:val="en-US" w:eastAsia="zh-CN"/>
              </w:rPr>
              <w:t xml:space="preserve"> </w:t>
            </w:r>
            <w:r>
              <w:rPr>
                <w:rFonts w:hint="eastAsia"/>
                <w:b w:val="0"/>
                <w:bCs/>
                <w:snapToGrid w:val="0"/>
                <w:szCs w:val="21"/>
                <w:highlight w:val="none"/>
                <w:u w:val="none"/>
                <w:lang w:val="en-US" w:eastAsia="zh-CN"/>
              </w:rPr>
              <w:t xml:space="preserve"> 材料未提供。 </w:t>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-4373</w:t>
                  </w: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-3747</w:t>
                  </w: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3182</w:t>
                  </w: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-4938</w:t>
                  </w: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269</w:t>
                  </w: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-716</w:t>
                  </w: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864</w:t>
                  </w: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418</w:t>
                  </w: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-896</w:t>
                  </w: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-922</w:t>
                  </w: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802</w:t>
                  </w: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-1015</w:t>
                  </w: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③近三年及最近一期财务数据</w:t>
              <w:br/>
              <w:t>（1）应收账款2023年6354万元，2024年9253万元，2025年7430万元。</w:t>
              <w:br/>
              <w:t>（2）其他应收款2023年3621万元，2024年3522万元，2025年2774万元。</w:t>
              <w:br/>
              <w:t>（3）存货2023年2545万元，2024年1166万元，2025年2192万元。（4）长期投资：材料未提供。</w:t>
              <w:br/>
              <w:t>（5）应付账款2023年1847万元，2024年2333万元，2025年1026万元。</w:t>
              <w:br/>
              <w:t>（6）其他应付款2023年185万元，2024年648万元，2025年168万元。（7）主营业务收入变动原因：材料未提供。（8）盈利能力变动原因：材料未提供。</w:t>
              <w:br/>
              <w:t>（9）固定资产投资变动情况（后续若有大额固定资产投入计划，分析投入及资金安排）：材料未提供。</w:t>
              <w:br/>
              <w:t>（10）其他变动较大的财务指标（包括但不限于预付账款、预收账款等，如有请说明）：材料未提供。最近三年现金流量表分析：材料未提供。</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六</w:t>
            </w: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融资</w:t>
            </w:r>
            <w:r>
              <w:rPr>
                <w:rFonts w:hint="eastAsia" w:ascii="宋体" w:hAnsi="宋体" w:cs="宋体"/>
                <w:b/>
                <w:snapToGrid w:val="0"/>
                <w:color w:val="000000"/>
                <w:kern w:val="0"/>
                <w:szCs w:val="21"/>
                <w:highlight w:val="none"/>
                <w:lang w:val="en-US" w:eastAsia="zh-CN"/>
              </w:rPr>
              <w:t>/</w:t>
            </w:r>
            <w:r>
              <w:rPr>
                <w:rFonts w:hint="eastAsia" w:ascii="宋体" w:hAnsi="宋体" w:cs="宋体"/>
                <w:b/>
                <w:snapToGrid w:val="0"/>
                <w:color w:val="000000"/>
                <w:kern w:val="0"/>
                <w:szCs w:val="21"/>
                <w:highlight w:val="none"/>
              </w:rPr>
              <w:t>对外担保</w:t>
            </w:r>
            <w:r>
              <w:rPr>
                <w:rFonts w:hint="eastAsia" w:ascii="宋体" w:hAnsi="宋体" w:cs="宋体"/>
                <w:b/>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报告日，公司各行贷款余额合计4440万元，授信总额4640万元。其中交通银行屏东支行流贷1000万元，海峡银行-金山支行流贷加担保500万元，厦门国际银行台江支行流贷640万元，兴业银行-环球支行流贷1000万元及流贷1000万元，工商银行流贷500万元，中国银行福建省分行流贷600万元，广发银行鼓楼支行流贷400万元。材料未提供中长期借款还款计划及还款资金安排情况。材料未提供对外担保情况。材料未提供不良记录情况。</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材料未提供。 </w:t>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76CE32AE">
            <w:commentRangeStart w:id="9"/>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9"/>
            <w:r>
              <w:rPr>
                <w:rStyle w:val="CommentReference"/>
              </w:rPr>
              <w:commentReference w:id="9"/>
            </w:r>
          </w:p>
          <w:p w14:paraId="4355488A">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材料未提供。 </w:t>
            </w:r>
          </w:p>
          <w:p w14:paraId="0BD0E5B0">
            <w:commentRangeStart w:id="1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截至2025年7月23日，查询实控人[待补充]信用报告，其名下有未结清贷款账户1笔，余额1000万元，为中行个人经营贷款，经营主体为[待补充]；有未销户信用卡账户1笔，余额0元。全部未结清贷款估算下月应还款额0元，贷记卡最近6个月平均使用额度27元，准贷记卡最近6个月平均透支余额0元。承担担保责任账户1笔，承担共同还款责任账户0笔，为[待补充]担保，余额1000万元。近5年贷款累计逾期1期，连续逾期1期，逾期金额均大于500元，经反馈为遗忘导致，现已结清。</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commentRangeEnd w:id="10"/>
            <w:r>
              <w:rPr>
                <w:rStyle w:val="CommentReference"/>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3.实控人配偶情况： 康恩慧。材料未提供国籍、籍贯、出生年份及个人征信信息。</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科技型企业类型：</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科技型中小企业</w:t>
            </w:r>
            <w:r>
              <w:rPr>
                <w:rFonts w:hint="eastAsia" w:ascii="宋体" w:hAnsi="宋体" w:eastAsia="宋体" w:cs="宋体"/>
                <w:b/>
                <w:bCs/>
                <w:snapToGrid w:val="0"/>
                <w:kern w:val="0"/>
                <w:szCs w:val="21"/>
                <w:lang w:val="en-US" w:eastAsia="zh-CN"/>
              </w:rPr>
              <w:t>（第几轮，有效期至X年X月X日）</w:t>
            </w:r>
            <w:r>
              <w:rPr>
                <w:rFonts w:hint="eastAsia" w:ascii="宋体" w:hAnsi="宋体" w:eastAsia="宋体" w:cs="宋体"/>
                <w:b/>
                <w:bCs/>
                <w:snapToGrid w:val="0"/>
                <w:kern w:val="0"/>
                <w:szCs w:val="21"/>
                <w:lang w:val="en-US" w:eastAsia="zh-CN"/>
              </w:rPr>
              <w:t>；</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高新技术企业；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“专精特新”中小企业；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制造业单项冠军企业；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国家技术创新示范企业</w:t>
            </w:r>
          </w:p>
          <w:p w14:paraId="6C01223F">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材料未提供。 </w:t>
            </w:r>
            <w:r>
              <w:rPr>
                <w:rFonts w:hint="eastAsia" w:ascii="宋体" w:hAnsi="宋体" w:eastAsia="宋体" w:cs="宋体"/>
                <w:b/>
                <w:bCs/>
                <w:snapToGrid w:val="0"/>
                <w:kern w:val="0"/>
                <w:sz w:val="21"/>
                <w:szCs w:val="21"/>
                <w:lang w:val="en-US" w:eastAsia="zh-CN" w:bidi="ar-SA"/>
              </w:rPr>
              <w:t>分</w:t>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
                <w:bCs/>
                <w:kern w:val="2"/>
                <w:sz w:val="21"/>
                <w:szCs w:val="21"/>
                <w:highlight w:val="none"/>
                <w:lang w:val="en-US" w:eastAsia="zh-CN"/>
              </w:rPr>
              <w:t>※2.研发投入情况</w:t>
            </w:r>
            <w:r>
              <w:rPr>
                <w:rFonts w:hint="eastAsia" w:ascii="宋体" w:hAnsi="宋体" w:cs="宋体"/>
                <w:b/>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①</w:t>
            </w:r>
            <w:r>
              <w:rPr>
                <w:rFonts w:hint="eastAsia" w:ascii="宋体" w:hAnsi="宋体" w:eastAsia="宋体" w:cs="宋体"/>
                <w:b/>
                <w:bCs w:val="0"/>
                <w:kern w:val="2"/>
                <w:sz w:val="21"/>
                <w:szCs w:val="21"/>
                <w:highlight w:val="none"/>
                <w:lang w:eastAsia="zh-CN"/>
              </w:rPr>
              <w:t>核心</w:t>
            </w:r>
            <w:r>
              <w:rPr>
                <w:rFonts w:hint="eastAsia" w:ascii="宋体" w:hAnsi="宋体" w:cs="宋体"/>
                <w:b/>
                <w:bCs w:val="0"/>
                <w:kern w:val="2"/>
                <w:sz w:val="21"/>
                <w:szCs w:val="21"/>
                <w:highlight w:val="none"/>
                <w:lang w:val="en-US" w:eastAsia="zh-CN"/>
              </w:rPr>
              <w:t>研发</w:t>
            </w:r>
            <w:r>
              <w:rPr>
                <w:rFonts w:hint="eastAsia" w:ascii="宋体" w:hAnsi="宋体" w:eastAsia="宋体" w:cs="宋体"/>
                <w:b/>
                <w:bCs w:val="0"/>
                <w:kern w:val="2"/>
                <w:sz w:val="21"/>
                <w:szCs w:val="21"/>
                <w:highlight w:val="none"/>
                <w:lang w:eastAsia="zh-CN"/>
              </w:rPr>
              <w:t>人员是否</w:t>
            </w:r>
            <w:r>
              <w:rPr>
                <w:rFonts w:hint="eastAsia" w:ascii="宋体" w:hAnsi="宋体" w:cs="宋体"/>
                <w:b/>
                <w:bCs w:val="0"/>
                <w:kern w:val="2"/>
                <w:sz w:val="21"/>
                <w:szCs w:val="21"/>
                <w:highlight w:val="none"/>
                <w:lang w:val="en-US" w:eastAsia="zh-CN"/>
              </w:rPr>
              <w:t>享有</w:t>
            </w:r>
            <w:r>
              <w:rPr>
                <w:rFonts w:hint="eastAsia" w:ascii="宋体" w:hAnsi="宋体" w:eastAsia="宋体" w:cs="宋体"/>
                <w:b/>
                <w:bCs w:val="0"/>
                <w:kern w:val="2"/>
                <w:sz w:val="21"/>
                <w:szCs w:val="21"/>
                <w:highlight w:val="none"/>
                <w:lang w:eastAsia="zh-CN"/>
              </w:rPr>
              <w:t>股权激励：</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是</w:t>
            </w:r>
            <w:r>
              <w:rPr>
                <w:rFonts w:hint="eastAsia" w:ascii="宋体" w:hAnsi="宋体" w:eastAsia="宋体" w:cs="宋体"/>
                <w:b/>
                <w:bCs w:val="0"/>
                <w:kern w:val="2"/>
                <w:szCs w:val="21"/>
                <w:highlight w:val="none"/>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1447</w:t>
                  </w: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
                <w:bCs/>
                <w:kern w:val="2"/>
                <w:sz w:val="21"/>
                <w:szCs w:val="21"/>
                <w:highlight w:val="none"/>
                <w:lang w:val="en-US" w:eastAsia="zh-CN"/>
              </w:rPr>
              <w:t>科技型企业类型：材料未提供具体类型。</w:t>
              <w:br/>
              <w:t>核心研发人员享有股权激励。</w:t>
              <w:br/>
              <w:t>近三年研发投入占比分别为7.4%（2023年）、14.5%（2024年）、10.5%（2025年）；研发人员占比分别为44%（2023年）、49%（2024年）、53%（2025年）。</w:t>
            </w:r>
            <w:r>
              <w:rPr>
                <w:rFonts w:hint="eastAsia" w:ascii="宋体" w:hAnsi="宋体" w:cs="宋体"/>
                <w:b/>
                <w:bCs w:val="0"/>
                <w:kern w:val="2"/>
                <w:sz w:val="21"/>
                <w:szCs w:val="21"/>
                <w:highlight w:val="none"/>
                <w:lang w:val="en-US" w:eastAsia="zh-CN" w:bidi="ar-SA"/>
              </w:rPr>
            </w:r>
            <w:r>
              <w:rPr>
                <w:rFonts w:hint="eastAsia" w:ascii="宋体" w:hAnsi="宋体" w:eastAsia="宋体" w:cs="宋体"/>
                <w:b/>
                <w:bCs w:val="0"/>
                <w:kern w:val="2"/>
                <w:sz w:val="21"/>
                <w:szCs w:val="21"/>
                <w:highlight w:val="none"/>
                <w:lang w:val="en-US" w:eastAsia="zh-CN" w:bidi="ar-SA"/>
              </w:rPr>
            </w:r>
            <w:r>
              <w:rPr>
                <w:rFonts w:hint="eastAsia" w:ascii="宋体" w:hAnsi="宋体" w:cs="宋体"/>
                <w:b/>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失效</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失效</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材料未提供当前综合效益相关数据。</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材料未提供预计综合效益相关数据。</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借款人目前经营性现金流状况整体较好，2025年末货币资金286万元。上游结算方式为预付款和账期款，下游结算方式为预收款和账期或全款。2025年末应收账款7430万元，存货2192万元，对营运资金需求较大，故申请贷款用于补充流动资金。材料未提供申请贷款品种及期限。</w:t>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材料未提供。 </w:t>
            </w:r>
            <w:r>
              <w:rPr>
                <w:rFonts w:hint="eastAsia" w:ascii="宋体" w:hAnsi="宋体" w:cs="宋体"/>
                <w:b/>
                <w:bCs/>
                <w:snapToGrid w:val="0"/>
                <w:kern w:val="0"/>
                <w:szCs w:val="21"/>
                <w:highlight w:val="none"/>
                <w:u w:val="none"/>
                <w:lang w:val="en-US" w:eastAsia="zh-CN"/>
              </w:rPr>
              <w:t>）</w:t>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材料未提供营业收入及营业成本数据，无法进行营运资金需求测算。</w:t>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r>
          </w:p>
          <w:p w14:paraId="64AA94E5">
            <w:pPr>
              <w:pStyle w:val="11"/>
              <w:rPr>
                <w:rFonts w:hint="eastAsia"/>
              </w:rPr>
            </w:pPr>
          </w:p>
          <w:p w14:paraId="1970A0F7">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材料未提供。 </w:t>
            </w:r>
            <w:r>
              <w:rPr>
                <w:rFonts w:hint="eastAsia"/>
                <w:highlight w:val="none"/>
                <w:u w:val="none"/>
                <w:lang w:val="en-US" w:eastAsia="zh-CN"/>
              </w:rPr>
              <w:t xml:space="preserve">  </w:t>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①</w:t>
            </w:r>
            <w:r>
              <w:rPr>
                <w:rFonts w:hint="eastAsia" w:ascii="宋体" w:hAnsi="宋体" w:cs="宋体"/>
                <w:bCs/>
                <w:snapToGrid w:val="0"/>
                <w:kern w:val="0"/>
                <w:sz w:val="21"/>
                <w:szCs w:val="21"/>
                <w:highlight w:val="none"/>
                <w:u w:val="none"/>
                <w:lang w:eastAsia="zh-CN"/>
              </w:rPr>
              <w:t>第一还款来源（经营性现金流分析）： 第一还款来源主要为企业主营业务形成的销售回款及经营现金回笼。材料显示水利占比46%、教育占比54%。2025年主营业务收入10010万元；净利润494万元；经营性现金流净额791万元。</w:t>
            </w:r>
            <w:r>
              <w:rPr>
                <w:rFonts w:hint="eastAsia" w:ascii="宋体" w:hAnsi="宋体" w:cs="宋体"/>
                <w:bCs/>
                <w:snapToGrid w:val="0"/>
                <w:kern w:val="0"/>
                <w:sz w:val="21"/>
                <w:szCs w:val="21"/>
                <w:highlight w:val="none"/>
                <w:u w:val="single"/>
                <w:lang w:val="en-US" w:eastAsia="zh-CN"/>
              </w:rPr>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材料未提供。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3.还款能力分析：</w:t>
              <w:br/>
              <w:t>①第一还款来源（经营性现金流分析）：企业2025年总资产规模16956万元，营收规模1010万元，净利润494万元。主营业务收入结构为水利占比46%、教育占比54%。销售收款方式为预收款和账期或全款，采购付款方式为预付款和账期款。主要下游客户涵江水利局上年销售额1116万元，占比10.02%，结算方式为分期；主要上游供应商锐捷网络股份有限公司上年采购额943万元，占比19.77%，结算方式为分期。企业2025年末货币资金286万元，应收账款7430万元，存货2192万元，短期借款4730万元，负债合计7207万元。融资机构合计授信金额4640万元，已用金额4440万元。子公司福建中锐教育科技有限公司上年净利润-1275万元，福建中锐汉鼎信息技术有限公司上年净利润-682万元。</w:t>
              <w:br/>
              <w:t>②第二还款来源（抵质押物变现能力分析及其他渠道现金流分析）：实控人黄祖海及其配偶康恩慧名下拥有可用于抵押的私有房产，坐落于仓山区上渡街道通江路17号江南水都·杰座，权属证号榕房权证R字第0838000号，面积143.45平方米。材料未提供该房产市场或评估价、账面或购置价及当前抵质押情况。</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11"/>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1"/>
            <w:r>
              <w:rPr>
                <w:rStyle w:val="CommentReference"/>
              </w:rPr>
              <w:commentReference w:id="11"/>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143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抵押物为私有房产，坐落于仓山区上渡街道通江路17号江南水都·杰座，所有权人为康恩慧、黄祖海，权属证号为榕房权证R字第0838000号，建筑面积143.45平方米。</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【章节标题】2.公司担保（如涉及）：</w:t>
              <w:br/>
              <w:br/>
              <w:t>保证人包括福建中锐汉鼎信息技术有限公司、福建中锐教育科技有限公司、北京中锐青云科技有限公司、厦门中锐软件科技有限公司、中锐海沃水利技术(福建)有限公司。材料未提供保证人化型及对公PD评级。</w:t>
              <w:br/>
              <w:t>福建中锐汉鼎信息技术有限公司成立于2018年1月11日，注册资本1000万元，主营智慧水利，上年主营业务收入1223万元，净利润-682万元。福建中锐教育科技有限公司成立于2022年6月28日，注册资本1000万元，主营智慧教育，上年主营业务收入21万元，净利润-1275万元。北京中锐青云科技有限公司成立于2020年9月23日，注册资本1000万元，主营产教融合创新服务，上年主营业务收入204万元，净利润16万元，最新融资金额213万元。厦门中锐软件科技有限公司成立于2016年12月19日，注册资本1200万元，主营软硬件销售，上年主营业务收入7万元，净利润-13万元。中锐海沃水利技术(福建)有限公司成立于2018年1月10日，注册资本1000万元，主营智慧水利，上年主营业务收入0万元，净利润0万元。</w:t>
              <w:br/>
              <w:t>材料未提供保证人征信信息。</w:t>
              <w:br/>
              <w:t>材料未提供保证人主要财务指标。</w:t>
              <w:br/>
              <w:t>材料未提供保证人其他风险信息及涉诉情况。</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b/>
                <w:color w:val="auto"/>
                <w:sz w:val="21"/>
                <w:szCs w:val="21"/>
                <w:highlight w:val="none"/>
                <w:lang w:val="en-US" w:eastAsia="zh-CN"/>
              </w:rPr>
              <w:t>材料未提供我行认可的专业担保公司担保相关信息。</w:t>
            </w:r>
            <w:r>
              <w:rPr>
                <w:rFonts w:hint="eastAsia" w:ascii="宋体" w:hAnsi="宋体" w:eastAsia="宋体" w:cs="宋体"/>
                <w:b/>
                <w:color w:val="auto"/>
                <w:sz w:val="21"/>
                <w:szCs w:val="21"/>
                <w:highlight w:val="none"/>
              </w:rPr>
            </w:r>
            <w:r>
              <w:rPr>
                <w:rFonts w:hint="eastAsia" w:ascii="宋体" w:hAnsi="宋体" w:eastAsia="宋体" w:cs="宋体"/>
                <w:b/>
                <w:color w:val="auto"/>
                <w:sz w:val="21"/>
                <w:szCs w:val="21"/>
                <w:highlight w:val="none"/>
                <w:lang w:eastAsia="zh-CN"/>
              </w:rPr>
            </w:r>
            <w:r>
              <w:rPr>
                <w:rFonts w:hint="eastAsia" w:ascii="宋体" w:hAnsi="宋体" w:eastAsia="宋体" w:cs="宋体"/>
                <w:b/>
                <w:color w:val="auto"/>
                <w:sz w:val="21"/>
                <w:szCs w:val="21"/>
                <w:highlight w:val="none"/>
                <w:lang w:val="en-US" w:eastAsia="zh-CN"/>
              </w:rPr>
            </w:r>
            <w:r>
              <w:rPr>
                <w:rFonts w:hint="eastAsia" w:ascii="宋体" w:hAnsi="宋体" w:cs="宋体"/>
                <w:b/>
                <w:color w:val="auto"/>
                <w:sz w:val="21"/>
                <w:szCs w:val="21"/>
                <w:highlight w:val="none"/>
                <w:lang w:val="en-US" w:eastAsia="zh-CN"/>
              </w:rPr>
            </w:r>
            <w:r>
              <w:rPr>
                <w:rFonts w:hint="eastAsia" w:ascii="宋体" w:hAnsi="宋体" w:eastAsia="宋体" w:cs="宋体"/>
                <w:b/>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4.</w:t>
            </w:r>
            <w:r>
              <w:rPr>
                <w:rFonts w:hint="eastAsia" w:ascii="宋体" w:hAnsi="宋体" w:eastAsia="宋体" w:cs="宋体"/>
                <w:b/>
                <w:sz w:val="21"/>
                <w:szCs w:val="21"/>
                <w:highlight w:val="none"/>
              </w:rPr>
              <w:t>个人担保</w:t>
            </w:r>
            <w:r>
              <w:rPr>
                <w:rFonts w:hint="eastAsia" w:ascii="宋体" w:hAnsi="宋体" w:cs="宋体"/>
                <w:b/>
                <w:sz w:val="21"/>
                <w:szCs w:val="21"/>
                <w:highlight w:val="none"/>
                <w:lang w:eastAsia="zh-CN"/>
              </w:rPr>
              <w:t>（</w:t>
            </w:r>
            <w:r>
              <w:rPr>
                <w:rFonts w:hint="eastAsia" w:ascii="宋体" w:hAnsi="宋体" w:cs="宋体"/>
                <w:b/>
                <w:sz w:val="21"/>
                <w:szCs w:val="21"/>
                <w:highlight w:val="none"/>
                <w:lang w:val="en-US" w:eastAsia="zh-CN"/>
              </w:rPr>
              <w:t>如：实控人及配偶</w:t>
            </w:r>
            <w:r>
              <w:rPr>
                <w:rFonts w:hint="eastAsia" w:ascii="宋体" w:hAnsi="宋体" w:cs="宋体"/>
                <w:b/>
                <w:sz w:val="21"/>
                <w:szCs w:val="21"/>
                <w:highlight w:val="none"/>
                <w:lang w:eastAsia="zh-CN"/>
              </w:rPr>
              <w:t>）</w:t>
            </w:r>
            <w:r>
              <w:rPr>
                <w:rFonts w:hint="eastAsia" w:ascii="宋体" w:hAnsi="宋体" w:eastAsia="宋体" w:cs="宋体"/>
                <w:b/>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5.</w:t>
            </w:r>
            <w:r>
              <w:rPr>
                <w:rFonts w:hint="eastAsia" w:ascii="宋体" w:hAnsi="宋体" w:eastAsia="宋体" w:cs="宋体"/>
                <w:b/>
                <w:sz w:val="21"/>
                <w:szCs w:val="21"/>
                <w:highlight w:val="none"/>
              </w:rPr>
              <w:t>信用方式</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
                <w:bCs/>
                <w:snapToGrid w:val="0"/>
                <w:kern w:val="0"/>
                <w:szCs w:val="21"/>
                <w:highlight w:val="none"/>
              </w:rPr>
              <w:t>企业主营智慧水利与智慧教育，2025年营收10010万元，净利润494万元。经营活动现金流方面，2025年销售商品、提供劳务收到的现金为10385万元，2024年为4890万元，2023年为9364万元；2024年经营活动现金流量净额为-896万元，2023年为269万元，2025年数据材料未提供。企业杠杆率较高，2025年末总负债7207万元，资产负债率处于较高水平，短期借款4730万元。企业融资渠道多元，现有银行授信合计4640万元，已用4440万元，融资额度使用充分。企业下游客户主要为政府及国企单位，回款存在一定账期，2025年末应收账款7430万元，占比较高。企业在我行结算情况材料未提供。本次授信由实际控制人黄祖海及其配偶康恩慧提供其名下位于仓山区上渡街道通江路17号江南水都·杰座的私有房产（面积143.45平，权证号榕房权证R字第0838000号）抵押作为担保，担保措施较强。</w:t>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u w:val="single"/>
                <w:lang w:val="en-US" w:eastAsia="zh-CN"/>
              </w:rPr>
            </w:r>
            <w:r>
              <w:rPr>
                <w:rFonts w:hint="eastAsia" w:ascii="宋体" w:hAnsi="宋体" w:cs="宋体"/>
                <w:b/>
                <w:bCs/>
                <w:snapToGrid w:val="0"/>
                <w:kern w:val="0"/>
                <w:szCs w:val="21"/>
                <w:highlight w:val="none"/>
                <w:u w:val="single"/>
              </w:rPr>
            </w:r>
            <w:r>
              <w:rPr>
                <w:rFonts w:hint="eastAsia" w:ascii="宋体" w:hAnsi="宋体" w:cs="宋体"/>
                <w:b/>
                <w:bCs/>
                <w:snapToGrid w:val="0"/>
                <w:kern w:val="0"/>
                <w:szCs w:val="21"/>
                <w:highlight w:val="none"/>
                <w:u w:val="single"/>
                <w:lang w:eastAsia="zh-CN"/>
              </w:rPr>
            </w:r>
            <w:r>
              <w:rPr>
                <w:rFonts w:hint="eastAsia" w:ascii="宋体" w:hAnsi="宋体" w:cs="宋体"/>
                <w:b/>
                <w:bCs/>
                <w:snapToGrid w:val="0"/>
                <w:kern w:val="0"/>
                <w:szCs w:val="21"/>
                <w:highlight w:val="none"/>
                <w:u w:val="single"/>
                <w:lang w:val="en-US" w:eastAsia="zh-CN"/>
              </w:rPr>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1</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综合</w:t>
            </w:r>
            <w:r>
              <w:rPr>
                <w:rFonts w:hint="eastAsia" w:ascii="宋体" w:hAnsi="宋体" w:eastAsia="宋体" w:cs="宋体"/>
                <w:b/>
                <w:kern w:val="2"/>
                <w:sz w:val="21"/>
                <w:szCs w:val="21"/>
                <w:highlight w:val="none"/>
              </w:rPr>
              <w:t>评价</w:t>
            </w:r>
            <w:r>
              <w:rPr>
                <w:rFonts w:hint="eastAsia" w:ascii="宋体" w:hAnsi="宋体" w:eastAsia="宋体" w:cs="宋体"/>
                <w:b/>
                <w:kern w:val="2"/>
                <w:sz w:val="21"/>
                <w:szCs w:val="21"/>
                <w:highlight w:val="none"/>
                <w:lang w:eastAsia="zh-CN"/>
              </w:rPr>
              <w:t>（</w:t>
            </w:r>
            <w:r>
              <w:rPr>
                <w:rFonts w:hint="eastAsia" w:ascii="宋体" w:hAnsi="宋体" w:eastAsia="宋体" w:cs="宋体"/>
                <w:b/>
                <w:kern w:val="2"/>
                <w:sz w:val="21"/>
                <w:szCs w:val="21"/>
                <w:highlight w:val="none"/>
                <w:lang w:val="en-US" w:eastAsia="zh-CN"/>
              </w:rPr>
              <w:t>围绕</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六要素</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eastAsia="zh-CN"/>
              </w:rPr>
              <w:t>）</w:t>
            </w:r>
            <w:r>
              <w:rPr>
                <w:rFonts w:hint="eastAsia" w:ascii="宋体" w:hAnsi="宋体" w:cs="宋体"/>
                <w:b/>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【章节标题】1.综合评价（围绕“六要素”）：</w:t>
            </w:r>
            <w:r>
              <w:rPr>
                <w:rFonts w:hint="eastAsia" w:ascii="宋体" w:hAnsi="宋体" w:eastAsia="宋体" w:cs="宋体"/>
                <w:snapToGrid w:val="0"/>
                <w:kern w:val="0"/>
                <w:szCs w:val="21"/>
                <w:highlight w:val="none"/>
                <w:u w:val="single"/>
                <w:lang w:val="en-US" w:eastAsia="zh-CN"/>
              </w:rPr>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现金流：材料未提供经营性现金流净额数据。2023年经营活动现金流入约11207万元，流出约10938万元；筹资活动净流入约864万元。2024年现金及现金等价物净增加额为-1015万元（即净减少1015万元）。</w:t>
            </w:r>
            <w:r>
              <w:rPr>
                <w:rFonts w:hint="eastAsia" w:ascii="宋体" w:hAnsi="宋体" w:eastAsia="宋体" w:cs="宋体"/>
                <w:snapToGrid w:val="0"/>
                <w:kern w:val="0"/>
                <w:szCs w:val="21"/>
                <w:highlight w:val="none"/>
                <w:u w:val="single"/>
                <w:lang w:val="en-US" w:eastAsia="zh-CN"/>
              </w:rPr>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杠杆率：2025年末总负债7207万元，总资产16956万元，资产负债率42.5%。2025年末短期借款4730万元，货币资金286万元。</w:t>
            </w:r>
            <w:r>
              <w:rPr>
                <w:rFonts w:hint="eastAsia" w:ascii="宋体" w:hAnsi="宋体" w:eastAsia="宋体" w:cs="宋体"/>
                <w:snapToGrid w:val="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
                <w:bCs/>
                <w:snapToGrid w:val="0"/>
                <w:kern w:val="0"/>
                <w:szCs w:val="21"/>
                <w:highlight w:val="none"/>
                <w:u w:val="single"/>
                <w:lang w:val="en-US" w:eastAsia="zh-CN"/>
              </w:rPr>
              <w:t>可持续：企业主营业务为智慧水利与智慧教育，2025年营收10010万元，净利润494万元。在智慧水利领域拥有自主研发平台，获省级科技进步奖；在智慧教育领域与超1000所高校合作，服务1600多家政企客户。</w:t>
            </w: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垒小户：企业现有银行融资合计授信4640万元，已用4440万元。合作银行包括交通银行、海峡银行、厦门国际银行及兴业银行。配结算：材料未提供在我行结算情况。</w:t>
            </w:r>
            <w:r>
              <w:rPr>
                <w:rFonts w:hint="eastAsia" w:ascii="宋体" w:hAnsi="宋体" w:eastAsia="宋体" w:cs="宋体"/>
                <w:snapToGrid w:val="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强担保：材料未提供本次授信担保方式。实控人黄祖海及其配偶康恩慧名下拥有私有房产一处，面积143.45平。</w:t>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12"/>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b/>
                <w:kern w:val="2"/>
                <w:sz w:val="21"/>
                <w:szCs w:val="21"/>
                <w:highlight w:val="none"/>
                <w:u w:val="single"/>
                <w:lang w:val="en-US" w:eastAsia="zh-CN"/>
              </w:rPr>
              <w:t xml:space="preserve"> </w:t>
            </w:r>
            <w:commentRangeEnd w:id="12"/>
            <w:r>
              <w:rPr>
                <w:rStyle w:val="CommentReference"/>
              </w:rPr>
              <w:commentReference w:id="12"/>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commentRangeStart w:id="13"/>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3"/>
            <w:r>
              <w:rPr>
                <w:rStyle w:val="CommentReference"/>
              </w:rPr>
              <w:commentReference w:id="13"/>
            </w:r>
          </w:p>
          <w:p w14:paraId="6AC425A6">
            <w:commentRangeStart w:id="14"/>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14"/>
            <w:r>
              <w:rPr>
                <w:rStyle w:val="CommentReference"/>
              </w:rPr>
              <w:commentReference w:id="14"/>
            </w:r>
          </w:p>
          <w:p w14:paraId="2FC82B07">
            <w:commentRangeStart w:id="15"/>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5"/>
            <w:r>
              <w:rPr>
                <w:rStyle w:val="CommentReference"/>
              </w:rPr>
              <w:commentReference w:id="15"/>
            </w:r>
          </w:p>
          <w:p w14:paraId="269107E9">
            <w:commentRangeStart w:id="16"/>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6"/>
            <w:r>
              <w:rPr>
                <w:rStyle w:val="CommentReference"/>
              </w:rPr>
              <w:commentReference w:id="16"/>
            </w:r>
          </w:p>
          <w:p w14:paraId="3096CC3B">
            <w:commentRangeStart w:id="17"/>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7"/>
            <w:r>
              <w:rPr>
                <w:rStyle w:val="CommentReference"/>
              </w:rPr>
              <w:commentReference w:id="17"/>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lang w:val="en-US" w:eastAsia="zh-CN"/>
              </w:rPr>
              <w:t>可另附</w:t>
            </w:r>
            <w:r>
              <w:rPr>
                <w:rFonts w:hint="eastAsia" w:ascii="宋体" w:hAnsi="宋体" w:cs="宋体"/>
                <w:b/>
                <w:bCs/>
                <w:snapToGrid w:val="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18"/>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8"/>
            <w:r>
              <w:rPr>
                <w:rStyle w:val="CommentReference"/>
              </w:rPr>
              <w:commentReference w:id="18"/>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3T17:50:08Z" w:initials="Agent">
    <w:p>
      <w:r>
        <w:rPr>
          <w:rStyle w:val="CommentReference"/>
        </w:rPr>
        <w:annotationRef/>
      </w:r>
      <w:r>
        <w:t xml:space="preserve">该处“申报单位”仍为空白，请人工确认。</w:t>
      </w:r>
    </w:p>
  </w:comment>
  <w:comment w:id="1" w:author="信贷报告 Agent" w:date="2026-04-13T17:50:08Z" w:initials="Agent">
    <w:p>
      <w:r>
        <w:rPr>
          <w:rStyle w:val="CommentReference"/>
        </w:rPr>
        <w:annotationRef/>
      </w:r>
      <w:r>
        <w:t xml:space="preserve">该处“小类）”仍为空白，请人工确认。</w:t>
      </w:r>
    </w:p>
  </w:comment>
  <w:comment w:id="2" w:author="信贷报告 Agent" w:date="2026-04-13T17:50:08Z" w:initials="Agent">
    <w:p>
      <w:r>
        <w:rPr>
          <w:rStyle w:val="CommentReference"/>
        </w:rPr>
        <w:annotationRef/>
      </w:r>
      <w:r>
        <w:t xml:space="preserve">该处“绿通标识”仍为空白，请人工确认。</w:t>
      </w:r>
    </w:p>
  </w:comment>
  <w:comment w:id="3" w:author="信贷报告 Agent" w:date="2026-04-13T17:50:08Z" w:initials="Agent">
    <w:p>
      <w:r>
        <w:rPr>
          <w:rStyle w:val="CommentReference"/>
        </w:rPr>
        <w:annotationRef/>
      </w:r>
      <w:r>
        <w:t xml:space="preserve">该处“注册资本”仍为空白，请人工确认。</w:t>
      </w:r>
    </w:p>
  </w:comment>
  <w:comment w:id="4" w:author="信贷报告 Agent" w:date="2026-04-13T17:50:08Z" w:initials="Agent">
    <w:p>
      <w:r>
        <w:rPr>
          <w:rStyle w:val="CommentReference"/>
        </w:rPr>
        <w:annotationRef/>
      </w:r>
      <w:r>
        <w:t xml:space="preserve">该处“过往两年企业股权变动情况及变动原因”仍为空白，请人工确认。</w:t>
      </w:r>
    </w:p>
  </w:comment>
  <w:comment w:id="5" w:author="信贷报告 Agent" w:date="2026-04-13T17:50:08Z" w:initials="Agent">
    <w:p>
      <w:r>
        <w:rPr>
          <w:rStyle w:val="CommentReference"/>
        </w:rPr>
        <w:annotationRef/>
      </w:r>
      <w:r>
        <w:t xml:space="preserve">该处“分析原因”仍为空白，请人工确认。</w:t>
      </w:r>
    </w:p>
  </w:comment>
  <w:comment w:id="6" w:author="信贷报告 Agent" w:date="2026-04-13T17:50:08Z" w:initials="Agent">
    <w:p>
      <w:r>
        <w:rPr>
          <w:rStyle w:val="CommentReference"/>
        </w:rPr>
        <w:annotationRef/>
      </w:r>
      <w:r>
        <w:t xml:space="preserve">该处“主要上游（前五大）”仍为空白，请人工确认。</w:t>
      </w:r>
    </w:p>
  </w:comment>
  <w:comment w:id="7" w:author="信贷报告 Agent" w:date="2026-04-13T17:50:08Z" w:initials="Agent">
    <w:p>
      <w:r>
        <w:rPr>
          <w:rStyle w:val="CommentReference"/>
        </w:rPr>
        <w:annotationRef/>
      </w:r>
      <w:r>
        <w:t xml:space="preserve">该处“主要下游（前五大）”仍为空白，请人工确认。</w:t>
      </w:r>
    </w:p>
  </w:comment>
  <w:comment w:id="8" w:author="信贷报告 Agent" w:date="2026-04-13T17:50:08Z" w:initials="Agent">
    <w:p>
      <w:r>
        <w:rPr>
          <w:rStyle w:val="CommentReference"/>
        </w:rPr>
        <w:annotationRef/>
      </w:r>
      <w:r>
        <w:t xml:space="preserve">该处“主要构成及趋势变动情况”仍为空白，请人工确认。</w:t>
      </w:r>
    </w:p>
  </w:comment>
  <w:comment w:id="9" w:author="信贷报告 Agent" w:date="2026-04-13T17:50:08Z" w:initials="Agent">
    <w:p>
      <w:r>
        <w:rPr>
          <w:rStyle w:val="CommentReference"/>
        </w:rPr>
        <w:annotationRef/>
      </w:r>
      <w:r>
        <w:t xml:space="preserve">该处“（若有）对外担保情况”仍为空白，请人工确认。</w:t>
      </w:r>
    </w:p>
  </w:comment>
  <w:comment w:id="10" w:author="信贷报告 Agent" w:date="2026-04-13T17:50:08Z" w:initials="Agent">
    <w:p>
      <w:r>
        <w:rPr>
          <w:rStyle w:val="CommentReference"/>
        </w:rPr>
        <w:annotationRef/>
      </w:r>
      <w:r>
        <w:t xml:space="preserve">该处“025年7月23日，查询实控人”仍为模板占位符，请人工核实。</w:t>
      </w:r>
    </w:p>
  </w:comment>
  <w:comment w:id="11" w:author="信贷报告 Agent" w:date="2026-04-13T17:50:08Z" w:initials="Agent">
    <w:p>
      <w:r>
        <w:rPr>
          <w:rStyle w:val="CommentReference"/>
        </w:rPr>
        <w:annotationRef/>
      </w:r>
      <w:r>
        <w:t xml:space="preserve">该处“变动原因”仍为空白，请人工确认。</w:t>
      </w:r>
    </w:p>
  </w:comment>
  <w:comment w:id="12" w:author="信贷报告 Agent" w:date="2026-04-13T17:50:08Z" w:initials="Agent">
    <w:p>
      <w:r>
        <w:rPr>
          <w:rStyle w:val="CommentReference"/>
        </w:rPr>
        <w:annotationRef/>
      </w:r>
      <w:r>
        <w:t xml:space="preserve">该处“予借款人授信敞口1000万元，”仍为模板占位符，请人工核实。</w:t>
      </w:r>
    </w:p>
  </w:comment>
  <w:comment w:id="13" w:author="信贷报告 Agent" w:date="2026-04-13T17:50:08Z" w:initials="Agent">
    <w:p>
      <w:r>
        <w:rPr>
          <w:rStyle w:val="CommentReference"/>
        </w:rPr>
        <w:annotationRef/>
      </w:r>
      <w:r>
        <w:t xml:space="preserve">该处“客户经理”仍为空白，请人工确认。</w:t>
      </w:r>
    </w:p>
  </w:comment>
  <w:comment w:id="14" w:author="信贷报告 Agent" w:date="2026-04-13T17:50:08Z" w:initials="Agent">
    <w:p>
      <w:r>
        <w:rPr>
          <w:rStyle w:val="CommentReference"/>
        </w:rPr>
        <w:annotationRef/>
      </w:r>
      <w:r>
        <w:t xml:space="preserve">该处“共同调查人”仍为空白，请人工确认。</w:t>
      </w:r>
    </w:p>
  </w:comment>
  <w:comment w:id="15" w:author="信贷报告 Agent" w:date="2026-04-13T17:50:08Z" w:initials="Agent">
    <w:p>
      <w:r>
        <w:rPr>
          <w:rStyle w:val="CommentReference"/>
        </w:rPr>
        <w:annotationRef/>
      </w:r>
      <w:r>
        <w:t xml:space="preserve">该处“二级支行行长”仍为空白，请人工确认。</w:t>
      </w:r>
    </w:p>
  </w:comment>
  <w:comment w:id="16" w:author="信贷报告 Agent" w:date="2026-04-13T17:50:08Z" w:initials="Agent">
    <w:p>
      <w:r>
        <w:rPr>
          <w:rStyle w:val="CommentReference"/>
        </w:rPr>
        <w:annotationRef/>
      </w:r>
      <w:r>
        <w:t xml:space="preserve">该处“分管行长”仍为空白，请人工确认。</w:t>
      </w:r>
    </w:p>
  </w:comment>
  <w:comment w:id="17" w:author="信贷报告 Agent" w:date="2026-04-13T17:50:08Z" w:initials="Agent">
    <w:p>
      <w:r>
        <w:rPr>
          <w:rStyle w:val="CommentReference"/>
        </w:rPr>
        <w:annotationRef/>
      </w:r>
      <w:r>
        <w:t xml:space="preserve">该处“行长”仍为空白，请人工确认。</w:t>
      </w:r>
    </w:p>
  </w:comment>
  <w:comment w:id="18" w:author="信贷报告 Agent" w:date="2026-04-13T17:50:08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