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已取得资质情况：不涉及。材料未提供上年度末社保人数。注册资本：4100万元。材料未提供实收资本。法定代表人：主管会计。材料未提供最新股权结构表。材料未提供过往两年企业股权变动情况及变动原因。</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4100万元、实收资本：        万元；法定代表人： 黄祖海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commentRangeEnd w:id="3"/>
            <w:r>
              <w:rPr>
                <w:rStyle w:val="CommentReference"/>
              </w:rPr>
              <w:commentReference w:id="3"/>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4"/>
            <w:r>
              <w:rPr>
                <w:rStyle w:val="CommentReference"/>
              </w:rPr>
              <w:commentReference w:id="4"/>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材料未提供面访时间、双方会面人员信息。实控人黄祖海，配偶康恩慧，具备湖南大学电子商务专业本科学历，自2000年起进入行业，现任福建中锐网络股份有限公司董事长兼总裁。</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2020-9-23</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截至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截至年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年月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月日，经531系统查询，借款人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日，经531系统查询，借款人年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月日提贷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日提贷万元，到期日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万元，到期日年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日，贷款采取自主支付方式发放，通过调取借款人账户流水，1.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自主支付方式发放，通过调取借款人账户流水，1.万元向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万元向有限公司支付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有限公司支付货款（已提供发票）；2.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货款（已提供发票）；2.万元转至工行同户名账户，穿透查看用于向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个人支付采购竹刨花原料款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黄色预警提示法定代表人黄祖海目前信用卡存在逾期。材料未提供信用卡逾期核实情况。材料未提供综合评判结论。</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5"/>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5"/>
            <w:r>
              <w:rPr>
                <w:rStyle w:val="CommentReference"/>
              </w:rPr>
              <w:commentReference w:id="5"/>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黄祖海，中国国籍，身份证号350124197704201694，配偶康恩慧（身份证号352101197802182324）。湖南大学电子商务专业本科学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【章节标题】1.关联企业经营情况                                                                单位（万元）关联企业关系：可附图</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企业关联方均为全资或控股子公司，共5家。福建中锐汉鼎信息技术有限公司主营智慧水利，上年收入1223万元，净利润-682万元。福建中锐教育科技有限公司主营智慧教育，上年收入21万元，净利润-1275万元。北京中锐青云科技有限公司主营产教融合创新服务，上年收入204万元，净利润16万元。厦门中锐软件科技有限公司主营软硬件销售，上年收入7万元，净利润-13万元。中锐海沃水利技术(福建)有限公司主营智慧水利，上年收入0万元，净利润0万元。关联企业整体经营规模有限，多数处于亏损状态。</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智慧水利聚焦水灾害、水工程、水资源、水生态水环境、水监督、水政务等六大重点应用，核心产品包括大坝安全智能监测平台、智慧水利流域四预系统、水库运行管理矩阵平台等，已成功应用于福建省300余座大中小型水库。智慧教育聚焦网络、人工智能、智慧行业三大领域，提供数字人才培养解决方案，与全国超过1000所高校及科研院所建立产学研合作，服务1600多家政企客户。上年度收入结构中，智慧水利业务占比46%，智慧教育业务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主营业务为智慧水利与智慧教育，属于其他未列明信息技术服务业。企业已进入2025年认定报备的第二批高新技术企业备案名单。智慧水利业务具备技术门槛，拥有大坝安全智能监测平台、智慧水利流域四预系统等具体产品，曾获2022年度福建省科技进步奖二等奖及水利科学技术奖一等奖，应用案例覆盖福建省300+座大中小型水库。智慧教育业务与全国超过1000所知名高校及科研院所合作，服务1600多家政企客户。企业上游主要供应商包括锐捷网络股份有限公司等，下游主要客户包括涵江水利局等，销售收款方式为预收款和账期或全款，采购付款方式为预付款和账期款。</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企业主营业务为智慧水利与智慧教育。2025年主营业务收入10010万元，其中智慧水利业务收入占比46%，智慧教育业务收入占比54%。材料未提供产品生产量、销量及生产工艺流程数据。</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供应商包括锐捷网络股份有限公司、北京星链南天科技有限公司、广州浩瀚星图信息技术有限公司、新天科技股份有限公司、精导信息技术有限公司司。下游客户有涵江水利局、福建省翔远电子科技有限公司、三明水利水电工程有限公司顺昌分公司、福州市福清公路事业发展中心、济南展雄电子有限公司。材料未提供上下游交易金额及经营账期数据。</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降幅显著收窄并于预测期转为增长，毛利率在经历波动后回升并稳定在较高水平，整体盈利能力的改善趋势明确。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6.借款人主要财务指标情况：</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①财务真实性验证(税务数据验证)：材料未提供具体验证结果。</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账款7430</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2025年末应收账款为7430万元，较2024年末的9253万元下降19.7%，回款情况有所改善。该科目自2022年起连续三年快速增长，2025年首次出现下降。</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）其他应收款2774</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其他应收款2025年末为2774万元，较2024年末的3522万元下降21.2%，呈回落趋势。该科目在2023年曾大幅增长至3621万元，目前余额虽有所压降，但仍显著高于2022年的1432万元水平。</w:t>
            </w:r>
          </w:p>
          <w:p w14:paraId="669763E4">
            <w:commentRangeStart w:id="6"/>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2025年末存货为2192万元，较2024年末的1166万元大幅增长88.0%，结束了自2022年（5301万元）以来的连续下降趋势。结合资产负债表，存货占总资产比重有所回升，但具体存货结构及增长原因依据现有材料无法判断。</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6"/>
            <w:r>
              <w:rPr>
                <w:rStyle w:val="CommentReference"/>
              </w:rPr>
              <w:commentReference w:id="6"/>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长期投资期末余额3123万元，较年初2518万元增长605万元，增幅达24.0%。该科目自2022年以来呈持续增长态势，2024年较2023年增长54.9%，2025年增速有所放缓。由于财务报表材料中未披露长期投资的具体构成，无法判断其投资方向及风险。</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1847万元，主要构成及趋势变动情况： 应付账款期末余额为1026万元，较年初2333万元大幅下降1307万元，降幅达56.0%。结合报表数据，该科目下降主要系对供应商结算支付所致，但材料未提供具体结算原因及供应商关系变化情况。</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185万元，主要构成及趋势变动情况： 2025年末其他应付款为168万元，较2024年末的648万元大幅下降480万元，降幅达74.1%。该科目余额已回落至接近2023年水平，显示企业对外部非经营性往来款项的偿付压力显著减轻。</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企业主营业务收入自2022年的21198万元持续下滑至2024年的8712万元，2025年虽回升至1010万元，同比增长14.9%，但整体规模仍远低于前期水平。本次提供的财务报表未包含利润表，无法从财务角度分析收入变动的具体产品、客户或价格原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企业盈利能力自2022年起持续下滑，2025年虽有所回升但仍处低位，净利润从2022年的983万元降至2025年的494万元，降幅达49.7%。2025年营业收入为1010万元，净利润为494万元，净利率为4.9%，较2024年的3.8%有所改善，但较2022年水平仍有较大差距。材料中未提供具体成本费用明细，无法进一步分析盈利变动的主要原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根据提供的2025年资产负债表，未直接列示“固定资产”科目，无法分析其投资变动情况。材料中仅包含流动资产及部分非流动资产数据，缺少固定资产各期具体数值。</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根据提供的2025年资产负债表，企业货币资金期末余额为286万元，较年初的506万元大幅减少43.6%，流动性显著收紧。同时，应收账款由9253万元降至7430万元，降幅为19.7%，资产结构有所调整。</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恶化。尽管流动比率有所改善且资产负债率呈下降趋势，但核心流动性指标的大幅下滑表明企业面临严峻的即时支付风险。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应收账款周转效率持续恶化，回款能力显著下降。存货管理波动剧烈，存在库存积压风险。运营效率需重点跟踪应收账款周转与收入扩张的匹配程度。</w:t>
            </w:r>
          </w:p>
          <w:p w14:paraId="0A792E2F">
            <w:pPr>
              <w:pStyle w:val="11"/>
              <w:rPr>
                <w:rFonts w:hint="eastAsia"/>
                <w:lang w:val="en-US" w:eastAsia="zh-CN"/>
              </w:rPr>
            </w:pPr>
            <w:r>
              <w:t xml:space="preserve">经营现金流波动剧烈且整体偏弱，呈现间歇性负值，表明主营业务造血能力不稳定。公司持续依赖外部融资维持投资活动，但筹资现金流呈收缩趋势，2025年转为净流出，显示融资环境趋紧。现金流结构显示企业仍处于投资扩张阶段，但经营现金流的脆弱性可能对长期偿债能力构成压力。</w:t>
            </w:r>
          </w:p>
          <w:p w14:paraId="0A792E2F">
            <w:pPr>
              <w:pStyle w:val="11"/>
              <w:rPr>
                <w:rFonts w:hint="eastAsia"/>
                <w:lang w:val="en-US" w:eastAsia="zh-CN"/>
              </w:rPr>
            </w:pPr>
            <w:r>
              <w:t xml:space="preserve">企业应收账款周转天数持续恶化，已连续三年显著超过180天警戒线，表明回款能力严重不足，存在较高的坏账风险。同时，货币资金对短期借款的覆盖率已连续两年低于20%的警戒水平，短期偿债能力急剧恶化，流动性风险极高。尽管资产负债率呈下降趋势，但前述两项核心指标的严重恶化已构成重大风险信号。</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②财务真实性验证(银行流水验证)：材料未提供具体验证结果。</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材料未提供最近三年现金流量表分析的具体内容。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③近三年及最近一期财务数据</w:t>
              <w:br/>
              <w:t>根据现有材料，已获取部分财务数据，但相关构成、变动原因及分析性材料缺失，具体情况如下：</w:t>
              <w:br/>
              <w:t>（1）应收账款：2023年为6354万元，2024年为9253万元。主要构成及趋势变动情况未提供。</w:t>
              <w:br/>
              <w:t>（2）其他应收款：2023年为3621万元，2024年为3522万元。主要构成及趋势变动情况未提供。</w:t>
              <w:br/>
              <w:t>（3）存货：2023年为2545万元，2024年为1166万元。主要构成及趋势变动情况未提供。（4）长期投资：材料未提供。</w:t>
              <w:br/>
              <w:t>（5）应付账款：2023年为1847万元，2024年为2333万元。主要构成及趋势变动情况未提供。</w:t>
              <w:br/>
              <w:t>（6）其他应付款：2023年为185万元，2024年为648万元。主要构成及趋势变动情况未提供。</w:t>
              <w:br/>
              <w:t>（7）主营业务收入变动原因、（8）盈利能力变动原因、（9）固定资产投资变动情况、（10）其他变动较大的财务指标以及最近三年现金流量表分析均未提供。</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【章节标题】1.融资及对外担保情况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7"/>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7"/>
            <w:r>
              <w:rPr>
                <w:rStyle w:val="CommentReference"/>
              </w:rPr>
              <w:commentReference w:id="7"/>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截至报告日，公司各行贷款余额合计4440万元，授信总额4640万元。具体为：交通银行屏东支行流贷1000万元（余额1000万元），业务起始日2026年4月24日，到期日2026年4月24日；海峡银行-金山支行流贷加担保500万元（余额500万元），业务起始日2025年10月15日，到期日2026年10月15日；厦门国际银行台江支行流贷640万元（余额640万元），业务起始日2025年11月21日，到期日2026年11月21日；兴业银行环球支行流贷1000万元（余额700万元，证据显示已用金额为700，单位存疑，暂按万元计），业务起始日2025年11月25日，到期日2026年11月25日；兴业银行环球支行流贷1000万元（余额300万元，证据显示已用金额为300，单位存疑，暂按万元计），业务起始日2025年12月22日，到期日2026年12月22日；工商银行流贷500万元（余额500万元），业务起始日2026年12月2日，到期日2026年12月2日；中国银行福建省分行流贷600万元（余额600万元），业务起始日2026年1月4日，到期日2027年1月4日；广发银行鼓楼支行流贷400万元（余额200万元），业务起始日2026年1月23日，到期日2027年1月23日。材料未提供中长期借款还款计划及还款资金安排情况。材料未提供对外担保情况。材料未提供不良记录情况。</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8"/>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8"/>
            <w:r>
              <w:rPr>
                <w:rStyle w:val="CommentReference"/>
              </w:rPr>
              <w:commentReference w:id="8"/>
            </w:r>
          </w:p>
          <w:p w14:paraId="4355488A">
            <w:commentRangeStart w:id="9"/>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9"/>
            <w:r>
              <w:rPr>
                <w:rStyle w:val="CommentReference"/>
              </w:rPr>
              <w:commentReference w:id="9"/>
            </w:r>
          </w:p>
          <w:p w14:paraId="0BD0E5B0">
            <w:commentRangeStart w:id="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信用报告，其名下有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1笔，承担共同还款责任账户0笔，担保责任余额1000万元，为[待补充]担保。近5年贷款累计逾期1期，其中逾期金额小于等于500元的期数为0；连续逾期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10"/>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 康恩慧 ，材料未提供国籍、籍贯、出生年份及个人征信信息。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commentRangeStart w:id="11"/>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11"/>
            <w:r>
              <w:rPr>
                <w:rStyle w:val="CommentReference"/>
              </w:rPr>
              <w:commentReference w:id="11"/>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科技型企业类型：材料未提供具体类型。</w:t>
              <w:br/>
              <w:t>核心研发人员享有股权激励。</w:t>
              <w:br/>
              <w:t>近三年研发投入占比分别为2023年7.4%、2024年14.5%、2025年10.5%；研发人员占比分别为2023年44%、2024年49%、2025年53%。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材料未提供当前综合效益相关数据。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借款原因说明：借款人福建中锐网络股份有限公司2025年营收规模为10010万元，2025年末货币资金为286万元。上游结算采用预付款和账期款方式，下游结算采用预收款和账期或全款的收款方式。2025年末应收账款为7430万元，存货为2192万元，应付账款为1026万元。材料未提供前端工序处于涨价周期的具体描述。</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12"/>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2"/>
            <w:r>
              <w:rPr>
                <w:rStyle w:val="CommentReference"/>
              </w:rPr>
              <w:commentReference w:id="12"/>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材料未提供营业收入及营业成本数据，无法进行营运资金需求测算。</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3"/>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3"/>
            <w:r>
              <w:rPr>
                <w:rStyle w:val="CommentReference"/>
              </w:rPr>
              <w:commentReference w:id="13"/>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材料未提供经营性现金流分析的具体内容。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材料未提供抵质押物变现能力分析及其他渠道现金流分析的具体内容。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企业2023至2025年净利润分别为393万元、329万元、494万元，盈利能力相对稳定。2025年末总资产16956万元，营收1010万元，主营业务为水利（46%）与教育（54%）。销售收款方式为预收款和账期或全款，采购付款方式为预付款和账期款。主要下游客户涵江水利局、福建省翔远电子科技有限公司上年销售额占比分别为10.02%、9.92%，结算方式均为分期。企业融资机构合计授信4640万元，已用4440万元。需关注部分子公司（如福建中锐汉鼎信息技术有限公司、福建中锐教育科技有限公司）亏损对集团盈利的影响。</w:t>
              <w:br/>
              <w:t>②第二还款来源（抵质押物变现能力分析及其他渠道现金流分析）：材料未提供抵质押物信息。实控人配偶康恩慧与黄祖海名下共有私有房产一处，坐落于仓山区上渡街道通江路17号江南水都·杰座，面积143.45平方米，权属证号榕房权证R字第0838000号。材料未提供该房产的账面价值、市场评估价值及抵质押情况。</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4"/>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抵押物为私有房产，坐落于仓山区上渡街道通江路17号江南水都·杰座，所有权人为康恩慧、黄祖海，权属证号为榕房权证R字第0838000号，建筑面积143.45平方米。</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材料未提供公司担保相关信息。</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材料未提供我行认可的专业担保公司担保相关信息。</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w:t>
              <w:br/>
              <w:t>围绕“现金流、杠杆率、可持续、垒小户、配结算、强担保”六要素展开分析：</w:t>
              <w:br/>
              <w:t>1.  现金流：企业2025年销售商品、提供劳务收到的现金约10385万元，但2024年经营活动产生的现金流量净额为-896万元，显示经营活动现金流波动较大，存在一定压力。</w:t>
              <w:br/>
              <w:t>2.  杠杆率：根据财务数据计算，2025年末资产负债率约为42.5%，负债水平尚可。短期借款4730万元，融资已用金额4440万元，对外融资依赖度较高。</w:t>
              <w:br/>
              <w:t>3.  可持续：企业近三年净利润分别为393万元、329万元、494万元，保持盈利。收入结构为水利46%、教育54%，业务结构相对均衡。但需关注其现金流波动对经营持续性的影响。</w:t>
              <w:br/>
              <w:t>4.  垒小户：企业在我行无存量授信，本次为新增客户。</w:t>
              <w:br/>
              <w:t>5.  配结算：企业已在我行开立结算账户。</w:t>
              <w:br/>
              <w:t>6.  强担保：本次授信方案追加实际控制人黄祖海及其配偶康恩慧连带责任保证，并追加其名下私有房产（仓山区上渡街道通江路17号江南水都·杰座）抵押。</w:t>
              <w:br/>
              <w:br/>
              <w:t>综合评判与方案：基于上述分析，客户具备一定的盈利能力和业务基础，但现金流状况需重点关注。建议在控制风险的前提下适度准入。</w:t>
              <w:br/>
              <w:t>授信方案：拟提供流动资金贷款，金额需根据其实际需求及还款能力核定。</w:t>
              <w:br/>
              <w:t>贷后管控措施：重点监控应收账款回笼情况、经营活动现金流变化及信贷资金用途，确保资金用于主营业务。</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现金流：借款人2023年经营活动现金净流入约269万元（根据审计报告数据计算）。材料未提供2024年及2025年现金流量数据。</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杠杆率：借款人2023年至2025年负债总额分别为9014万元、9320万元、7207万元，负债规模呈下降趋势。</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可持续：借款人主营业务为智慧水利与智慧教育，2025年营收10010万元，净利润494万元，主营业务具备一定技术积累与市场基础。</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借款人现有银行授信总额4640万元，已用4440万元，合作银行包括交通银行、海峡银行、厦门国际银行及兴业银行。材料未提供我行拟申请授信额度。配结算：材料未提供借款人在我行结算情况。强担保：材料未提供本次授信担保方案。</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5"/>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5"/>
            <w:r>
              <w:rPr>
                <w:rStyle w:val="CommentReference"/>
              </w:rPr>
              <w:commentReference w:id="15"/>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6AC425A6">
            <w:commentRangeStart w:id="1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6"/>
            <w:r>
              <w:rPr>
                <w:rStyle w:val="CommentReference"/>
              </w:rPr>
              <w:commentReference w:id="16"/>
            </w:r>
          </w:p>
          <w:p w14:paraId="2FC82B07">
            <w:commentRangeStart w:id="17"/>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269107E9">
            <w:commentRangeStart w:id="18"/>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3096CC3B">
            <w:commentRangeStart w:id="19"/>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9"/>
            <w:r>
              <w:rPr>
                <w:rStyle w:val="CommentReference"/>
              </w:rPr>
              <w:commentReference w:id="19"/>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2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0"/>
            <w:r>
              <w:rPr>
                <w:rStyle w:val="CommentReference"/>
              </w:rPr>
              <w:commentReference w:id="20"/>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1"/>
            <w:r>
              <w:rPr>
                <w:rStyle w:val="CommentReference"/>
              </w:rPr>
              <w:commentReference w:id="21"/>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3T18:09:30Z" w:initials="Agent">
    <w:p>
      <w:r>
        <w:rPr>
          <w:rStyle w:val="CommentReference"/>
        </w:rPr>
        <w:annotationRef/>
      </w:r>
      <w:r>
        <w:t xml:space="preserve">该处“申报单位”仍为空白，请人工确认。</w:t>
      </w:r>
    </w:p>
  </w:comment>
  <w:comment w:id="1" w:author="信贷报告 Agent" w:date="2026-04-13T18:09:30Z" w:initials="Agent">
    <w:p>
      <w:r>
        <w:rPr>
          <w:rStyle w:val="CommentReference"/>
        </w:rPr>
        <w:annotationRef/>
      </w:r>
      <w:r>
        <w:t xml:space="preserve">该处“小类）”仍为空白，请人工确认。</w:t>
      </w:r>
    </w:p>
  </w:comment>
  <w:comment w:id="2" w:author="信贷报告 Agent" w:date="2026-04-13T18:09:30Z" w:initials="Agent">
    <w:p>
      <w:r>
        <w:rPr>
          <w:rStyle w:val="CommentReference"/>
        </w:rPr>
        <w:annotationRef/>
      </w:r>
      <w:r>
        <w:t xml:space="preserve">该处“绿通标识”仍为空白，请人工确认。</w:t>
      </w:r>
    </w:p>
  </w:comment>
  <w:comment w:id="3" w:author="信贷报告 Agent" w:date="2026-04-13T18:09:30Z" w:initials="Agent">
    <w:p>
      <w:r>
        <w:rPr>
          <w:rStyle w:val="CommentReference"/>
        </w:rPr>
        <w:annotationRef/>
      </w:r>
      <w:r>
        <w:t xml:space="preserve">该处“注册资本”仍为空白，请人工确认。</w:t>
      </w:r>
    </w:p>
  </w:comment>
  <w:comment w:id="4" w:author="信贷报告 Agent" w:date="2026-04-13T18:09:30Z" w:initials="Agent">
    <w:p>
      <w:r>
        <w:rPr>
          <w:rStyle w:val="CommentReference"/>
        </w:rPr>
        <w:annotationRef/>
      </w:r>
      <w:r>
        <w:t xml:space="preserve">该处“过往两年企业股权变动情况及变动原因”仍为空白，请人工确认。</w:t>
      </w:r>
    </w:p>
  </w:comment>
  <w:comment w:id="5" w:author="信贷报告 Agent" w:date="2026-04-13T18:09:30Z" w:initials="Agent">
    <w:p>
      <w:r>
        <w:rPr>
          <w:rStyle w:val="CommentReference"/>
        </w:rPr>
        <w:annotationRef/>
      </w:r>
      <w:r>
        <w:t xml:space="preserve">该处“分析原因”仍为空白，请人工确认。</w:t>
      </w:r>
    </w:p>
  </w:comment>
  <w:comment w:id="6" w:author="信贷报告 Agent" w:date="2026-04-13T18:09:30Z" w:initials="Agent">
    <w:p>
      <w:r>
        <w:rPr>
          <w:rStyle w:val="CommentReference"/>
        </w:rPr>
        <w:annotationRef/>
      </w:r>
      <w:r>
        <w:t xml:space="preserve">该处“主要构成及趋势变动情况”仍为空白，请人工确认。</w:t>
      </w:r>
    </w:p>
  </w:comment>
  <w:comment w:id="7" w:author="信贷报告 Agent" w:date="2026-04-13T18:09:30Z" w:initials="Agent">
    <w:p>
      <w:r>
        <w:rPr>
          <w:rStyle w:val="CommentReference"/>
        </w:rPr>
        <w:annotationRef/>
      </w:r>
      <w:r>
        <w:t xml:space="preserve">该处“反馈中长期借款还款计划及还款资金安排情况”仍为空白，请人工确认。</w:t>
      </w:r>
    </w:p>
  </w:comment>
  <w:comment w:id="8" w:author="信贷报告 Agent" w:date="2026-04-13T18:09:30Z" w:initials="Agent">
    <w:p>
      <w:r>
        <w:rPr>
          <w:rStyle w:val="CommentReference"/>
        </w:rPr>
        <w:annotationRef/>
      </w:r>
      <w:r>
        <w:t xml:space="preserve">该处“（若有）对外担保情况”仍为空白，请人工确认。</w:t>
      </w:r>
    </w:p>
  </w:comment>
  <w:comment w:id="9" w:author="信贷报告 Agent" w:date="2026-04-13T18:09:30Z" w:initials="Agent">
    <w:p>
      <w:r>
        <w:rPr>
          <w:rStyle w:val="CommentReference"/>
        </w:rPr>
        <w:annotationRef/>
      </w:r>
      <w:r>
        <w:t xml:space="preserve">该处“（若有）不良记录情况”仍为空白，请人工确认。</w:t>
      </w:r>
    </w:p>
  </w:comment>
  <w:comment w:id="10" w:author="信贷报告 Agent" w:date="2026-04-13T18:09:30Z" w:initials="Agent">
    <w:p>
      <w:r>
        <w:rPr>
          <w:rStyle w:val="CommentReference"/>
        </w:rPr>
        <w:annotationRef/>
      </w:r>
      <w:r>
        <w:t xml:space="preserve">该处“为中行个人经营贷款，经营主体为”仍为模板占位符，请人工核实。</w:t>
      </w:r>
    </w:p>
  </w:comment>
  <w:comment w:id="11" w:author="信贷报告 Agent" w:date="2026-04-13T18:09:30Z" w:initials="Agent">
    <w:p>
      <w:r>
        <w:rPr>
          <w:rStyle w:val="CommentReference"/>
        </w:rPr>
        <w:annotationRef/>
      </w:r>
      <w:r>
        <w:t xml:space="preserve">该处“科技型企业评分”仍为空白，请人工确认。</w:t>
      </w:r>
    </w:p>
  </w:comment>
  <w:comment w:id="12" w:author="信贷报告 Agent" w:date="2026-04-13T18:09:30Z" w:initials="Agent">
    <w:p>
      <w:r>
        <w:rPr>
          <w:rStyle w:val="CommentReference"/>
        </w:rPr>
        <w:annotationRef/>
      </w:r>
      <w:r>
        <w:t xml:space="preserve">该处“请补充分析原因”仍为空白，请人工确认。</w:t>
      </w:r>
    </w:p>
  </w:comment>
  <w:comment w:id="13" w:author="信贷报告 Agent" w:date="2026-04-13T18:09:30Z" w:initials="Agent">
    <w:p>
      <w:r>
        <w:rPr>
          <w:rStyle w:val="CommentReference"/>
        </w:rPr>
        <w:annotationRef/>
      </w:r>
      <w:r>
        <w:t xml:space="preserve">该处“请补充说明”仍为空白，请人工确认。</w:t>
      </w:r>
    </w:p>
  </w:comment>
  <w:comment w:id="14" w:author="信贷报告 Agent" w:date="2026-04-13T18:09:30Z" w:initials="Agent">
    <w:p>
      <w:r>
        <w:rPr>
          <w:rStyle w:val="CommentReference"/>
        </w:rPr>
        <w:annotationRef/>
      </w:r>
      <w:r>
        <w:t xml:space="preserve">该处“变动原因”仍为空白，请人工确认。</w:t>
      </w:r>
    </w:p>
  </w:comment>
  <w:comment w:id="15" w:author="信贷报告 Agent" w:date="2026-04-13T18:09:30Z" w:initials="Agent">
    <w:p>
      <w:r>
        <w:rPr>
          <w:rStyle w:val="CommentReference"/>
        </w:rPr>
        <w:annotationRef/>
      </w:r>
      <w:r>
        <w:t xml:space="preserve">该处“予借款人授信敞口1000万元，”仍为模板占位符，请人工核实。</w:t>
      </w:r>
    </w:p>
  </w:comment>
  <w:comment w:id="16" w:author="信贷报告 Agent" w:date="2026-04-13T18:09:30Z" w:initials="Agent">
    <w:p>
      <w:r>
        <w:rPr>
          <w:rStyle w:val="CommentReference"/>
        </w:rPr>
        <w:annotationRef/>
      </w:r>
      <w:r>
        <w:t xml:space="preserve">该处“共同调查人”仍为空白，请人工确认。</w:t>
      </w:r>
    </w:p>
  </w:comment>
  <w:comment w:id="17" w:author="信贷报告 Agent" w:date="2026-04-13T18:09:30Z" w:initials="Agent">
    <w:p>
      <w:r>
        <w:rPr>
          <w:rStyle w:val="CommentReference"/>
        </w:rPr>
        <w:annotationRef/>
      </w:r>
      <w:r>
        <w:t xml:space="preserve">该处“二级支行行长”仍为空白，请人工确认。</w:t>
      </w:r>
    </w:p>
  </w:comment>
  <w:comment w:id="18" w:author="信贷报告 Agent" w:date="2026-04-13T18:09:30Z" w:initials="Agent">
    <w:p>
      <w:r>
        <w:rPr>
          <w:rStyle w:val="CommentReference"/>
        </w:rPr>
        <w:annotationRef/>
      </w:r>
      <w:r>
        <w:t xml:space="preserve">该处“分管行长”仍为空白，请人工确认。</w:t>
      </w:r>
    </w:p>
  </w:comment>
  <w:comment w:id="19" w:author="信贷报告 Agent" w:date="2026-04-13T18:09:30Z" w:initials="Agent">
    <w:p>
      <w:r>
        <w:rPr>
          <w:rStyle w:val="CommentReference"/>
        </w:rPr>
        <w:annotationRef/>
      </w:r>
      <w:r>
        <w:t xml:space="preserve">该处“行长”仍为空白，请人工确认。</w:t>
      </w:r>
    </w:p>
  </w:comment>
  <w:comment w:id="20" w:author="信贷报告 Agent" w:date="2026-04-13T18:09:30Z" w:initials="Agent">
    <w:p>
      <w:r>
        <w:rPr>
          <w:rStyle w:val="CommentReference"/>
        </w:rPr>
        <w:annotationRef/>
      </w:r>
      <w:r>
        <w:t xml:space="preserve">该处“审查员”仍为空白，请人工确认。</w:t>
      </w:r>
    </w:p>
  </w:comment>
  <w:comment w:id="21" w:author="信贷报告 Agent" w:date="2026-04-13T18:09:30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