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已取得资质情况：不涉及。上年度末社保人数：材料未提供。注册资本：4100万元。实收资本：材料未提供。法定代表人：主管会计。最新股权结构表：材料未提供。过往两年企业股权变动情况及变动原因：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commentRangeStart w:id="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commentRangeEnd w:id="3"/>
            <w:r>
              <w:rPr>
                <w:rStyle w:val="CommentReference"/>
              </w:rPr>
              <w:commentReference w:id="3"/>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4100万元、实收资本：        万元；法定代表人： 黄祖海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4"/>
            <w:r>
              <w:rPr>
                <w:rStyle w:val="CommentReference"/>
              </w:rPr>
              <w:commentReference w:id="4"/>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材料未提供面访时间、双方会面人员等面访过程信息。实控人黄祖海，配偶康恩慧，拥有湖南大学电子商务专业本科学历，自2000年5月起进入行业，现任福建中锐网络股份有限公司董事长兼总裁。</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2020-09-23</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未提供</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未提供</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未提供</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自2017年以来，我行与借款人建立授信合作关系，近三年分别给予其500、400、500万元授信敞口。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截至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截至年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年月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月日，经531系统查询，借款人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日，经531系统查询，借款人年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月日提贷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日提贷万元，到期日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万元，到期日年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日，贷款采取自主支付方式发放，通过调取借款人账户流水，1.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自主支付方式发放，通过调取借款人账户流水，1.万元向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万元向有限公司支付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有限公司支付货款（已提供发票）；2.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货款（已提供发票）；2.万元转至工行同户名账户，穿透查看用于向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个人支付采购竹刨花原料款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黄色预警提示法定代表人黄祖海目前信用卡存在逾期。材料未提供核实过程及结果。</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（二）法定代表人/实控人简介（如果为同一人，仅需填写一次情况）</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法定代表人及实际控制人：黄祖海，身份证号350124197704201694，配偶康恩慧（身份证号352101197802182324）。为湖南大学电子商务专业本科学历。行业工作经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【章节标题】1.关联企业经营情况                                                                单位（万元）【证据清单】</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 关联企业1名称: 福建中锐汉鼎信息技术有限公司 [来源: 客户材料摘要]</w:t>
              <w:br/>
              <w:t>✓ 关联企业1成立时间: 2018-1-11 [来源: 客户材料摘要]</w:t>
              <w:br/>
              <w:t>✓ 关联企业1股权结构: 中锐网络100%控股 [来源: 客户材料摘要]</w:t>
              <w:br/>
              <w:t>✓ 关联企业1主营业务及产品: 智慧水利 [来源: 客户材料摘要]</w:t>
              <w:br/>
              <w:t>✓ 关联企业1注册资本/实收资本: 1000 [来源: 客户材料摘要]</w:t>
              <w:br/>
              <w:t>✓ 关联企业1上年主营业务收入: 1223 [来源: 客户材料摘要]</w:t>
              <w:br/>
              <w:t>✓ 关联企业1上年净利润: -682 [来源: 补充材料原文]</w:t>
              <w:br/>
              <w:t>✓ 关联企业2名称: 福建中锐教育科技有限公司 [来源: 客户材料摘要]</w:t>
              <w:br/>
              <w:t>✓ 关联企业2成立时间: 2022-6-28 [来源: 客户材料摘要]</w:t>
              <w:br/>
              <w:t>✓ 关联企业2股权结构: 中锐网络100%控股 [来源: 客户材料摘要]</w:t>
              <w:br/>
              <w:t>✓ 关联企业2主营业务及产品: 智慧教育 [来源: 客户材料摘要]</w:t>
              <w:br/>
              <w:t>✓ 关联企业2注册资本/实收资本: 1000 [来源: 客户材料摘要]</w:t>
              <w:br/>
              <w:t>✓ 关联企业2上年主营业务收入: 21 [来源: 客户材料摘要]</w:t>
              <w:br/>
              <w:t>✓ 关联企业2上年净利润: -1275 [来源: 补充材料原文]</w:t>
              <w:br/>
              <w:t>✓ 关联企业3名称: 北京中锐青云科技有限公司 [来源: 客户材料摘要]</w:t>
              <w:br/>
              <w:t>✓ 关联企业3成立时间: 2020-9-23 [来源: 客户材料摘要]</w:t>
              <w:br/>
              <w:t>✓ 关联企业3股权结构: 中锐网络100%控股 [来源: 客户材料摘要]</w:t>
              <w:br/>
              <w:t>✓ 关联企业3主营业务及产品: 产教融合创新服务 [来源: 客户材料摘要]</w:t>
              <w:br/>
              <w:t>✓ 关联企业3注册资本/实收资本: 1000 [来源: 客户材料摘要]</w:t>
              <w:br/>
              <w:t>✓ 关联企业3上年主营业务收入: 204 [来源: 客户材料摘要]✓ 关联企业3上年净利润: 16 [来源: 补充材料原文]</w:t>
              <w:br/>
              <w:t>✓ 关联企业4名称: 厦门中锐软件科技有限公司 [来源: 客户材料摘要]</w:t>
              <w:br/>
              <w:t>✓ 关联企业4成立时间: 2016-12-19 [来源: 客户材料摘要]</w:t>
              <w:br/>
              <w:t>✓ 关联企业4股权结构: 中锐网络100%控股 [来源: 客户材料摘要]</w:t>
              <w:br/>
              <w:t>✓ 关联企业4主营业务及产品: 软硬件销售 [来源: 客户材料摘要]</w:t>
              <w:br/>
              <w:t>✓ 关联企业4注册资本/实收资本: 1200 [来源: 客户材料摘要]</w:t>
              <w:br/>
              <w:t>✓ 关联企业4上年主营业务收入: 7 [来源: 客户材料摘要]</w:t>
              <w:br/>
              <w:t>✓ 关联企业4上年净利润: -13 [来源: 补充材料原文]</w:t>
              <w:br/>
              <w:t>✓ 关联企业5名称: 中锐海沃水利技术(福建)有限公司 [来源: 客户材料摘要]</w:t>
              <w:br/>
              <w:t>✓ 关联企业5成立时间: 2018-1-10 [来源: 客户材料摘要]</w:t>
              <w:br/>
              <w:t>✓ 关联企业5股权结构: 中锐网络84%控股 [来源: 客户材料摘要]</w:t>
              <w:br/>
              <w:t>✓ 关联企业5主营业务及产品: 智慧水利 [来源: 客户材料摘要]</w:t>
              <w:br/>
              <w:t>✓ 关联企业5注册资本/实收资本: 1000 [来源: 客户材料摘要]</w:t>
              <w:br/>
              <w:t>✓ 关联企业5上年主营业务收入: 0 [来源: 客户材料摘要]</w:t>
              <w:br/>
              <w:t>✓ 关联企业5上年净利润: 0.05 [来源: 补充材料原文]【待审核的报告正文】关联企业关系：可附图</w:t>
              <w:br/>
              <w:t>关联企业情况小结：企业关联方均为全资或控股子公司，主要经营智慧水利、智慧教育、产教融合及软硬件销售。关联企业1福建中锐汉鼎信息技术有限公司上年主营业务收入1223万元，净利润-682万元；关联企业2福建中锐教育科技有限公司上年主营业务收入21万元，净利润-1275万元；关联企业3北京中锐青云科技有限公司上年主营业务收入204万元，净利润16万元；关联企业4厦门中锐软件科技有限公司上年主营业务收入7万元，净利润-13万元；关联企业5中锐海沃水利技术(福建)有限公司上年主营业务收入0万元，净利润0.05。总体看，关联企业经营规模有限，多数处于亏损状态。</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【章节标题】2.集团合并财务数据（若有）：</w:t>
              <w:br/>
              <w:br/>
              <w:t>集团合并总资产2025年末为16956万元，营业收入2025年为1010万元。集团合并净利润2023至2025年分别为393万元、329万元、494万元。集团合并负债合计2023至2025年分别为914万元、9320万元、7207万元。集团合并短期借款2023至2025年分别为40万元、4990万元、4730万元。集团合并货币资金2023至2025年分别为1522万元、506万元、286万元。集团合并应收账款2023至2025年分别为6354万元、9253万元、7430万元。集团合并存货2023至2025年分别为2545万元、1166万元、2192万元。集团合并其他应收款2023至2025年分别为3621万元、3522万元、2774万元。集团合并应付账款2023至2025年分别为1847万元、2333万元、126万元。集团合并其他应付款2023至2025年分别为185万元、648万元、168万元。集团主要子公司包括福建中锐汉鼎信息技术有限公司、福建中锐教育科技有限公司、北京中锐青云科技有限公司、厦门中锐软件科技有限公司、中锐海沃水利技术(福建)有限公司。材料未提供集团合并营业收入2023年及2024年数据。材料未提供集团合并总资产2023年及2024年数据。材料未提供集团合并子公司数量及完整名录。</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智慧水利与智慧教育业务。智慧水利业务聚焦水灾害、水工程、水资源、水生态水环境、水监督、水政务等六大重点应用，核心产品包括大坝安全智能监测平台、智慧水利流域四预系统等，已成功应用于福建省300余座大中小型水库。智慧教育业务聚焦网络、人工智能、智慧行业三大领域，提供数字人才培养解决方案，与全国超过1000所高校及科研院所建立产学研合作，服务1600多家政企客户。上年度收入结构中，水利业务占比46%，教育业务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主营业务为智慧水利与智慧教育，所属其他未列明信息技术服务业。智慧水利方面，企业拥有大坝安全智能监测平台、智慧水利流域四预系统等具体产品，相关技术曾获2022年度福建省科技进步奖二等奖、水利科学技术奖一等奖，其解决方案已成功应用于福建省300余座大中小型水库。智慧教育方面，企业与全国超过1000所高校及科研院所建立了产学研合作关系，服务1600多家政企客户。企业收入结构中，水利业务占比46%，教育业务占比54%。企业已进入2025年高新技术企业认定报备名单。主要上游供应商包括锐捷网络股份有限公司等，主要下游客户包括涵江水利局等。</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【章节标题】3.产品生产、销量、销售收入及结构占比情况：</w:t>
              <w:br/>
              <w:t>企业主要产品为智慧水利与智慧教育解决方案。智慧水利产品包括大坝安全智能监测平台、智慧水利流域四预系统、水库运行管理矩阵平台，智慧教育产品为数字人才培养解决方案。2025年产品销售收入1010万元，其中智慧水利收入占比46%，智慧教育收入占比54%。主要销售客户包括涵江水利局（智慧水利，上年销售额1116万元，占比10.02%）、福建省翔远电子科技有限公司（软硬件销售，上年销售额1122万元，占比9.92%）、三明水利水电工程有限公司顺昌分公司（智慧水利，上年销售额572万元，占比5.07%）、福州市福清公路事业发展中心（软硬件销售，上年销售额396万元，占比3.51%）及济南展雄电子有限公司（智慧教育，上年销售额356万元，占比2.99%）。销售收款方式为预收款和账期或全款，采购付款方式为预付款和账期款。材料未提供生产工艺流程、历年产品产量及销量数据。</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供应商包括锐捷网络股份有限公司、北京星链南天科技有限公司、广州浩瀚星图信息技术有限公司、新天科技股份有限公司、精导信息技术有限公司司。下游客户包括涵江水利局、福建省翔远电子科技有限公司、三明水利水电工程有限公司顺昌分公司、福州市福清公路事业发展中心、济南展雄电子有限公司。</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③经营账期：材料未提供上下游结算账期信息。</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下滑趋势在2025年得到扭转并实现增长，同时毛利率在经历波动后于近两年稳定在较高水平，显示盈利能力的恢复与巩固。毛利率标准差较低，表明盈利的稳定性有所增强。收入、毛利与净利润需联动分析，重点关注利润兑现与毛利波动是否匹配。</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6.借款人主要财务指标情况：</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①财务真实性验证(税务数据验证)：材料未提供具体验证结果。</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账款7430</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企业2025年末应收账款为7430万元，较2024年末的9253万元下降19.7%，回款情况有所改善。但该科目余额仍处于近四年来的较高水平，且2022至2024年间持续快速增长，需关注其历史增长趋势及资产质量。</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）其他应收款2774</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其他应收款2025年末为2774万元，较2024年末的3522万元下降21.2%，呈回落趋势。但该科目余额仍处于较高水平，占流动资产比重较大，需关注其具体构成与回收风险。</w:t>
            </w:r>
          </w:p>
          <w:p w14:paraId="669763E4">
            <w:commentRangeStart w:id="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存货在2025年末为2192万元，较2024年末的1166万元大幅增长88.0%，结束了自2022年（5301万元）以来的连续下降趋势。结合资产负债表，存货占总资产比重较低，但需关注其快速回升是否与业务扩张或销售策略调整有关。</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5"/>
            <w:r>
              <w:rPr>
                <w:rStyle w:val="CommentReference"/>
              </w:rPr>
              <w:commentReference w:id="5"/>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企业长期投资由2024年的2518万元增长至2025年的3123万元，同比增加605万元，增幅达24.0%，显示其对外投资规模显著扩张。该科目在2022年至2023年间保持相对稳定，但自2024年起进入快速增长通道。由于提供的财务报表片段未披露长期投资的具体构成，无法分析其投资方向与风险。</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 1847万元，主要构成及趋势变动情况： 企业应付账款期末余额为1026万元，较年初的2333万元大幅下降56.0%。结合报表数据，其应付账款（科目35）由年初的2333万元降至1026万元，减少了1308万元，显示公司对上游供应商的付款节奏可能加快或采购规模收缩。</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（6）其他应付款 185万元，主要构成及趋势变动情况： 截至2025年末，公司其他应付款为168万元，较2024年末的648万元大幅下降480万元，降幅达74.1%。该科目余额已回落至接近2023年185万元的水平。</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企业主营业务收入自2022年的21198万元持续下滑至2024年的8712万元，2025年虽回升至1010万元，同比增长14.9%，但整体规模较历史高点仍萎缩过半。本次回升的具体原因，基于提供的财务报表材料无法直接获知。</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企业盈利能力持续承压，2023至2024年收入连续下滑，净利润由983万元降至329万元。2025年收入虽小幅回升至1010万元，净利润增至494万元，净利率提升至4.9%，但整体盈利规模仍远低于2022年水平。</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货币资金期末余额为286万元，较年初的506万元大幅下降43.6%，流动性显著收紧。同时，存货余额从年初的1166万元激增至2192万元，增幅达88.0%，可能存在库存积压或销售不畅的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恶化。尽管流动比率有所改善且资产负债率呈下降趋势，但核心流动性指标的大幅下滑表明企业面临严峻的即时支付风险。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应收账款周转效率持续恶化，回款能力显著下降。存货管理波动剧烈，存在库存积压风险。运营效率需重点跟踪应收账款周转与收入扩张的匹配程度。</w:t>
            </w:r>
          </w:p>
          <w:p w14:paraId="0A792E2F">
            <w:pPr>
              <w:pStyle w:val="11"/>
              <w:rPr>
                <w:rFonts w:hint="eastAsia"/>
                <w:lang w:val="en-US" w:eastAsia="zh-CN"/>
              </w:rPr>
            </w:pPr>
            <w:r>
              <w:t xml:space="preserve">经营现金流波动剧烈且整体偏弱，呈现间歇性正负交替，表明主营业务造血能力不稳定。公司持续依赖外部融资维持投资活动，2025年筹资现金流转负可能加剧流动性压力。尽管最近一年经营现金流为正，但难以覆盖持续的投资支出，现金流结构存在改善空间。</w:t>
            </w:r>
          </w:p>
          <w:p w14:paraId="0A792E2F">
            <w:pPr>
              <w:pStyle w:val="11"/>
              <w:rPr>
                <w:rFonts w:hint="eastAsia"/>
                <w:lang w:val="en-US" w:eastAsia="zh-CN"/>
              </w:rPr>
            </w:pPr>
            <w:r>
              <w:t xml:space="preserve">应收账款周转天数持续恶化，已显著超过风险阈值，表明客户回款能力严重不足，信用风险高企。货币资金对短期借款的覆盖率已降至极低水平，远低于安全阈值，企业面临严峻的短期偿债压力。尽管资产负债率呈下降趋势且未触发阈值，但已无法掩盖其因营运效率低下和流动性枯竭所引发的整体信用状况恶化。</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②财务真实性验证(银行流水验证)：材料未提供具体验证结果。</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commentRangeStart w:id="6"/>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commentRangeEnd w:id="6"/>
            <w:r>
              <w:rPr>
                <w:rStyle w:val="CommentReference"/>
              </w:rPr>
              <w:commentReference w:id="6"/>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③近三年及最近一期财务数据</w:t>
              <w:br/>
              <w:t>（1）应收账款2023年6354万元，2024年9253万元，最近一期7430万元。材料未提供主要构成及趋势变动情况。</w:t>
              <w:br/>
              <w:t>（2）其他应收款2023年3621万元，2024年3522万元，最近一期2774万元。材料未提供主要构成及趋势变动情况。</w:t>
              <w:br/>
              <w:t>（3）存货2023年2545万元，2024年1166万元，最近一期2192万元。材料未提供主要构成及趋势变动情况。（4）长期投资：材料未提供。</w:t>
              <w:br/>
              <w:t>（5）应付账款2023年1847万元，2024年2333万元，最近一期1026万元。材料未提供主要构成及趋势变动情况。</w:t>
              <w:br/>
              <w:t>（6）其他应付款2023年185万元，2024年648万元，最近一期168万元。材料未提供主要构成及趋势变动情况。（7）主营业务收入变动原因：材料未提供。（8）盈利能力变动原因：材料未提供。</w:t>
              <w:br/>
              <w:t>（9）固定资产投资变动情况（后续若有大额固定资产投入计划，分析投入及资金安排）：材料未提供。</w:t>
              <w:br/>
              <w:t>（10）其他变动较大的财务指标（包括但不限于预付账款、预收账款等，如有请说明）：材料未提供。</w:t>
              <w:br/>
              <w:t>④最近三年现金流量表分析：材料未提供。</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【章节标题】1.融资及对外担保情况【证据清单】</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7"/>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7"/>
            <w:r>
              <w:rPr>
                <w:rStyle w:val="CommentReference"/>
              </w:rPr>
              <w:commentReference w:id="7"/>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 融资机构及授信总额: 4640万元 [来源: 客户材料摘要]</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 融资机构及已用总额: 4440万元 [来源: 客户材料摘要]</w:t>
              <w:br/>
              <w:t>✓ 融资明细-交通银行屏东支行: 品种: 流贷 | 授信金额: 1000万元 | 已用金额: 2024.4.25 | 业务起始日: 2026.4.24 | 业务到期日: 黄祖海 [来源: 客户材料摘要]</w:t>
              <w:br/>
              <w:t>✓ 融资明细-海峡银行金山支行: 品种: 流贷加担保 | 授信金额: 500万元 | 已用金额: 2025.10.15 | 业务起始日: 2026.10.15 | 业务到期日: 黄祖海.陈其俤.福州市融资担保有限公司.福建恒运投资合伙企业（有限合伙） [来源: 客户材料摘要]</w:t>
              <w:br/>
              <w:t>✓ 融资明细-厦门国际银行台江支行: 品种: 流贷 | 授信金额: 640万元 | 已用金额: 2025.11.21 | 业务起始日: 2026.11.21 | 业务到期日: 黄祖海.陈其俤 [来源: 客户材料摘要]</w:t>
              <w:br/>
              <w:t>✓ 融资明细-兴业银行环球支行(1): 品种: 流贷 | 授信金额: 1000万元 | 已用金额: 700万元 | 业务起始日: 2025.11.25 | 业务到期日: 2026.11.25 [来源: 客户材料摘要]</w:t>
              <w:br/>
              <w:t>✓ 融资明细-兴业银行环球支行(2): 品种: 流贷 | 授信金额: 1000万元 | 已用金额: 300万元 | 业务起始日: 2025.12.22 | 业务到期日: 2026.12.22 [来源: 客户材料摘要]</w:t>
              <w:br/>
              <w:t>✓ 融资明细-工商银行: 品种: 流贷 | 授信金额: 500万元 | 已用金额: 2025.12.2 | 业务起始日: 2026.12.2 | 业务到期日: 黄祖海 [来源: 客户材料摘要]</w:t>
              <w:br/>
              <w:t>✓ 融资明细-中国银行福建省分行: 品种: 流贷 | 授信金额: 600万元 | 已用金额: 2026.1.4 | 业务起始日: 2027.1.4 | 业务到期日: 黄祖海.陈其俤 [来源: 客户材料摘要]</w:t>
              <w:br/>
              <w:t>✓ 融资明细-广发银行鼓楼支行: 品种: 流贷 | 授信金额: 400万元 | 已用金额: 200万元 | 业务起始日: 2026.1.23 | 业务到期日: 2027.1.23 [来源: 客户材料摘要]</w:t>
              <w:br/>
              <w:t>✗ 中长期借款还款计划及还款资金安排情况: 全部材料中未找到✗ 对外担保情况: 全部材料中未找到✗ 不良记录情况: 全部材料中未找到【待审核的报告正文】</w:t>
              <w:br/>
              <w:t>截至报告日，企业授信总额4640万元，已用总额4440万元。融资明细如下：交通银行屏东支行流贷1000万元，业务到期日2026年4月24日；海峡银行金山支行流贷加担保500万元，业务到期日2026年10月15日；厦门国际银行台江支行流贷640万元，业务到期日2026年11月21日；兴业银行环球支行两笔流贷合计2000万元，业务到期日分别为2026年11月25日及2026年12月22日；工商银行流贷500万元，业务到期日2026年12月2日；中国银行福建省分行流贷600万元，业务到期日2027年1月4日；广发银行鼓楼支行流贷400万元，业务到期日2027年1月23日。材料未提供中长期借款还款计划及还款资金安排情况。材料未提供对外担保情况。材料未提供不良记录情况。</w:t>
            </w:r>
          </w:p>
          <w:p w14:paraId="76CE32AE">
            <w:commentRangeStart w:id="8"/>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8"/>
            <w:r>
              <w:rPr>
                <w:rStyle w:val="CommentReference"/>
              </w:rPr>
              <w:commentReference w:id="8"/>
            </w:r>
          </w:p>
          <w:p w14:paraId="4355488A">
            <w:commentRangeStart w:id="9"/>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9"/>
            <w:r>
              <w:rPr>
                <w:rStyle w:val="CommentReference"/>
              </w:rPr>
              <w:commentReference w:id="9"/>
            </w:r>
          </w:p>
          <w:p w14:paraId="0BD0E5B0">
            <w:commentRangeStart w:id="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信用报告，黄祖海名下有未结清贷款账户1笔，余额1000万元，为中行个人经营贷款，经营主体为[待补充]；有未销户信用卡账户1笔，余额0元。全部未结清贷款估算下月应还款额0元，贷记卡最近6个月平均使用额度需核实，准贷记卡最近6个月平均透支余额0元。承担担保责任账户有1笔，承担共同还款责任账户有0笔，余额1000万元，为[待补充]担保。客户近5年贷款累计逾期期数为1期，其中逾期金额小于等于500元的期数为0；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10"/>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3.实控人配偶情况：康恩慧，中国国籍。材料未提供籍贯、出生年份及个人征信信息。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commentRangeStart w:id="11"/>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11"/>
            <w:r>
              <w:rPr>
                <w:rStyle w:val="CommentReference"/>
              </w:rPr>
              <w:commentReference w:id="11"/>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材料未提供科技型企业类型认定及评分。核心研发人员享有股权激励。近三年研发投入占比分别为7.4%、14.5%、10.5%，研发人员占比分别为44%、49%、53%。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材料未提供企业在我行日均存款、对公有效户、全年结算量、代发签约人数及发薪量数据。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2024年经营活动现金流入小计8030万元，经营活动现金流出小计8926万元。2025年末货币资金为286万元。上游结算方式为预付款和账期款，下游结算方式为预收款和账期或全款。2025年末应收账款为7430万元，存货为2192万元。材料未提供前端工序处于涨价周期的具体证据。</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12"/>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2"/>
            <w:r>
              <w:rPr>
                <w:rStyle w:val="CommentReference"/>
              </w:rPr>
              <w:commentReference w:id="12"/>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材料未提供营业收入、营业成本及周转天数等关键数据，无法进行营运资金需求测算。</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3"/>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3"/>
            <w:r>
              <w:rPr>
                <w:rStyle w:val="CommentReference"/>
              </w:rPr>
              <w:commentReference w:id="13"/>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 第一还款来源主要为企业主营业务形成的销售回款及经营现金回笼。材料显示水利占比46%、教育占比54%。2025年主营业务收入10010万元；净利润494万元；经营性现金流净额791万元。</w:t>
            </w:r>
            <w:r>
              <w:rPr>
                <w:rFonts w:hint="eastAsia" w:ascii="宋体" w:hAnsi="宋体" w:cs="宋体"/>
                <w:bCs/>
                <w:snapToGrid w:val="0"/>
                <w:kern w:val="0"/>
                <w:sz w:val="21"/>
                <w:szCs w:val="21"/>
                <w:highlight w:val="none"/>
                <w:u w:val="single"/>
                <w:lang w:val="en-US" w:eastAsia="zh-CN"/>
              </w:rPr>
            </w:r>
          </w:p>
          <w:p w14:paraId="0DEB130D">
            <w:commentRangeStart w:id="14"/>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commentRangeEnd w:id="14"/>
            <w:r>
              <w:rPr>
                <w:rStyle w:val="CommentReference"/>
              </w:rPr>
              <w:commentReference w:id="14"/>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材料未提供近三年经营活动现金流量净额及营业收入数据。企业2025年净利润494万元，总资产规模16956万元，最近年度营收规模10010万元。近三年货币资金呈下降趋势，2025年末为286万元；应收账款规模较大，2025年末为7430万元。企业银行授信总额4640万元，已用4440万元。</w:t>
              <w:br/>
              <w:t>②第二还款来源（抵质押物变现能力分析及其他渠道现金流分析）：实控人配偶康恩慧名下拥有仓山区上渡街道通江路17号江南水都·杰座房产，面积143.45平，所有权人为康恩慧、黄祖海。材料未提供该房产市场或评估价及抵押状态信息。</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5"/>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抵押物为私有房产，坐落于仓山区上渡街道通江路17号江南水都·杰座，所有权人为康恩慧、黄祖海，权属证号为榕房权证R字第0838000号，建筑面积143.45平方米。</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材料未提供公司担保相关信息。</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材料未提供我行认可的专业担保公司担保相关信息。</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w:t>
              <w:br/>
              <w:t>企业主营智慧水利与智慧教育，2025年营收10010万元，净利润494万元，近三年均保持盈利（2023年393万元，2024年329万元，2025年494万元）。2025年末总资产16956万元，负债7207万元，杠杆水平可控。经营活动现金流方面，2024年销售商品、提供劳务收到的现金为4890万元，经营活动现金流量净额为-896万元；2025年销售商品、提供劳务收到的现金为10385万元，经营活动现金流量净额材料未提供。企业现有银行授信总额4640万元，已用4440万元，融资机构分散。本次申报授信方案建议匹配企业经营结算需求，并追加实际控制人黄祖海及其配偶康恩慧名下位于仓山区上渡街道通江路17号江南水都·杰座的房产抵押作为强担保措施。贷后需监控其应收账款回款进度及经营性现金流状况。</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2023年销售商品、提供劳务收到的现金9364万元，经营活动现金流入小计11207万元，经营活动现金流出小计10938万元，经计算经营活动现金流量净额约为269万元；2024年销售商品、提供劳务收到的现金4890万元，经营活动现金流入小计8029万元。材料未提供2024年经营活动现金流出小计及净额数据。</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杠杆率：借款人2023年负债合计9014万元，2024年9320万元，2025年7207万元。2025年总资产规模16956万元，经计算资产负债率约为42.5%。</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业务为智慧水利与智慧教育，2025年营收10010万元，净利润494万元。根据材料，企业旗下有福建中锐汉鼎信息技术有限公司、福建中锐教育科技有限公司、北京中锐青云科技有限公司、厦门中锐软件科技有限公司、中锐海沃水利技术(福建)有限公司等子公司。在智慧水利领域拥有自主研发平台，已应用于福建省300余座水库；在智慧教育领域与全国超1000所高校合作，服务1600多家政企客户。</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垒小户：借款人现有合作银行4家，合计授信金额4640万元，已用金额4440万元，其中2025年短期借款为4730万元。配结算：材料未提供借款人在我行结算情况。强担保：材料未提供本次授信担保方案。</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6"/>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6"/>
            <w:r>
              <w:rPr>
                <w:rStyle w:val="CommentReference"/>
              </w:rPr>
              <w:commentReference w:id="16"/>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p>
          <w:p w14:paraId="6AC425A6">
            <w:commentRangeStart w:id="17"/>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7"/>
            <w:r>
              <w:rPr>
                <w:rStyle w:val="CommentReference"/>
              </w:rPr>
              <w:commentReference w:id="17"/>
            </w:r>
          </w:p>
          <w:p w14:paraId="2FC82B07">
            <w:commentRangeStart w:id="18"/>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269107E9">
            <w:commentRangeStart w:id="1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9"/>
            <w:r>
              <w:rPr>
                <w:rStyle w:val="CommentReference"/>
              </w:rPr>
              <w:commentReference w:id="19"/>
            </w:r>
          </w:p>
          <w:p w14:paraId="3096CC3B">
            <w:commentRangeStart w:id="20"/>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2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1"/>
            <w:r>
              <w:rPr>
                <w:rStyle w:val="CommentReference"/>
              </w:rPr>
              <w:commentReference w:id="21"/>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2"/>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2"/>
            <w:r>
              <w:rPr>
                <w:rStyle w:val="CommentReference"/>
              </w:rPr>
              <w:commentReference w:id="22"/>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3T18:14:28Z" w:initials="Agent">
    <w:p>
      <w:r>
        <w:rPr>
          <w:rStyle w:val="CommentReference"/>
        </w:rPr>
        <w:annotationRef/>
      </w:r>
      <w:r>
        <w:t xml:space="preserve">该处“申报单位”仍为空白，请人工确认。</w:t>
      </w:r>
    </w:p>
  </w:comment>
  <w:comment w:id="1" w:author="信贷报告 Agent" w:date="2026-04-13T18:14:28Z" w:initials="Agent">
    <w:p>
      <w:r>
        <w:rPr>
          <w:rStyle w:val="CommentReference"/>
        </w:rPr>
        <w:annotationRef/>
      </w:r>
      <w:r>
        <w:t xml:space="preserve">该处“小类）”仍为空白，请人工确认。</w:t>
      </w:r>
    </w:p>
  </w:comment>
  <w:comment w:id="2" w:author="信贷报告 Agent" w:date="2026-04-13T18:14:28Z" w:initials="Agent">
    <w:p>
      <w:r>
        <w:rPr>
          <w:rStyle w:val="CommentReference"/>
        </w:rPr>
        <w:annotationRef/>
      </w:r>
      <w:r>
        <w:t xml:space="preserve">该处“绿通标识”仍为空白，请人工确认。</w:t>
      </w:r>
    </w:p>
  </w:comment>
  <w:comment w:id="3" w:author="信贷报告 Agent" w:date="2026-04-13T18:14:28Z" w:initials="Agent">
    <w:p>
      <w:r>
        <w:rPr>
          <w:rStyle w:val="CommentReference"/>
        </w:rPr>
        <w:annotationRef/>
      </w:r>
      <w:r>
        <w:t xml:space="preserve">该处“□排污许可证（编号：”仍为模板占位符，请人工核实。</w:t>
      </w:r>
    </w:p>
  </w:comment>
  <w:comment w:id="4" w:author="信贷报告 Agent" w:date="2026-04-13T18:14:28Z" w:initials="Agent">
    <w:p>
      <w:r>
        <w:rPr>
          <w:rStyle w:val="CommentReference"/>
        </w:rPr>
        <w:annotationRef/>
      </w:r>
      <w:r>
        <w:t xml:space="preserve">该处“过往两年企业股权变动情况及变动原因”仍为空白，请人工确认。</w:t>
      </w:r>
    </w:p>
  </w:comment>
  <w:comment w:id="5" w:author="信贷报告 Agent" w:date="2026-04-13T18:14:28Z" w:initials="Agent">
    <w:p>
      <w:r>
        <w:rPr>
          <w:rStyle w:val="CommentReference"/>
        </w:rPr>
        <w:annotationRef/>
      </w:r>
      <w:r>
        <w:t xml:space="preserve">该处“主要构成及趋势变动情况”仍为空白，请人工确认。</w:t>
      </w:r>
    </w:p>
  </w:comment>
  <w:comment w:id="6" w:author="信贷报告 Agent" w:date="2026-04-13T18:14:28Z" w:initials="Agent">
    <w:p>
      <w:r>
        <w:rPr>
          <w:rStyle w:val="CommentReference"/>
        </w:rPr>
        <w:annotationRef/>
      </w:r>
      <w:r>
        <w:t xml:space="preserve">该处“最近三年现金流量表分析”仍为空白，请人工确认。</w:t>
      </w:r>
    </w:p>
  </w:comment>
  <w:comment w:id="7" w:author="信贷报告 Agent" w:date="2026-04-13T18:14:28Z" w:initials="Agent">
    <w:p>
      <w:r>
        <w:rPr>
          <w:rStyle w:val="CommentReference"/>
        </w:rPr>
        <w:annotationRef/>
      </w:r>
      <w:r>
        <w:t xml:space="preserve">该处“反馈中长期借款还款计划及还款资金安排情况”仍为空白，请人工确认。</w:t>
      </w:r>
    </w:p>
  </w:comment>
  <w:comment w:id="8" w:author="信贷报告 Agent" w:date="2026-04-13T18:14:28Z" w:initials="Agent">
    <w:p>
      <w:r>
        <w:rPr>
          <w:rStyle w:val="CommentReference"/>
        </w:rPr>
        <w:annotationRef/>
      </w:r>
      <w:r>
        <w:t xml:space="preserve">该处“（若有）对外担保情况”仍为空白，请人工确认。</w:t>
      </w:r>
    </w:p>
  </w:comment>
  <w:comment w:id="9" w:author="信贷报告 Agent" w:date="2026-04-13T18:14:28Z" w:initials="Agent">
    <w:p>
      <w:r>
        <w:rPr>
          <w:rStyle w:val="CommentReference"/>
        </w:rPr>
        <w:annotationRef/>
      </w:r>
      <w:r>
        <w:t xml:space="preserve">该处“（若有）不良记录情况”仍为空白，请人工确认。</w:t>
      </w:r>
    </w:p>
  </w:comment>
  <w:comment w:id="10" w:author="信贷报告 Agent" w:date="2026-04-13T18:14:28Z" w:initials="Agent">
    <w:p>
      <w:r>
        <w:rPr>
          <w:rStyle w:val="CommentReference"/>
        </w:rPr>
        <w:annotationRef/>
      </w:r>
      <w:r>
        <w:t xml:space="preserve">该处“为中行个人经营贷款，经营主体为”仍为模板占位符，请人工核实。</w:t>
      </w:r>
    </w:p>
  </w:comment>
  <w:comment w:id="11" w:author="信贷报告 Agent" w:date="2026-04-13T18:14:28Z" w:initials="Agent">
    <w:p>
      <w:r>
        <w:rPr>
          <w:rStyle w:val="CommentReference"/>
        </w:rPr>
        <w:annotationRef/>
      </w:r>
      <w:r>
        <w:t xml:space="preserve">该处“科技型企业评分”仍为空白，请人工确认。</w:t>
      </w:r>
    </w:p>
  </w:comment>
  <w:comment w:id="12" w:author="信贷报告 Agent" w:date="2026-04-13T18:14:28Z" w:initials="Agent">
    <w:p>
      <w:r>
        <w:rPr>
          <w:rStyle w:val="CommentReference"/>
        </w:rPr>
        <w:annotationRef/>
      </w:r>
      <w:r>
        <w:t xml:space="preserve">该处“请补充分析原因”仍为空白，请人工确认。</w:t>
      </w:r>
    </w:p>
  </w:comment>
  <w:comment w:id="13" w:author="信贷报告 Agent" w:date="2026-04-13T18:14:28Z" w:initials="Agent">
    <w:p>
      <w:r>
        <w:rPr>
          <w:rStyle w:val="CommentReference"/>
        </w:rPr>
        <w:annotationRef/>
      </w:r>
      <w:r>
        <w:t xml:space="preserve">该处“请补充说明”仍为空白，请人工确认。</w:t>
      </w:r>
    </w:p>
  </w:comment>
  <w:comment w:id="14" w:author="信贷报告 Agent" w:date="2026-04-13T18:14:28Z" w:initials="Agent">
    <w:p>
      <w:r>
        <w:rPr>
          <w:rStyle w:val="CommentReference"/>
        </w:rPr>
        <w:annotationRef/>
      </w:r>
      <w:r>
        <w:t xml:space="preserve">该处“质押物变现能力分析及其他渠道现金流分析）”仍为空白，请人工确认。</w:t>
      </w:r>
    </w:p>
  </w:comment>
  <w:comment w:id="15" w:author="信贷报告 Agent" w:date="2026-04-13T18:14:28Z" w:initials="Agent">
    <w:p>
      <w:r>
        <w:rPr>
          <w:rStyle w:val="CommentReference"/>
        </w:rPr>
        <w:annotationRef/>
      </w:r>
      <w:r>
        <w:t xml:space="preserve">该处“变动原因”仍为空白，请人工确认。</w:t>
      </w:r>
    </w:p>
  </w:comment>
  <w:comment w:id="16" w:author="信贷报告 Agent" w:date="2026-04-13T18:14:28Z" w:initials="Agent">
    <w:p>
      <w:r>
        <w:rPr>
          <w:rStyle w:val="CommentReference"/>
        </w:rPr>
        <w:annotationRef/>
      </w:r>
      <w:r>
        <w:t xml:space="preserve">该处“予借款人授信敞口1000万元，”仍为模板占位符，请人工核实。</w:t>
      </w:r>
    </w:p>
  </w:comment>
  <w:comment w:id="17" w:author="信贷报告 Agent" w:date="2026-04-13T18:14:28Z" w:initials="Agent">
    <w:p>
      <w:r>
        <w:rPr>
          <w:rStyle w:val="CommentReference"/>
        </w:rPr>
        <w:annotationRef/>
      </w:r>
      <w:r>
        <w:t xml:space="preserve">该处“共同调查人”仍为空白，请人工确认。</w:t>
      </w:r>
    </w:p>
  </w:comment>
  <w:comment w:id="18" w:author="信贷报告 Agent" w:date="2026-04-13T18:14:28Z" w:initials="Agent">
    <w:p>
      <w:r>
        <w:rPr>
          <w:rStyle w:val="CommentReference"/>
        </w:rPr>
        <w:annotationRef/>
      </w:r>
      <w:r>
        <w:t xml:space="preserve">该处“二级支行行长”仍为空白，请人工确认。</w:t>
      </w:r>
    </w:p>
  </w:comment>
  <w:comment w:id="19" w:author="信贷报告 Agent" w:date="2026-04-13T18:14:28Z" w:initials="Agent">
    <w:p>
      <w:r>
        <w:rPr>
          <w:rStyle w:val="CommentReference"/>
        </w:rPr>
        <w:annotationRef/>
      </w:r>
      <w:r>
        <w:t xml:space="preserve">该处“分管行长”仍为空白，请人工确认。</w:t>
      </w:r>
    </w:p>
  </w:comment>
  <w:comment w:id="20" w:author="信贷报告 Agent" w:date="2026-04-13T18:14:28Z" w:initials="Agent">
    <w:p>
      <w:r>
        <w:rPr>
          <w:rStyle w:val="CommentReference"/>
        </w:rPr>
        <w:annotationRef/>
      </w:r>
      <w:r>
        <w:t xml:space="preserve">该处“行长”仍为空白，请人工确认。</w:t>
      </w:r>
    </w:p>
  </w:comment>
  <w:comment w:id="21" w:author="信贷报告 Agent" w:date="2026-04-13T18:14:28Z" w:initials="Agent">
    <w:p>
      <w:r>
        <w:rPr>
          <w:rStyle w:val="CommentReference"/>
        </w:rPr>
        <w:annotationRef/>
      </w:r>
      <w:r>
        <w:t xml:space="preserve">该处“审查员”仍为空白，请人工确认。</w:t>
      </w:r>
    </w:p>
  </w:comment>
  <w:comment w:id="22" w:author="信贷报告 Agent" w:date="2026-04-13T18:14:28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