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福建省分行普惠法人授信申报及审查审批意见表（2025新版）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申报单位：[待补充]</w:t>
              <w:tab/>
              <w:tab/>
              <w:tab/>
              <w:tab/>
              <w:tab/>
              <w:t>客户经理：[待补充]                联系电话：[待补充]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r>
            <w:commentRangeEnd w:id="0"/>
            <w:r>
              <w:rPr>
                <w:rStyle w:val="CommentReference"/>
              </w:rPr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：☑新客户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□维持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[待补充]；上年度销售额 [待补充]；上年度末员工人数 [待补充]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申报额度：[待补充]；申报敞口：[待补充]；【上一期授信敞口（若有）：[待补充]】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业务品种：[待补充]；业务期限：[待补充]；授信期限：[待补充]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担保方式：[待补充]；【上一期授信担保方式：[待补充]】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已取得资质情况：不涉及。上年度末社保人数：材料未提供。注册资本：4100万元、实收资本：材料未提供。法定代表人：主管会计。最新股权结构表：材料未提供。过往两年企业股权变动情况及变动原因：材料未提供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编号：XXX，有效期至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0959F8FD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人数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人；注册资本：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万元、实收资本：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黄祖海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1200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1200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4200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4200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360105F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材料未提供过往两年企业股权变动情况及变动原因。 </w:t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材料未提供面访时间、双方会面人员信息。实控人黄祖海先生拥有湖南大学电子商务专业本科学历，自2000年起长期从事网络科技行业，具备超过二十年的技术研发及企业管理经验，行业经验丰富。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材料未提供实地走访情况。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未提供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未提供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未提供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自2017年以来，我行与借款人建立授信合作关系，近三年分别给予其500、400、500万授信敞口。材料未提供当前授信余额、历史合作中是否有不良记录、展期或重组情况及主要使用的授信产品。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10 月 年10月15日 日，经531系统查询，借款人 2025 年 10 月   日提贷 500万元，到期日 2026 年 10 月   日，贷款采取自主支付方式发放，通过调取借款人账户流水，1. 500万元向 有限公司支付货款（已提供发票）；2. 有限公司支付 万元转至工行同户名账户，穿透查看用于向 货款（已提供发票）；2. 个人支付采购竹刨花原料款 万元转至工行同户名账户，穿透查看用于向 2 个人支付采购竹刨花原料款 个人支付采购竹刨花原料款 万元，其余用于支付税款；3.XX万元元转至农行同户名账户(基本户），用于向37个员工支付工资款。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贷款采取自主支付方式发放，通过调取借款人账户流水，1. 万元向 有限公司支付 货款（已提供发票）；2. 万元转至工行同户名账户，穿透查看用于向 个人支付采购竹刨花原料款 万元，其余用于支付税款；3.XX万元元转至农行同户名账户(基本户），用于向37个员工支付工资款。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具体落实情况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具体落实情况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黄色预警提示法定代表人黄祖海目前信用卡存在逾期。材料未提供核实过程及结果。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材料未提供PD评级下滑原因分析。 </w:t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及实际控制人：黄祖海，中国国籍，身份证号350124197704201694，配偶康恩慧。湖南大学电子商务专业本科学历。行业工作经历丰富，自2000年起长期在网络技术行业任职，现任福建中锐网络股份有限公司董事长兼总裁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仓山区上渡街道通江路17号江南水都·杰座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康恩慧 黄祖海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私有房产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榕 房权证 R 字第 0838000 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t>143.45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出租，出租方XX公司/个人，年租金XX万元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企业关联方均为全资或控股子公司，共5家。福建中锐汉鼎信息技术有限公司主营智慧水利，上年收入1223万元，净利润-682万元。福建中锐教育科技有限公司主营智慧教育，上年收入21万元，净利润-1275万元。北京中锐青云科技有限公司主营产教融合创新服务，上年收入204万元，净利润16万元。厦门中锐软件科技有限公司主营软硬件销售，上年收入7万元，净利润-13万元。中锐海沃水利技术(福建)有限公司主营智慧水利，上年收入0万元，净利润0万元。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材料未提供集团合并报表。</w:t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【章节标题】1.产品（业务）及其市场应用：主营智慧水利与智慧教育。</w:t>
              <w:br/>
              <w:t>企业主营业务为智慧水利与智慧教育。智慧水利业务聚焦水灾害、水工程、水资源、水生态水环境、水监督、水政务六大重点应用，核心产品包括大坝安全智能监测平台、智慧水利流域四预系统、水库运行管理矩阵平台等，已成功应用于福建省300余座大中小型水库。智慧教育业务聚焦网络、人工智能、智慧行业三大领域，提供数字人才培养解决方案，与全国超过1000所高校及科研院所建立合作，服务1600多家政企客户。上年度收入结构中，水利业务占比46%，教育业务占比54%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企业主营业务为智慧水利与智慧教育，属于其他未列明信息技术服务业。企业为高新技术企业，荣获2022年度福建省科技进步奖二等奖、水利科学技术奖一等奖。其智慧水利解决方案已应用于福建省300余座水库，智慧教育服务覆盖全国超过1000所高校及1600多家政企客户。企业上游主要供应商包括锐捷网络股份有限公司等，下游主要客户包括涵江水利局等，上下游结算方式主要为分期。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企业主营业务为智慧水利与智慧教育解决方案。智慧水利业务主要产品包括大坝安全智能监测平台、智慧水利流域四预系统等，已应用于福建省300余座水库；智慧教育业务主要为数字人才培养解决方案，合作院校超1000所，服务政企客户1600余家。2025年主营业务收入10010万元，其中智慧水利业务收入占比46%，智慧教育业务收入占比54%。材料未提供产品生产量、销量及生产工艺流程。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上下游情况：企业上游主要为锐捷网络股份有限公司、北京星链南天科技有限公司、广州浩瀚星图信息技术有限公司、新天科技股份有限公司、精导信息技术有限公司司。下游客户包括涵江水利局、福建省翔远电子科技有限公司、三明水利水电工程有限公司顺昌分公司、福州市福清公路事业发展中心、济南展雄电子有限公司。材料未提供上下游交易金额及经营账期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7EA0A4A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943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19.77%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186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3.90%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172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3.61%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90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1.88%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89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1.87%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1116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10.02%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1122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9.92%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572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5.07%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396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3.51%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356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2.99%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6B640D2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材料未提供最新在手订单列表。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XX研究所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中国银行股份有限公司福建省分行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福建中锐网络股份有限公司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t>409161646186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年月至年月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1480623</w:t>
                  </w: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  <w:r>
              <w:t>收入下滑趋势在2025年得到扭转并实现增长，同时毛利率在经历波动后于近两年稳定在较高水平，显示盈利能力的恢复与巩固。尽管毛利率存在一定波动性，但整体盈利质量呈现改善态势。收入、毛利与净利润需联动分析，重点关注利润兑现与毛利波动是否匹配。</w:t>
            </w: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6.借款人主要财务指标情况：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①财务真实性验证(税务数据验证)：材料未提供具体验证结果。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材料未提供应收账款金额。 万元，主要构成及趋势变动情况： 企业2025年末应收账款余额为7430万元，较年初的9253万元下降19.70%，回款情况有所改善。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材料未提供其他应收款金额。 万元，主要构成及趋势变动情况： 企业2025年末其他应收款余额为2774万元，较年初的3522万元下降21.25%，呈压降趋势。该科目占流动资产比重为21.16%，占比较高，但材料未提供其具体构成，无法评估回收风险。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材料未提供存货金额。 万元，主要构成及趋势变动情况： 根据2025年资产负债表，公司存货期末余额为2192万元，较年初的1166万元大幅增长87.9%。由于材料未提供存货的具体构成及前期数据，无法进行更深入的同比或趋势分析。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1626万元，主要构成及趋势变动情况： 长期投资期末余额3123万元，较年初2518万元增长605万元，增幅达24.0%，呈显著扩张趋势。该科目连续两年增长，2024年较2023年亦增加892万元，但财务报表材料中未披露具体投资构成及变动原因。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材料未提供应付账款金额。 万元，主要构成及趋势变动情况： 根据提供的2025年资产负债表，企业应付账款期末余额为1026万元，较年初的2333万元大幅下降56.1%，显示其对上游供应商的占款能力显著减弱。材料未提供2022至2024年数据，无法进行趋势分析。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185万元，主要构成及趋势变动情况： 2025年末其他应付款为168万元，较2024年末的648万元大幅下降480万元，降幅达74.1%。结合报表数据，该科目余额已从2022年的63万元连续两年快速增长后，于2025年显著回落。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）主营业务收入变动原因：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公司主营业务为智慧水利和智慧教育。智慧水利业务受益于国家政策支持，在福建省内水库等水利设施智能化改造中取得应用；智慧教育业务通过与高校及政企客户合作，推广数字人才培养方案。2025年营收10010万元，业务结构稳定（水利46%，教育54%）。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自2022年起持续下滑，2025年虽有所回升但仍处低位，净利润从2022年的983万元降至2025年的494万元，降幅明显。2025年营业收入为1010万元，净利润为494万元，净利率为4.9%，较2024年的3.8%有所改善，但盈利能力整体仍弱于2022年水平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材料未提供后续大额固定资产投入计划及资金安排信息，建议补充投资预算、采购/建设进度、资金来源（自有/贷款/补贴等）及预计形成资产情况。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根据提供的2025年资产负债表，企业货币资金期末余额为286万元，较年初的506万元大幅下降43.6%，流动性显著减弱。同时，应收账款由9253万元下降至7430万元，降幅为19.7%，回款情况有所改善。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货币资金对短期借款的保障能力持续大幅减弱，已处于极低水平。尽管流动比率逐年改善且整体负债水平呈下降趋势，但即期偿债压力因现金储备不足而显著增大。偿债能力由杠杆水平与流动性共同决定，需同步观察资产负债率和短债覆盖能力。</w:t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t xml:space="preserve">应收账款周转效率持续恶化，回款周期显著拉长，表明公司对下游客户的议价能力减弱或信用政策过于宽松。存货管理波动剧烈，近两年大幅去库存后本年度又激进补库，可能反映出销售预测失准或供应链管理存在风险。运营效率需重点跟踪应收账款周转与收入扩张的匹配程度。</w:t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t xml:space="preserve">经营现金流波动剧烈且整体偏弱，呈现间歇性正负交替，表明主营业务造血能力不稳定。公司持续依赖外部融资维持投资活动，但筹资现金流呈收缩趋势，2025年转为净流出，显示融资环境趋紧。整体现金流结构显示企业仍处于依赖外部输血的阶段，自身经营造血能力尚未形成可持续性。</w:t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t xml:space="preserve">应收账款周转天数持续恶化，已显著超过风险阈值，表明客户回款能力严重不足，信用风险急剧升高。货币资金对短期借款的覆盖率已降至极低水平，远低于安全阈值，企业面临严峻的短期偿债压力，流动性风险极高。尽管资产负债率呈下降趋势且未触发阈值，但无法抵消前述两项核心指标的严重恶化，整体信用状况堪忧。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②财务真实性验证(银行流水验证)：材料未提供具体验证结果。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>最近三年现金流量表分析：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  <w:t xml:space="preserve"> 材料未提供最近三年现金流量表数据。 </w:t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③近三年财务数据</w:t>
              <w:br/>
              <w:t>（1）应收账款2023年6354万元，2024年9253万元，2025年7430万元。</w:t>
              <w:br/>
              <w:t>（2）其他应收款2023年3621万元，2024年3522万元，2025年2774万元。</w:t>
              <w:br/>
              <w:t>（3）存货2023年2545万元，2024年1166万元，2025年2192万元。（4）长期投资：材料未提供。</w:t>
              <w:br/>
              <w:t>（5）应付账款2023年1847万元，2024年2333万元，2025年1026万元。</w:t>
              <w:br/>
              <w:t>（6）其他应付款2023年185万元，2024年648万元，2025年168万元。</w:t>
              <w:br/>
              <w:t>上述（1）至（6）项及长期投资的主要构成、趋势变动情况，以及（7）主营业务收入变动原因、（8）盈利能力变动原因、（9）固定资产投资变动情况、（10）其他财务指标（如预付账款、预收账款等）的构成及变动情况，材料均未提供。最近三年现金流量表分析： 企业主营业务收入自2022年的21198万元持续下滑至2024年的8712万元，但2025年回升至1010万元，同比增长14.9%。根据提供的财务报表，无法直接获取关于收入变动的具体原因说明。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【章节标题】1.融资及对外担保情况</w:t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材料未提供涉及中长期借款的还款计划及资金安排信息。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截至报告基准日，公司合并口径授信总额4640万元，贷款余额4440万元。具体融资明细如下：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1. 交通银行屏东支行：流动资金贷款，授信金额1000万元，已用金额（待核实），业务到期日2026年4月24日。</w:t>
              <w:br/>
              <w:t>2. 海峡银行金山支行：流动资金贷款（附加担保），授信金额500万元，已用金额（待核实），业务到期日2026年10月15日。</w:t>
              <w:br/>
              <w:t>3. 厦门国际银行台江支行：流动资金贷款，授信金额640万元，已用金额（待核实），业务到期日2026年11月21日。</w:t>
              <w:br/>
              <w:t>4. 兴业银行环球支行：</w:t>
              <w:br/>
              <w:t>- 第一笔：流动资金贷款，授信金额1000万元，已用金额700万元，业务到期日2026年11月25日。</w:t>
              <w:br/>
              <w:t>- 第二笔：流动资金贷款，授信金额1000万元，已用金额300万元，业务到期日2026年12月22日。</w:t>
              <w:br/>
              <w:t>5. 工商银行：流动资金贷款，授信金额500万元，已用金额（待核实），业务到期日2026年12月2日。</w:t>
              <w:br/>
              <w:t>6. 中国银行福建省分行：流动资金贷款，授信金额600万元，已用金额（待核实），业务起始日2026年1月4日，业务到期日2027年1月4日。</w:t>
              <w:br/>
              <w:t>7. 广发银行鼓楼支行：流动资金贷款，授信金额400万元，已用金额200万元，业务起始日2026年1月23日，业务到期日2027年1月23日。</w:t>
              <w:br/>
              <w:t>注：上述多家银行融资的“已用金额”在原始材料中记录为疑似日期格式，需客户进一步澄清确认实际已提款金额。</w:t>
              <w:br/>
              <w:t>材料未提供中长期借款还款计划及还款资金安排情况。根据补充材料，公司无对外担保。材料未提供不良记录情况。</w:t>
            </w:r>
          </w:p>
          <w:p w14:paraId="76CE32AE">
            <w:commentRangeStart w:id="4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材料未提及企业存在不良记录。 </w:t>
            </w:r>
          </w:p>
          <w:p w14:paraId="0BD0E5B0">
            <w:commentRangeStart w:id="5"/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截至2025年7月23日，查询实控人信用报告，其名下有未结清贷款账户1笔，余额1000万元，为中行个人经营贷款，经营主体为[待补充]；有未销户信用卡账户1笔，余额0元。全部未结清贷款估算下月应还款额0元，贷记卡最近6个月平均使用额度27元，准贷记卡最近6个月平均透支余额0元。承担担保责任账户1笔，余额1000万元，为[待补充]担保；承担共同还款责任账户0笔。近5年贷款累计逾期1期，连续逾期1期，相关逾期金额均超过500元阈值，经反馈为遗忘导致，现已结清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commentRangeEnd w:id="5"/>
            <w:r>
              <w:rPr>
                <w:rStyle w:val="CommentReference"/>
              </w:rPr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3.实控人配偶情况： 康恩慧 ，材料未提供国籍、籍贯、出生年份及个人征信信息。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科技型企业类型：高新技术企业；创新型中小企业；“专精特新”中小企业。</w:t>
              <w:br/>
              <w:t>科技型企业评分：材料未提供科技型企业评分。</w:t>
              <w:br/>
              <w:t>核心研发人员享有股权激励。</w:t>
              <w:br/>
              <w:t>近三年研发投入占比及研发人员占比：2023年研发费用占比7.4%，研发人员占比44%；2024年研发费用占比14.5%，研发人员占比49%；2025年研发费用占比10.5%，研发人员占比53%。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材料未提供当前综合效益相关数据。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材料未提供预计综合效益相关数据。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人福建中锐网络股份有限公司2025年营收规模为10010万元。其上游结算采用预付款和账期款方式，下游结算采用预收款和账期或全款的收款方式。2025年末货币资金为286万元，应收账款为7430万元，存货为2192万元，应付账款为1026万元，短期借款为4730万元。材料未提供前端工序涨价周期说明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材料未明确申请中期流动资金贷款，故无需补充分析原因。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材料未提供营运资金需求测算过程及结果。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材料未提及测算过程存在数据调整。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  <w:t>第一还款来源（经营性现金流分析）：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材料未提供经营性现金流具体数据。企业经营收款采用预收款和账期方式，采购付款享有供应商较优越的信用账期，有助于现金流管理。 </w:t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材料未提供本次授信对应的具体抵质押物信息，无法分析变现能力。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3.还款能力分析：</w:t>
              <w:br/>
              <w:t>①第一还款来源（经营性现金流分析）：材料未提供近三年营业收入、营业成本及经营活动现金流量净额数据。企业2023至2025年净利润分别为393万元、329万元、494万元，盈利能力相对稳定。2025年末总资产规模16956万元。收入结构为水利46%、教育54%。销售收款方式为预收款和账期或全款，采购付款方式为预付款和账期款。2025年末货币资金286万元，应收账款7430万元，存货2192万元，短期借款4730万元，应付账款126万元。主要下游客户涵江水利局、福建省翔远电子科技有限公司上年销售额分别为1116万元、1122万元，结算方式均为分期。子公司福建中锐教育科技有限公司、福建中锐汉鼎信息技术有限公司上年净利润分别为-1275万元、-682万元，存在亏损。</w:t>
              <w:br/>
              <w:t>②第二还款来源（抵质押物变现能力分析及其他渠道现金流分析）：材料未提供抵质押物详情、实控人及配偶个人资产负债情况，以及其他还款资产或融资渠道信息。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r>
          </w:p>
          <w:p w14:paraId="5874C0C9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143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榕 房权证 R 字第 0838000 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抵押物为私有房产，坐落于仓山区上渡街道通江路17号江南水都·杰座，所有权人为康恩慧、黄祖海，权属证号为榕房权证R字第0838000号，建筑面积143.45平方米。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材料未提供公司担保相关信息。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材料未提供我行认可的专业担保公司担保相关信息。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企业2025年总资产16956万元，负债合计7207万元。2025年营收10010万元，净利润494万元，近三年净利润分别为393万元、329万元、494万元，经营具备可持续性。2025年销售商品、提供劳务收到的现金10385万元，2024年经营活动现金流量净额约为-896万元，2023年约为269万元，现金流波动较大。企业融资机构合计授信4640万元，已用4440万元，短期借款4730万元，杠杆水平较高。企业在我行无存量授信，本次申报材料未提供具体授信方案，因此无法基于“六要素”给出完整的准入评判及授信方案设置。建议客户经理补充完整的授信申报方案（包括金额、品种、期限、担保、用途等）及对应的贷后管理措施后，再行审议。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借款人2023年经营活动现金流入11207万元，流出10938万元，经营性现金流净额约269万元（计算值）；2024年经营活动现金流入8030万元，流出8926万元，经营性现金流净额约-896万元（计算值）。2023年销售商品、提供劳务收到的现金9364万元，2024年为4890万元。2023年筹资活动现金净流入864万元，2024年为802万元。2023年现金净增加418万元，2024年净减少1015万元。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杠杆率：借款人2023年负债合计9014万元，2024年9320万元，2025年7207万元。2025年总资产16956万元，资产负债率约42.5%（计算值）。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1882DF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企业主营业务为智慧水利与智慧教育，2025年营收10010万元，其中水利占比46%、教育占比54%。企业在智慧水利领域拥有自主研发平台，已应用于福建省300余座水库；在智慧教育领域与全国超1000所高校合作，服务1600多家政企客户。2023至2025年净利润分别为393万元、329万元、494万元。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：企业现有合作银行涉及4家机构，合计授信金额4640万元，已用金额4440万元。其中短期借款2023年4000万元，2024年4990万元，2025年4730万元。配结算：材料未提供我行结算情况。强担保：材料未提供本次授信担保方案。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7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借款人授信敞口1000万元，XXX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唐梓妍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唐梓妍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</w:p>
          <w:p w14:paraId="6AC425A6">
            <w:commentRangeStart w:id="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2FC82B07">
            <w:commentRangeStart w:id="9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9"/>
            <w:r>
              <w:rPr>
                <w:rStyle w:val="CommentReference"/>
              </w:rPr>
              <w:commentReference w:id="9"/>
            </w:r>
          </w:p>
          <w:p w14:paraId="269107E9">
            <w:commentRangeStart w:id="10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3096CC3B">
            <w:commentRangeStart w:id="11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13T18:13:32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13T18:13:32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13T18:13:32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13T18:13:32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4" w:author="信贷报告 Agent" w:date="2026-04-13T18:13:32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5" w:author="信贷报告 Agent" w:date="2026-04-13T18:13:32Z" w:initials="Agent">
    <w:p>
      <w:r>
        <w:rPr>
          <w:rStyle w:val="CommentReference"/>
        </w:rPr>
        <w:annotationRef/>
      </w:r>
      <w:r>
        <w:t xml:space="preserve">该处“为中行个人经营贷款，经营主体为”仍为模板占位符，请人工核实。</w:t>
      </w:r>
    </w:p>
  </w:comment>
  <w:comment w:id="6" w:author="信贷报告 Agent" w:date="2026-04-13T18:13:32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7" w:author="信贷报告 Agent" w:date="2026-04-13T18:13:32Z" w:initials="Agent">
    <w:p>
      <w:r>
        <w:rPr>
          <w:rStyle w:val="CommentReference"/>
        </w:rPr>
        <w:annotationRef/>
      </w:r>
      <w:r>
        <w:t xml:space="preserve">该处“予借款人授信敞口1000万元，”仍为模板占位符，请人工核实。</w:t>
      </w:r>
    </w:p>
  </w:comment>
  <w:comment w:id="8" w:author="信贷报告 Agent" w:date="2026-04-13T18:13:32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9" w:author="信贷报告 Agent" w:date="2026-04-13T18:13:32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10" w:author="信贷报告 Agent" w:date="2026-04-13T18:13:32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11" w:author="信贷报告 Agent" w:date="2026-04-13T18:13:32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12" w:author="信贷报告 Agent" w:date="2026-04-13T18:13:32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