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福建省分行普惠法人授信申报及审查审批意见表（[待补充]新版）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信息技术服务。上年度末社保人数69人；注册资本：4100万元、实收资本：4100万元；法定代表人：黄祖海。已取得资质情况不涉及排污许可证。材料未提供最新股权结构表。材料未提供过往两年企业股权变动情况及变动原因。</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4100万元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4100万元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过往两年企业股权变动情况及变动原因：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先生具有超过二十年的行业技术与管理经验，自2000年起先后在实达网络、星网锐捷等企业担任技术及管理职务，2012年创立中锐网络并担任董事长兼总裁至今，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福建中锐汉鼎信息技术有限公司</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融资</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0</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截至 年 截至年 月 2025年12月 日，经531系统查询，借款人 2025 年 12 月   日提贷 300万元，到期日 2025 年 10 月   日，贷款采取自主支付方式发放，通过调取借款人账户流水，1. 300万元向 兴业银行-环球支行 有限公司支付 兴业银行-环球支行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上一期授信条件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上一期授信条件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材料未提供法定代表人信用卡逾期情况及相关核实信息。</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9.（若有）PD评级较上期下滑，分析原因：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（二）法定代表人/实控人简介（如果为同一人，仅需填写一次情况）</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法定代表人及实际控制人：黄祖海，身份证号350124197704201694，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身份证号352101197802182324。</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【章节标题】1.关联企业经营情况                                                                单位（万元）关联企业关系：可附图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企业关联方均为全资或控股子公司，共5家。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最新融资213万元。厦门中锐软件科技有限公司主营软硬件销售，上年收入7万元，净利润-13万元。中锐海沃水利技术(福建)有限公司主营智慧水利，上年收入0万元，净利润0万元。</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【章节标题】2.集团合并财务数据（若有）：</w:t>
              <w:br/>
              <w:t>集团合并报表经德赢审计，出具标准无保留意见。集团合并范围内主要子公司5家，分别为福建中锐汉鼎信息技术有限公司（100%控股，智慧水利，上年净利润-682万元）、福建中锐教育科技有限公司（100%控股，智慧教育，上年净利润-1275万元）、北京中锐青云科技有限公司（100%控股，产教融合创新服务，上年净利润16万元）、厦门中锐软件科技有限公司（100%控股，软硬件销售，上年净利润-13万元）、中锐海沃水利技术(福建)有限公司（84%控股，智慧水利，上年净利润0万元）。集团合并报表最近三年（2023-2025年）净利润分别为393万元、329万元、494万元。集团合并报表最近三年（2023-2025年）负债合计分别为9014万元、9320万元、7207万元。集团合并报表最近三年（2023-2025年）应收账款分别为6354万元、9253万元、7430万元。集团合并报表最近三年（2023-2025年）存货分别为2545万元、1166万元、2192万元。集团合并报表最近三年（2023-2025年）货币资金分别为1522万元、506万元、286万元。集团合并报表最近三年（2023-2025年）短期借款分别为4000万元、4990万元、4730万元。集团合并报表最近三年（2023-2025年）其他应收款分别为3621万元、3522万元、2774万元。集团合并报表最近三年（2023-2025年）其他应付款分别为185万元、648万元、168万元。集团合并报表最近三年（2023-2025年）应付账款分别为1847万元、2333万元、1026万元。材料未提供集团合并报表最近三年营业收入、总资产、所有者权益及经营活动现金流量净额。</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方面，提供大坝安全智能监测平台、智慧水利流域四预系统等解决方案，已应用于福建省300余座水库。智慧教育方面，聚焦数字人才培养，与超1000所高校及科研院所合作，服务1600多家政企客户。上年度收入结构为水利占比46%，教育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属于其他未列明信息技术服务业。智慧水利业务已推出大坝安全智能监测平台等具体解决方案，曾获2022年度福建省科技进步奖二等奖、水利科学技术奖一等奖，并已成功应用于福建省300多座大中小型水库。智慧教育业务与全国超过1000所知名高校及科研院所建立了紧密的产学研合作关系，服务1600多家政企客户。企业业务收入中，水利占比46%，教育占比54%。材料未提供企业核心技术专利数量及研发人员情况。</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企业主营业务为智慧水利与智慧教育解决方案及软硬件销售。智慧水利业务已成功应用于福建省300余座水库，智慧教育业务与全国超过1000所高校及科研院所合作。2023-2025年销售商品、提供劳务收到的现金分别为93640251.43元、48902379.43元、103852568.95元。收入结构方面，智慧水利与智慧教育占比分别为46%和54%。主要销售客户为涵江水利局（上年销售额1116万元，占比10.02%）、福建省翔远电子科技有限公司（上年销售额1122万元，占比9.92%）、三明水利水电工程有限公司顺昌分公司（上年销售额572万元，占比5.07%）、福州市福清公路事业发展中心（上年销售额396万元，占比3.51%）、济南展雄电子有限公司（上年销售额356万元，占比2.99%）。材料未提供生产工艺流程、产品年产量及年销量数据。</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司。下游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③经营账期：材料未提供上下游结算账期信息。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降幅显著收窄并于预测期转正，显示业务复苏趋势确立。毛利率在经历短期波动后已回升并稳定在较高水平，盈利能力的改善具备持续性。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【章节标题】6.借款人主要财务指标情况：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材料未提供财务真实性验证(税务数据验证)。材料未提供财务真实性验证(银行流水验证)。近三年财务数据如下：（1）应收账款2023年6354万元，2024年9253万元，2025年7430万元。材料未提供主要构成及趋势变动情况。（2）其他应收款2023年3621万元，2024年3522万元，2025年2774万元。材料未提供主要构成及趋势变动情况。（3）存货2023年2545万元，2024年1166万元，2025年2192万元。材料未提供主要构成及趋势变动情况。（4）材料未提供长期投资。（5）应付账款2023年1847万元，2024年2333万元，2025年1026万元。材料未提供主要构成及趋势变动情况。（6）其他应付款2023年185万元，2024年648万元，2025年168万元。材料未提供主要构成及趋势变动情况。（7）材料未提供主营业务收入变动原因。（8）材料未提供盈利能力变动原因。（9）材料未提供固定资产投资变动情况。（10）材料未提供预付账款、预收账款等其他财务指标的构成及变动情况说明。材料未提供最近三年现金流量表分析。</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2025年末应收账款为7430万元，较2024年末的9253万元下降19.7%，回款情况有所改善。但该科目自2022年起连续三年快速增长，2024年末较2022年末增幅达110%，当前余额仍处于较高水平。</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其他应收款2025年末为2774万元，较2024年末的3522万元下降21.2%，呈回落趋势。该科目在2023年曾大幅增长至3621万元，目前虽有所压降，但占流动资产比重仍达21.2%，需关注其具体构成及回收风险。</w:t>
            </w:r>
          </w:p>
          <w:p w14:paraId="669763E4">
            <w:commentRangeStart w:id="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2025年末为2192万元，较2024年末的1166万元大幅增长88.0%，结束了自2022年（5301万元）以来的连续下降趋势。结合资产负债表，存货占总资产比重有所回升，但具体存货结构及增长原因依据现有材料无法判断。</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3"/>
            <w:r>
              <w:rPr>
                <w:rStyle w:val="CommentReference"/>
              </w:rPr>
              <w:commentReference w:id="3"/>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企业长期投资由2024年的2518万元增长至2025年的3123万元，同比增加605万元，增幅达24.0%，显示其对外投资规模显著扩张。然而，财务报表中未直接披露长期投资的具体构成及变动原因。</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企业应付账款期末余额为1026万元，较年初的2333万元大幅下降56.0%，主要系清偿前期采购款项所致。该科目连续两年增长后于本年度显著回落，需结合采购政策与现金流状况进一步分析其变动原因。</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外部非经营性往来款项的偿付压力显著减轻。具体构成及变动原因依据现有材料无法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和智慧教育。根据收入结构，水利占比46%、教育占比54%，业务结构相对均衡。智慧水利业务受益于国家政策支持，已成功应用于福建省300+座水库；智慧教育业务与全国超过1000所高校及科研院所合作，服务1600多家政企客户。2025年营收为1010万元，业务规模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 xml:space="preserve">（8）盈利能力变动原因： 企业2025年营收为1010万元。从补充材料中子公司数据看，部分子公司（如福建中锐汉鼎信息技术有限公司、福建中锐教育科技有限公司）存在亏损，可能对整体盈利能力造成一定影响。企业核心竞争力在于智慧水利和智慧教育领域的解决方案及客户基础，但需关注子公司盈利状况对整体利润的拖累。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根据提供的2025年资产负债表，企业2025年末货币资金为286万元，较年初的506万元大幅减少43.6%；应收账款为7430万元，较年初的9253万元下降19.7%。其他应收款为2774万元，较年初的3522万元下降21.2%。</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即期支付能力存在严重隐患。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应收账款周转效率持续恶化，回款能力显著下降。存货管理波动剧烈，存在库存积压风险。运营效率需重点跟踪应收账款周转与收入扩张的匹配程度。</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根据2024年审计报告，2024年度经营活动现金流入小计为80298955.33元（约830万元），销售商品、提供劳务收到的现金为48902379.43元（约4890万元）。根据2025年12月财务报表，2025年销售商品、提供劳务收到的现金为103852568.95元（约10385万元），较2024年有显著增长。经营活动现金流主要来源于主营业务回款。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经营现金流波动剧烈且整体偏弱，呈现间歇性负值，表明主营业务造血能力不稳定。公司持续依赖外部融资弥补经营和投资缺口，但筹资活动净流入呈收缩趋势，2025年转为净流出，显示外部融资环境趋紧。现金流结构显示公司仍处于投资扩张阶段，但经营现金流的脆弱性可能制约其持续投资能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无法抵消前述两项关键指标的严重恶化，整体信用状况堪忧。</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【章节标题】1.融资及对外担保情况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材料中未明确提及中长期借款的具体还款计划及资金安排。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截至报告日，公司各行贷款余额合计4440万元，授信总额4640万元。具体为：交通银行屏东支行流贷1000万元，业务期限2026.4.24至[需核实]；海峡银行-金山支行流贷加担保500万元，业务期限2025.10.15至2026.10.15；厦门国际银行台江支行流贷640万元，业务期限2025.11.21至2026.11.21；兴业银行环球支行流贷1000万元（已用700万元），业务期限2025.11.25至2026.11.25；兴业银行环球支行流贷1000万元（已用300万元），业务期限2025.12.22至2026.12.22；工商银行流贷500万元，业务期限2026.12.2至[需核实]；中国银行福建省分行流贷600万元，业务期限2026.1.4至2027.1.4；广发银行鼓楼支行流贷400万元（已用200万元），业务期限2026.1.23至2027.1.23。材料未提供中长期借款还款计划及还款资金安排情况。材料未提供对外担保情况。材料未提供不良记录情况。</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材料中未提及企业存在不良记录。 </w:t>
            </w:r>
          </w:p>
          <w:p w14:paraId="0BD0E5B0">
            <w:commentRangeStart w:i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信用报告，其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承担共同还款责任账户0笔，担保责任余额1000万元，为[待补充]担保。近5年贷款累计逾期1期，其中逾期金额小于等于500元的期数为0；近5年贷款连续逾期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5"/>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 ，中国国籍。材料未提供配偶籍贯、出生年份及个人征信信息。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材料中未提供科技型企业评分具体数值。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w:t>
              <w:br/>
              <w:t>科技型企业评分：材料未提供科技型企业评分。</w:t>
              <w:br/>
              <w:t>核心研发人员享有股权激励：是。</w:t>
              <w:br/>
              <w:t>近三年研发投入占比分别为7.4%、14.5%、10.5%，研发人员占比分别为44%、49%、53%。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2025年末货币资金286万元，较2023年末的1522万元大幅减少。应收账款余额7430万元，占款规模较大。采购付款方式为预付款和账期款，销售收款方式为预收款和账期或全款。材料未提供前端工序处于涨价周期的具体证据。</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材料中未提及申请中期流动资金贷款。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根据流动资金需求测算，企业营运资金需求：材料未提供万元。</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材料中未提及测算过程存在数据调整。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企业第一还款来源为经营性现金流。2025年销售商品、提供劳务收到的现金约为10385万元，显示主营业务回款能力较强。企业经营账期管理上，销售收款采用预收款和账期方式，采购付款享有供应商信用账期，有利于现金流管理。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材料中未明确提供本次授信对应的抵质押物信息，无法分析其变现能力。企业作为信息技术服务企业，核心资产可能为无形资产及应收账款。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企业2025年总资产规模16956万元，最近年度营收规模10010万元。近三年净利润分别为393万元、329万元、494万元，盈利能力相对稳定。主营业务收入结构为水利占比46%、教育占比54%。企业销售收款采用预收款和账期或全款方式，采购付款享有供应商给予的信用账期。2025年末货币资金286万元，应收账款7430万元，存货2192万元，短期借款4730万元。企业融资机构合计授信金额4640万元，已用4440万元。主要下游客户涵江水利局上年销售额1116万元，占比10.02%；福建省翔远电子科技有限公司上年销售额1122万元，占比9.92%，结算方式均为分期。子公司福建中锐教育科技有限公司上年净利润-1275万元，福建中锐汉鼎信息技术有限公司上年净利润-682万元，存在亏损。</w:t>
              <w:br/>
              <w:t>②第二还款来源（抵质押物变现能力分析及其他渠道现金流分析）：材料未提供抵质押物价值及抵质押状态。</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6"/>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6"/>
            <w:r>
              <w:rPr>
                <w:rStyle w:val="CommentReference"/>
              </w:rPr>
              <w:commentReference w:id="6"/>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抵押物为私有房产，坐落于仓山区上渡街道通江路17号江南水都·杰座，所有权人为康恩慧、黄祖海，权属证号为榕房权证R字第0838000号，建筑面积143.45平方米。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包括福建中锐汉鼎信息技术有限公司、福建中锐教育科技有限公司、北京中锐青云科技有限公司、厦门中锐软件科技有限公司、中锐海沃水利技术(福建)有限公司。材料未提供保证人化型及对公PD评级。保证人主要经营情况：福建中锐汉鼎信息技术有限公司成立于2018年1月11日，注册资本及实收资本1000万元，上年主营业务收入1223万元，上年净利润-682万元。福建中锐教育科技有限公司成立于2022年6月28日，注册资本及实收资本1000万元，上年主营业务收入21万元，上年净利润-1275万元。北京中锐青云科技有限公司成立于2020年9月23日，注册资本及实收资本1000万元，上年主营业务收入204万元，上年净利润16万元，最新融资金额213万元。厦门中锐软件科技有限公司成立于2016年12月19日，注册资本及实收资本1200万元，上年主营业务收入7万元，上年净利润-13万元。中锐海沃水利技术(福建)有限公司成立于2018年1月10日，注册资本及实收资本1000万元，上年主营业务收入0万元，上年净利润0万元。材料未提供保证人征信信息。材料未提供保证人主要财务指标。材料未提供保证人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材料未提供我行内部审批结论及担保公司最新担保情况数据。</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br/>
              <w:t>企业主营智慧水利与智慧教育，收入结构稳定。2025年末总资产16956万元，负债7207万元，短期借款4730万元，资产负债率（经计算）约为42.5%，杠杆水平可控。近三年净利润分别为393万元、329万元、494万元，经营具备可持续性。企业为存量客户，现有银行授信总额4640万元，已用4440万元，涉及多家银行，存在垒小户风险。材料未提供2025年经营活动现金流量净额。本次授信方案建议配置结算要求，并追加实际控制人黄祖海及其配偶康恩慧名下位于仓山区上渡街道通江路17号江南水都·杰座的房产（面积143.45平方米）作为抵押担保，以缓释风险。贷后需重点关注其现金流状况及他行授信变化。</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现金流：2023年经营活动现金流量净额约269万元（计算值），2024年经营活动现金流量净额约-896万元（计算值），现金生成能力波动较大。材料未提供2025年现金流量数据。</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杠杆率：2025年末资产负债率42.5%，较2024年末的55.0%及2023年末的53.2%有所下降，杠杆水平适中且呈改善趋势。</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可持续：企业主营业务为智慧水利与智慧教育，2025年营收10010万元，净利润494万元，近三年持续盈利。公司拥有多项核心技术及行业奖项，业务具备可持续性。</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企业当前合计授信金额4640万元，已用4440万元，合作银行包括交通银行、海峡银行等7家机构。材料未提供我行拟申请授信额度及用途。配结算：材料未提供借款人在我行结算情况。强担保：材料未提供本次授信拟采用的担保方式。</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7"/>
            <w:r>
              <w:rPr>
                <w:rStyle w:val="CommentReference"/>
              </w:rPr>
              <w:commentReference w:id="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8"/>
            <w:r>
              <w:rPr>
                <w:rStyle w:val="CommentReference"/>
              </w:rPr>
              <w:commentReference w:id="8"/>
            </w:r>
          </w:p>
          <w:p w14:paraId="6AC425A6">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9"/>
            <w:r>
              <w:rPr>
                <w:rStyle w:val="CommentReference"/>
              </w:rPr>
              <w:commentReference w:id="9"/>
            </w:r>
          </w:p>
          <w:p w14:paraId="2FC82B07">
            <w:commentRangeStart w:id="1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269107E9">
            <w:commentRangeStart w:id="1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3096CC3B">
            <w:commentRangeStart w:id="1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3"/>
            <w:r>
              <w:rPr>
                <w:rStyle w:val="CommentReference"/>
              </w:rPr>
              <w:commentReference w:id="13"/>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8:59:51Z" w:initials="Agent">
    <w:p>
      <w:r>
        <w:rPr>
          <w:rStyle w:val="CommentReference"/>
        </w:rPr>
        <w:annotationRef/>
      </w:r>
      <w:r>
        <w:t xml:space="preserve">该处“申报单位”仍为空白，请人工确认。</w:t>
      </w:r>
    </w:p>
  </w:comment>
  <w:comment w:id="1" w:author="信贷报告 Agent" w:date="2026-04-13T18:59:51Z" w:initials="Agent">
    <w:p>
      <w:r>
        <w:rPr>
          <w:rStyle w:val="CommentReference"/>
        </w:rPr>
        <w:annotationRef/>
      </w:r>
      <w:r>
        <w:t xml:space="preserve">该处“小类）”仍为空白，请人工确认。</w:t>
      </w:r>
    </w:p>
  </w:comment>
  <w:comment w:id="2" w:author="信贷报告 Agent" w:date="2026-04-13T18:59:51Z" w:initials="Agent">
    <w:p>
      <w:r>
        <w:rPr>
          <w:rStyle w:val="CommentReference"/>
        </w:rPr>
        <w:annotationRef/>
      </w:r>
      <w:r>
        <w:t xml:space="preserve">该处“绿通标识”仍为空白，请人工确认。</w:t>
      </w:r>
    </w:p>
  </w:comment>
  <w:comment w:id="3" w:author="信贷报告 Agent" w:date="2026-04-13T18:59:51Z" w:initials="Agent">
    <w:p>
      <w:r>
        <w:rPr>
          <w:rStyle w:val="CommentReference"/>
        </w:rPr>
        <w:annotationRef/>
      </w:r>
      <w:r>
        <w:t xml:space="preserve">该处“主要构成及趋势变动情况”仍为空白，请人工确认。</w:t>
      </w:r>
    </w:p>
  </w:comment>
  <w:comment w:id="4" w:author="信贷报告 Agent" w:date="2026-04-13T18:59:51Z" w:initials="Agent">
    <w:p>
      <w:r>
        <w:rPr>
          <w:rStyle w:val="CommentReference"/>
        </w:rPr>
        <w:annotationRef/>
      </w:r>
      <w:r>
        <w:t xml:space="preserve">该处“（若有）对外担保情况”仍为空白，请人工确认。</w:t>
      </w:r>
    </w:p>
  </w:comment>
  <w:comment w:id="5" w:author="信贷报告 Agent" w:date="2026-04-13T18:59:51Z" w:initials="Agent">
    <w:p>
      <w:r>
        <w:rPr>
          <w:rStyle w:val="CommentReference"/>
        </w:rPr>
        <w:annotationRef/>
      </w:r>
      <w:r>
        <w:t xml:space="preserve">该处“为中行个人经营贷款，经营主体为”仍为模板占位符，请人工核实。</w:t>
      </w:r>
    </w:p>
  </w:comment>
  <w:comment w:id="6" w:author="信贷报告 Agent" w:date="2026-04-13T18:59:51Z" w:initials="Agent">
    <w:p>
      <w:r>
        <w:rPr>
          <w:rStyle w:val="CommentReference"/>
        </w:rPr>
        <w:annotationRef/>
      </w:r>
      <w:r>
        <w:t xml:space="preserve">该处“变动原因”仍为空白，请人工确认。</w:t>
      </w:r>
    </w:p>
  </w:comment>
  <w:comment w:id="7" w:author="信贷报告 Agent" w:date="2026-04-13T18:59:51Z" w:initials="Agent">
    <w:p>
      <w:r>
        <w:rPr>
          <w:rStyle w:val="CommentReference"/>
        </w:rPr>
        <w:annotationRef/>
      </w:r>
      <w:r>
        <w:t xml:space="preserve">该处“予借款人授信敞口1000万元，”仍为模板占位符，请人工核实。</w:t>
      </w:r>
    </w:p>
  </w:comment>
  <w:comment w:id="8" w:author="信贷报告 Agent" w:date="2026-04-13T18:59:51Z" w:initials="Agent">
    <w:p>
      <w:r>
        <w:rPr>
          <w:rStyle w:val="CommentReference"/>
        </w:rPr>
        <w:annotationRef/>
      </w:r>
      <w:r>
        <w:t xml:space="preserve">该处“客户经理”仍为空白，请人工确认。</w:t>
      </w:r>
    </w:p>
  </w:comment>
  <w:comment w:id="9" w:author="信贷报告 Agent" w:date="2026-04-13T18:59:51Z" w:initials="Agent">
    <w:p>
      <w:r>
        <w:rPr>
          <w:rStyle w:val="CommentReference"/>
        </w:rPr>
        <w:annotationRef/>
      </w:r>
      <w:r>
        <w:t xml:space="preserve">该处“共同调查人”仍为空白，请人工确认。</w:t>
      </w:r>
    </w:p>
  </w:comment>
  <w:comment w:id="10" w:author="信贷报告 Agent" w:date="2026-04-13T18:59:51Z" w:initials="Agent">
    <w:p>
      <w:r>
        <w:rPr>
          <w:rStyle w:val="CommentReference"/>
        </w:rPr>
        <w:annotationRef/>
      </w:r>
      <w:r>
        <w:t xml:space="preserve">该处“二级支行行长”仍为空白，请人工确认。</w:t>
      </w:r>
    </w:p>
  </w:comment>
  <w:comment w:id="11" w:author="信贷报告 Agent" w:date="2026-04-13T18:59:51Z" w:initials="Agent">
    <w:p>
      <w:r>
        <w:rPr>
          <w:rStyle w:val="CommentReference"/>
        </w:rPr>
        <w:annotationRef/>
      </w:r>
      <w:r>
        <w:t xml:space="preserve">该处“分管行长”仍为空白，请人工确认。</w:t>
      </w:r>
    </w:p>
  </w:comment>
  <w:comment w:id="12" w:author="信贷报告 Agent" w:date="2026-04-13T18:59:51Z" w:initials="Agent">
    <w:p>
      <w:r>
        <w:rPr>
          <w:rStyle w:val="CommentReference"/>
        </w:rPr>
        <w:annotationRef/>
      </w:r>
      <w:r>
        <w:t xml:space="preserve">该处“行长”仍为空白，请人工确认。</w:t>
      </w:r>
    </w:p>
  </w:comment>
  <w:comment w:id="13" w:author="信贷报告 Agent" w:date="2026-04-13T18:59:5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